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September 11, 2023.</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333-274229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4"/>
          <w:szCs w:val="34"/>
          <w:b w:val="1"/>
          <w:bCs w:val="1"/>
          <w:color w:val="auto"/>
        </w:rPr>
        <w:t>NEUMORA THERAPEUTICS, INC.</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7"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3500" w:type="dxa"/>
            <w:vAlign w:val="bottom"/>
          </w:tcPr>
          <w:p>
            <w:pPr>
              <w:jc w:val="center"/>
              <w:ind w:right="1371"/>
              <w:spacing w:after="0"/>
              <w:rPr>
                <w:sz w:val="20"/>
                <w:szCs w:val="20"/>
                <w:color w:val="auto"/>
              </w:rPr>
            </w:pPr>
            <w:r>
              <w:rPr>
                <w:rFonts w:ascii="Arial" w:cs="Arial" w:eastAsia="Arial" w:hAnsi="Arial"/>
                <w:sz w:val="14"/>
                <w:szCs w:val="14"/>
                <w:b w:val="1"/>
                <w:bCs w:val="1"/>
                <w:color w:val="auto"/>
                <w:w w:val="94"/>
              </w:rPr>
              <w:t>Delaware</w:t>
            </w:r>
          </w:p>
        </w:tc>
        <w:tc>
          <w:tcPr>
            <w:tcW w:w="2320" w:type="dxa"/>
            <w:vAlign w:val="bottom"/>
          </w:tcPr>
          <w:p>
            <w:pPr>
              <w:jc w:val="center"/>
              <w:ind w:left="169"/>
              <w:spacing w:after="0"/>
              <w:rPr>
                <w:sz w:val="20"/>
                <w:szCs w:val="20"/>
                <w:color w:val="auto"/>
              </w:rPr>
            </w:pPr>
            <w:r>
              <w:rPr>
                <w:rFonts w:ascii="Arial" w:cs="Arial" w:eastAsia="Arial" w:hAnsi="Arial"/>
                <w:sz w:val="14"/>
                <w:szCs w:val="14"/>
                <w:b w:val="1"/>
                <w:bCs w:val="1"/>
                <w:color w:val="auto"/>
                <w:w w:val="89"/>
              </w:rPr>
              <w:t>2834</w:t>
            </w:r>
          </w:p>
        </w:tc>
        <w:tc>
          <w:tcPr>
            <w:tcW w:w="1700" w:type="dxa"/>
            <w:vAlign w:val="bottom"/>
          </w:tcPr>
          <w:p>
            <w:pPr>
              <w:spacing w:after="0"/>
              <w:rPr>
                <w:sz w:val="14"/>
                <w:szCs w:val="14"/>
                <w:color w:val="auto"/>
              </w:rPr>
            </w:pPr>
          </w:p>
        </w:tc>
        <w:tc>
          <w:tcPr>
            <w:tcW w:w="1740" w:type="dxa"/>
            <w:vAlign w:val="bottom"/>
          </w:tcPr>
          <w:p>
            <w:pPr>
              <w:jc w:val="right"/>
              <w:ind w:right="430"/>
              <w:spacing w:after="0"/>
              <w:rPr>
                <w:sz w:val="20"/>
                <w:szCs w:val="20"/>
                <w:color w:val="auto"/>
              </w:rPr>
            </w:pPr>
            <w:r>
              <w:rPr>
                <w:rFonts w:ascii="Arial" w:cs="Arial" w:eastAsia="Arial" w:hAnsi="Arial"/>
                <w:sz w:val="14"/>
                <w:szCs w:val="14"/>
                <w:b w:val="1"/>
                <w:bCs w:val="1"/>
                <w:color w:val="auto"/>
              </w:rPr>
              <w:t>84-4367680</w:t>
            </w:r>
          </w:p>
        </w:tc>
      </w:tr>
      <w:tr>
        <w:trPr>
          <w:trHeight w:val="135"/>
        </w:trPr>
        <w:tc>
          <w:tcPr>
            <w:tcW w:w="3500" w:type="dxa"/>
            <w:vAlign w:val="bottom"/>
          </w:tcPr>
          <w:p>
            <w:pPr>
              <w:jc w:val="center"/>
              <w:ind w:right="1371"/>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4020" w:type="dxa"/>
            <w:vAlign w:val="bottom"/>
            <w:gridSpan w:val="2"/>
          </w:tcPr>
          <w:p>
            <w:pPr>
              <w:jc w:val="center"/>
              <w:ind w:right="1460"/>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1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500" w:type="dxa"/>
            <w:vAlign w:val="bottom"/>
          </w:tcPr>
          <w:p>
            <w:pPr>
              <w:jc w:val="center"/>
              <w:ind w:right="1371"/>
              <w:spacing w:after="0"/>
              <w:rPr>
                <w:sz w:val="20"/>
                <w:szCs w:val="20"/>
                <w:color w:val="auto"/>
              </w:rPr>
            </w:pPr>
            <w:r>
              <w:rPr>
                <w:rFonts w:ascii="Arial" w:cs="Arial" w:eastAsia="Arial" w:hAnsi="Arial"/>
                <w:sz w:val="13"/>
                <w:szCs w:val="13"/>
                <w:b w:val="1"/>
                <w:bCs w:val="1"/>
                <w:color w:val="auto"/>
                <w:w w:val="90"/>
              </w:rPr>
              <w:t>Incorporation or Organization)</w:t>
            </w:r>
          </w:p>
        </w:tc>
        <w:tc>
          <w:tcPr>
            <w:tcW w:w="4020" w:type="dxa"/>
            <w:vAlign w:val="bottom"/>
            <w:gridSpan w:val="2"/>
          </w:tcPr>
          <w:p>
            <w:pPr>
              <w:jc w:val="center"/>
              <w:ind w:right="1460"/>
              <w:spacing w:after="0"/>
              <w:rPr>
                <w:sz w:val="20"/>
                <w:szCs w:val="20"/>
                <w:color w:val="auto"/>
              </w:rPr>
            </w:pPr>
            <w:r>
              <w:rPr>
                <w:rFonts w:ascii="Arial" w:cs="Arial" w:eastAsia="Arial" w:hAnsi="Arial"/>
                <w:sz w:val="13"/>
                <w:szCs w:val="13"/>
                <w:b w:val="1"/>
                <w:bCs w:val="1"/>
                <w:color w:val="auto"/>
                <w:w w:val="87"/>
              </w:rPr>
              <w:t>Classification Code Number)</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1"/>
              </w:rPr>
              <w:t>Identification Number)</w:t>
            </w:r>
          </w:p>
        </w:tc>
      </w:tr>
      <w:tr>
        <w:trPr>
          <w:trHeight w:val="155"/>
        </w:trPr>
        <w:tc>
          <w:tcPr>
            <w:tcW w:w="3500" w:type="dxa"/>
            <w:vAlign w:val="bottom"/>
          </w:tcPr>
          <w:p>
            <w:pPr>
              <w:spacing w:after="0"/>
              <w:rPr>
                <w:sz w:val="13"/>
                <w:szCs w:val="13"/>
                <w:color w:val="auto"/>
              </w:rPr>
            </w:pPr>
          </w:p>
        </w:tc>
        <w:tc>
          <w:tcPr>
            <w:tcW w:w="4020" w:type="dxa"/>
            <w:vAlign w:val="bottom"/>
            <w:gridSpan w:val="2"/>
          </w:tcPr>
          <w:p>
            <w:pPr>
              <w:jc w:val="center"/>
              <w:ind w:right="1700"/>
              <w:spacing w:after="0" w:line="155" w:lineRule="exact"/>
              <w:rPr>
                <w:sz w:val="20"/>
                <w:szCs w:val="20"/>
                <w:color w:val="auto"/>
              </w:rPr>
            </w:pPr>
            <w:r>
              <w:rPr>
                <w:rFonts w:ascii="Arial" w:cs="Arial" w:eastAsia="Arial" w:hAnsi="Arial"/>
                <w:sz w:val="14"/>
                <w:szCs w:val="14"/>
                <w:b w:val="1"/>
                <w:bCs w:val="1"/>
                <w:color w:val="auto"/>
                <w:w w:val="93"/>
              </w:rPr>
              <w:t>490 Arsenal Way, Suite 200</w:t>
            </w:r>
          </w:p>
        </w:tc>
        <w:tc>
          <w:tcPr>
            <w:tcW w:w="1740" w:type="dxa"/>
            <w:vAlign w:val="bottom"/>
          </w:tcPr>
          <w:p>
            <w:pPr>
              <w:spacing w:after="0"/>
              <w:rPr>
                <w:sz w:val="13"/>
                <w:szCs w:val="13"/>
                <w:color w:val="auto"/>
              </w:rPr>
            </w:pPr>
          </w:p>
        </w:tc>
      </w:tr>
      <w:tr>
        <w:trPr>
          <w:trHeight w:val="148"/>
        </w:trPr>
        <w:tc>
          <w:tcPr>
            <w:tcW w:w="3500" w:type="dxa"/>
            <w:vAlign w:val="bottom"/>
          </w:tcPr>
          <w:p>
            <w:pPr>
              <w:spacing w:after="0"/>
              <w:rPr>
                <w:sz w:val="12"/>
                <w:szCs w:val="12"/>
                <w:color w:val="auto"/>
              </w:rPr>
            </w:pPr>
          </w:p>
        </w:tc>
        <w:tc>
          <w:tcPr>
            <w:tcW w:w="40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1"/>
              </w:rPr>
              <w:t>Watertown, Massachusetts 02472</w:t>
            </w:r>
          </w:p>
        </w:tc>
        <w:tc>
          <w:tcPr>
            <w:tcW w:w="1740" w:type="dxa"/>
            <w:vAlign w:val="bottom"/>
          </w:tcPr>
          <w:p>
            <w:pPr>
              <w:spacing w:after="0"/>
              <w:rPr>
                <w:sz w:val="12"/>
                <w:szCs w:val="12"/>
                <w:color w:val="auto"/>
              </w:rPr>
            </w:pPr>
          </w:p>
        </w:tc>
      </w:tr>
      <w:tr>
        <w:trPr>
          <w:trHeight w:val="153"/>
        </w:trPr>
        <w:tc>
          <w:tcPr>
            <w:tcW w:w="3500" w:type="dxa"/>
            <w:vAlign w:val="bottom"/>
          </w:tcPr>
          <w:p>
            <w:pPr>
              <w:spacing w:after="0"/>
              <w:rPr>
                <w:sz w:val="13"/>
                <w:szCs w:val="13"/>
                <w:color w:val="auto"/>
              </w:rPr>
            </w:pPr>
          </w:p>
        </w:tc>
        <w:tc>
          <w:tcPr>
            <w:tcW w:w="2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(857) 760-0900</w:t>
            </w:r>
          </w:p>
        </w:tc>
        <w:tc>
          <w:tcPr>
            <w:tcW w:w="17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64"/>
        </w:trPr>
        <w:tc>
          <w:tcPr>
            <w:tcW w:w="92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(Address, Including Zip Code, and Telephone Number, Including Area Code, of Registrant’s Principal Executive Offices)</w:t>
            </w:r>
          </w:p>
        </w:tc>
      </w:tr>
      <w:tr>
        <w:trPr>
          <w:trHeight w:val="151"/>
        </w:trPr>
        <w:tc>
          <w:tcPr>
            <w:tcW w:w="350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46"/>
        </w:trPr>
        <w:tc>
          <w:tcPr>
            <w:tcW w:w="3500" w:type="dxa"/>
            <w:vAlign w:val="bottom"/>
          </w:tcPr>
          <w:p>
            <w:pPr>
              <w:spacing w:after="0"/>
              <w:rPr>
                <w:sz w:val="12"/>
                <w:szCs w:val="12"/>
                <w:color w:val="auto"/>
              </w:rPr>
            </w:pPr>
          </w:p>
        </w:tc>
        <w:tc>
          <w:tcPr>
            <w:tcW w:w="4020" w:type="dxa"/>
            <w:vAlign w:val="bottom"/>
            <w:gridSpan w:val="2"/>
          </w:tcPr>
          <w:p>
            <w:pPr>
              <w:jc w:val="center"/>
              <w:ind w:right="1700"/>
              <w:spacing w:after="0" w:line="147" w:lineRule="exact"/>
              <w:rPr>
                <w:sz w:val="20"/>
                <w:szCs w:val="20"/>
                <w:color w:val="auto"/>
              </w:rPr>
            </w:pPr>
            <w:r>
              <w:rPr>
                <w:rFonts w:ascii="Arial" w:cs="Arial" w:eastAsia="Arial" w:hAnsi="Arial"/>
                <w:sz w:val="14"/>
                <w:szCs w:val="14"/>
                <w:b w:val="1"/>
                <w:bCs w:val="1"/>
                <w:color w:val="auto"/>
                <w:w w:val="93"/>
              </w:rPr>
              <w:t>Henry O. Gosebruch</w:t>
            </w:r>
          </w:p>
        </w:tc>
        <w:tc>
          <w:tcPr>
            <w:tcW w:w="174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40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Chief Executive Officer</w:t>
            </w:r>
          </w:p>
        </w:tc>
        <w:tc>
          <w:tcPr>
            <w:tcW w:w="1740" w:type="dxa"/>
            <w:vAlign w:val="bottom"/>
          </w:tcPr>
          <w:p>
            <w:pPr>
              <w:spacing w:after="0"/>
              <w:rPr>
                <w:sz w:val="12"/>
                <w:szCs w:val="12"/>
                <w:color w:val="auto"/>
              </w:rPr>
            </w:pPr>
          </w:p>
        </w:tc>
      </w:tr>
      <w:tr>
        <w:trPr>
          <w:trHeight w:val="148"/>
        </w:trPr>
        <w:tc>
          <w:tcPr>
            <w:tcW w:w="3500" w:type="dxa"/>
            <w:vAlign w:val="bottom"/>
          </w:tcPr>
          <w:p>
            <w:pPr>
              <w:spacing w:after="0"/>
              <w:rPr>
                <w:sz w:val="12"/>
                <w:szCs w:val="12"/>
                <w:color w:val="auto"/>
              </w:rPr>
            </w:pPr>
          </w:p>
        </w:tc>
        <w:tc>
          <w:tcPr>
            <w:tcW w:w="40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Neumora Therapeutics, Inc.</w:t>
            </w:r>
          </w:p>
        </w:tc>
        <w:tc>
          <w:tcPr>
            <w:tcW w:w="174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40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490 Arsenal Way, Suite 200</w:t>
            </w:r>
          </w:p>
        </w:tc>
        <w:tc>
          <w:tcPr>
            <w:tcW w:w="1740" w:type="dxa"/>
            <w:vAlign w:val="bottom"/>
          </w:tcPr>
          <w:p>
            <w:pPr>
              <w:spacing w:after="0"/>
              <w:rPr>
                <w:sz w:val="12"/>
                <w:szCs w:val="12"/>
                <w:color w:val="auto"/>
              </w:rPr>
            </w:pPr>
          </w:p>
        </w:tc>
      </w:tr>
      <w:tr>
        <w:trPr>
          <w:trHeight w:val="148"/>
        </w:trPr>
        <w:tc>
          <w:tcPr>
            <w:tcW w:w="3500" w:type="dxa"/>
            <w:vAlign w:val="bottom"/>
          </w:tcPr>
          <w:p>
            <w:pPr>
              <w:spacing w:after="0"/>
              <w:rPr>
                <w:sz w:val="12"/>
                <w:szCs w:val="12"/>
                <w:color w:val="auto"/>
              </w:rPr>
            </w:pPr>
          </w:p>
        </w:tc>
        <w:tc>
          <w:tcPr>
            <w:tcW w:w="40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1"/>
              </w:rPr>
              <w:t>Watertown, Massachusetts 02472</w:t>
            </w:r>
          </w:p>
        </w:tc>
        <w:tc>
          <w:tcPr>
            <w:tcW w:w="1740" w:type="dxa"/>
            <w:vAlign w:val="bottom"/>
          </w:tcPr>
          <w:p>
            <w:pPr>
              <w:spacing w:after="0"/>
              <w:rPr>
                <w:sz w:val="12"/>
                <w:szCs w:val="12"/>
                <w:color w:val="auto"/>
              </w:rPr>
            </w:pPr>
          </w:p>
        </w:tc>
      </w:tr>
      <w:tr>
        <w:trPr>
          <w:trHeight w:val="153"/>
        </w:trPr>
        <w:tc>
          <w:tcPr>
            <w:tcW w:w="3500" w:type="dxa"/>
            <w:vAlign w:val="bottom"/>
          </w:tcPr>
          <w:p>
            <w:pPr>
              <w:spacing w:after="0"/>
              <w:rPr>
                <w:sz w:val="13"/>
                <w:szCs w:val="13"/>
                <w:color w:val="auto"/>
              </w:rPr>
            </w:pPr>
          </w:p>
        </w:tc>
        <w:tc>
          <w:tcPr>
            <w:tcW w:w="2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(857) 760-0900</w:t>
            </w:r>
          </w:p>
        </w:tc>
        <w:tc>
          <w:tcPr>
            <w:tcW w:w="17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64"/>
        </w:trPr>
        <w:tc>
          <w:tcPr>
            <w:tcW w:w="7520" w:type="dxa"/>
            <w:vAlign w:val="bottom"/>
            <w:gridSpan w:val="3"/>
          </w:tcPr>
          <w:p>
            <w:pPr>
              <w:jc w:val="center"/>
              <w:ind w:left="1731"/>
              <w:spacing w:after="0"/>
              <w:rPr>
                <w:sz w:val="20"/>
                <w:szCs w:val="20"/>
                <w:color w:val="auto"/>
              </w:rPr>
            </w:pPr>
            <w:r>
              <w:rPr>
                <w:rFonts w:ascii="Arial" w:cs="Arial" w:eastAsia="Arial" w:hAnsi="Arial"/>
                <w:sz w:val="13"/>
                <w:szCs w:val="13"/>
                <w:b w:val="1"/>
                <w:bCs w:val="1"/>
                <w:color w:val="auto"/>
                <w:w w:val="87"/>
              </w:rPr>
              <w:t>(Name, Address, Including Zip Code, and Telephone Number, Including Area Code, of Agent For Service)</w:t>
            </w:r>
          </w:p>
        </w:tc>
        <w:tc>
          <w:tcPr>
            <w:tcW w:w="1740" w:type="dxa"/>
            <w:vAlign w:val="bottom"/>
          </w:tcPr>
          <w:p>
            <w:pPr>
              <w:spacing w:after="0"/>
              <w:rPr>
                <w:sz w:val="14"/>
                <w:szCs w:val="14"/>
                <w:color w:val="auto"/>
              </w:rPr>
            </w:pPr>
          </w:p>
        </w:tc>
      </w:tr>
      <w:tr>
        <w:trPr>
          <w:trHeight w:val="151"/>
        </w:trPr>
        <w:tc>
          <w:tcPr>
            <w:tcW w:w="350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84"/>
        </w:trPr>
        <w:tc>
          <w:tcPr>
            <w:tcW w:w="3500" w:type="dxa"/>
            <w:vAlign w:val="bottom"/>
          </w:tcPr>
          <w:p>
            <w:pPr>
              <w:spacing w:after="0"/>
              <w:rPr>
                <w:sz w:val="16"/>
                <w:szCs w:val="16"/>
                <w:color w:val="auto"/>
              </w:rPr>
            </w:pPr>
          </w:p>
        </w:tc>
        <w:tc>
          <w:tcPr>
            <w:tcW w:w="4020" w:type="dxa"/>
            <w:vAlign w:val="bottom"/>
            <w:gridSpan w:val="2"/>
          </w:tcPr>
          <w:p>
            <w:pPr>
              <w:jc w:val="center"/>
              <w:ind w:right="1700"/>
              <w:spacing w:after="0"/>
              <w:rPr>
                <w:sz w:val="20"/>
                <w:szCs w:val="20"/>
                <w:color w:val="auto"/>
              </w:rPr>
            </w:pPr>
            <w:r>
              <w:rPr>
                <w:rFonts w:ascii="Arial" w:cs="Arial" w:eastAsia="Arial" w:hAnsi="Arial"/>
                <w:sz w:val="14"/>
                <w:szCs w:val="14"/>
                <w:b w:val="1"/>
                <w:bCs w:val="1"/>
                <w:i w:val="1"/>
                <w:iCs w:val="1"/>
                <w:color w:val="auto"/>
                <w:w w:val="87"/>
              </w:rPr>
              <w:t>Copies to:</w:t>
            </w:r>
          </w:p>
        </w:tc>
        <w:tc>
          <w:tcPr>
            <w:tcW w:w="1740" w:type="dxa"/>
            <w:vAlign w:val="bottom"/>
          </w:tcPr>
          <w:p>
            <w:pPr>
              <w:spacing w:after="0"/>
              <w:rPr>
                <w:sz w:val="16"/>
                <w:szCs w:val="16"/>
                <w:color w:val="auto"/>
              </w:rPr>
            </w:pPr>
          </w:p>
        </w:tc>
      </w:tr>
      <w:tr>
        <w:trPr>
          <w:trHeight w:val="151"/>
        </w:trPr>
        <w:tc>
          <w:tcPr>
            <w:tcW w:w="3500" w:type="dxa"/>
            <w:vAlign w:val="bottom"/>
          </w:tcPr>
          <w:p>
            <w:pPr>
              <w:jc w:val="center"/>
              <w:ind w:right="1491"/>
              <w:spacing w:after="0" w:line="151" w:lineRule="exact"/>
              <w:rPr>
                <w:sz w:val="20"/>
                <w:szCs w:val="20"/>
                <w:color w:val="auto"/>
              </w:rPr>
            </w:pPr>
            <w:r>
              <w:rPr>
                <w:rFonts w:ascii="Arial" w:cs="Arial" w:eastAsia="Arial" w:hAnsi="Arial"/>
                <w:sz w:val="14"/>
                <w:szCs w:val="14"/>
                <w:b w:val="1"/>
                <w:bCs w:val="1"/>
                <w:color w:val="auto"/>
                <w:w w:val="91"/>
              </w:rPr>
              <w:t>Phillip S. Stoup</w:t>
            </w:r>
          </w:p>
        </w:tc>
        <w:tc>
          <w:tcPr>
            <w:tcW w:w="4020" w:type="dxa"/>
            <w:vAlign w:val="bottom"/>
            <w:gridSpan w:val="2"/>
          </w:tcPr>
          <w:p>
            <w:pPr>
              <w:jc w:val="center"/>
              <w:ind w:right="1580"/>
              <w:spacing w:after="0" w:line="151" w:lineRule="exact"/>
              <w:rPr>
                <w:sz w:val="20"/>
                <w:szCs w:val="20"/>
                <w:color w:val="auto"/>
              </w:rPr>
            </w:pPr>
            <w:r>
              <w:rPr>
                <w:rFonts w:ascii="Arial" w:cs="Arial" w:eastAsia="Arial" w:hAnsi="Arial"/>
                <w:sz w:val="14"/>
                <w:szCs w:val="14"/>
                <w:b w:val="1"/>
                <w:bCs w:val="1"/>
                <w:color w:val="auto"/>
                <w:w w:val="90"/>
              </w:rPr>
              <w:t>Joshua Pinto</w:t>
            </w:r>
          </w:p>
        </w:tc>
        <w:tc>
          <w:tcPr>
            <w:tcW w:w="17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5"/>
              </w:rPr>
              <w:t>Charles S. Kim</w:t>
            </w:r>
          </w:p>
        </w:tc>
      </w:tr>
      <w:tr>
        <w:trPr>
          <w:trHeight w:val="149"/>
        </w:trPr>
        <w:tc>
          <w:tcPr>
            <w:tcW w:w="3500" w:type="dxa"/>
            <w:vAlign w:val="bottom"/>
          </w:tcPr>
          <w:p>
            <w:pPr>
              <w:jc w:val="center"/>
              <w:ind w:right="1491"/>
              <w:spacing w:after="0" w:line="149" w:lineRule="exact"/>
              <w:rPr>
                <w:sz w:val="20"/>
                <w:szCs w:val="20"/>
                <w:color w:val="auto"/>
              </w:rPr>
            </w:pPr>
            <w:r>
              <w:rPr>
                <w:rFonts w:ascii="Arial" w:cs="Arial" w:eastAsia="Arial" w:hAnsi="Arial"/>
                <w:sz w:val="14"/>
                <w:szCs w:val="14"/>
                <w:b w:val="1"/>
                <w:bCs w:val="1"/>
                <w:color w:val="auto"/>
                <w:w w:val="90"/>
              </w:rPr>
              <w:t>Shayne Kennedy</w:t>
            </w:r>
          </w:p>
        </w:tc>
        <w:tc>
          <w:tcPr>
            <w:tcW w:w="4020" w:type="dxa"/>
            <w:vAlign w:val="bottom"/>
            <w:gridSpan w:val="2"/>
          </w:tcPr>
          <w:p>
            <w:pPr>
              <w:jc w:val="center"/>
              <w:ind w:right="1560"/>
              <w:spacing w:after="0" w:line="149" w:lineRule="exact"/>
              <w:rPr>
                <w:sz w:val="20"/>
                <w:szCs w:val="20"/>
                <w:color w:val="auto"/>
              </w:rPr>
            </w:pPr>
            <w:r>
              <w:rPr>
                <w:rFonts w:ascii="Arial" w:cs="Arial" w:eastAsia="Arial" w:hAnsi="Arial"/>
                <w:sz w:val="14"/>
                <w:szCs w:val="14"/>
                <w:b w:val="1"/>
                <w:bCs w:val="1"/>
                <w:color w:val="auto"/>
                <w:w w:val="95"/>
              </w:rPr>
              <w:t>Chief Financial Officer</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Kristin VanderPas</w:t>
            </w:r>
          </w:p>
        </w:tc>
      </w:tr>
      <w:tr>
        <w:trPr>
          <w:trHeight w:val="148"/>
        </w:trPr>
        <w:tc>
          <w:tcPr>
            <w:tcW w:w="3500" w:type="dxa"/>
            <w:vAlign w:val="bottom"/>
          </w:tcPr>
          <w:p>
            <w:pPr>
              <w:jc w:val="center"/>
              <w:ind w:right="1491"/>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4020" w:type="dxa"/>
            <w:vAlign w:val="bottom"/>
            <w:gridSpan w:val="2"/>
          </w:tcPr>
          <w:p>
            <w:pPr>
              <w:jc w:val="center"/>
              <w:ind w:right="1580"/>
              <w:spacing w:after="0" w:line="149" w:lineRule="exact"/>
              <w:rPr>
                <w:sz w:val="20"/>
                <w:szCs w:val="20"/>
                <w:color w:val="auto"/>
              </w:rPr>
            </w:pPr>
            <w:r>
              <w:rPr>
                <w:rFonts w:ascii="Arial" w:cs="Arial" w:eastAsia="Arial" w:hAnsi="Arial"/>
                <w:sz w:val="14"/>
                <w:szCs w:val="14"/>
                <w:b w:val="1"/>
                <w:bCs w:val="1"/>
                <w:color w:val="auto"/>
                <w:w w:val="93"/>
              </w:rPr>
              <w:t>Neumora Therapeutics, Inc.</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Dave Peinsipp</w:t>
            </w:r>
          </w:p>
        </w:tc>
      </w:tr>
      <w:tr>
        <w:trPr>
          <w:trHeight w:val="148"/>
        </w:trPr>
        <w:tc>
          <w:tcPr>
            <w:tcW w:w="3500" w:type="dxa"/>
            <w:vAlign w:val="bottom"/>
          </w:tcPr>
          <w:p>
            <w:pPr>
              <w:jc w:val="center"/>
              <w:ind w:right="1491"/>
              <w:spacing w:after="0" w:line="149" w:lineRule="exact"/>
              <w:rPr>
                <w:sz w:val="20"/>
                <w:szCs w:val="20"/>
                <w:color w:val="auto"/>
              </w:rPr>
            </w:pPr>
            <w:r>
              <w:rPr>
                <w:rFonts w:ascii="Arial" w:cs="Arial" w:eastAsia="Arial" w:hAnsi="Arial"/>
                <w:sz w:val="14"/>
                <w:szCs w:val="14"/>
                <w:b w:val="1"/>
                <w:bCs w:val="1"/>
                <w:color w:val="auto"/>
                <w:w w:val="95"/>
              </w:rPr>
              <w:t>505 Montgomery</w:t>
            </w:r>
          </w:p>
        </w:tc>
        <w:tc>
          <w:tcPr>
            <w:tcW w:w="4020" w:type="dxa"/>
            <w:vAlign w:val="bottom"/>
            <w:gridSpan w:val="2"/>
          </w:tcPr>
          <w:p>
            <w:pPr>
              <w:jc w:val="center"/>
              <w:ind w:right="1580"/>
              <w:spacing w:after="0" w:line="149" w:lineRule="exact"/>
              <w:rPr>
                <w:sz w:val="20"/>
                <w:szCs w:val="20"/>
                <w:color w:val="auto"/>
              </w:rPr>
            </w:pPr>
            <w:r>
              <w:rPr>
                <w:rFonts w:ascii="Arial" w:cs="Arial" w:eastAsia="Arial" w:hAnsi="Arial"/>
                <w:sz w:val="14"/>
                <w:szCs w:val="14"/>
                <w:b w:val="1"/>
                <w:bCs w:val="1"/>
                <w:color w:val="auto"/>
                <w:w w:val="93"/>
              </w:rPr>
              <w:t>490 Arsenal Way, Suite 200</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Denny Won</w:t>
            </w:r>
          </w:p>
        </w:tc>
      </w:tr>
      <w:tr>
        <w:trPr>
          <w:trHeight w:val="149"/>
        </w:trPr>
        <w:tc>
          <w:tcPr>
            <w:tcW w:w="3500" w:type="dxa"/>
            <w:vAlign w:val="bottom"/>
          </w:tcPr>
          <w:p>
            <w:pPr>
              <w:jc w:val="center"/>
              <w:ind w:right="1491"/>
              <w:spacing w:after="0" w:line="149" w:lineRule="exact"/>
              <w:rPr>
                <w:sz w:val="20"/>
                <w:szCs w:val="20"/>
                <w:color w:val="auto"/>
              </w:rPr>
            </w:pPr>
            <w:r>
              <w:rPr>
                <w:rFonts w:ascii="Arial" w:cs="Arial" w:eastAsia="Arial" w:hAnsi="Arial"/>
                <w:sz w:val="14"/>
                <w:szCs w:val="14"/>
                <w:b w:val="1"/>
                <w:bCs w:val="1"/>
                <w:color w:val="auto"/>
                <w:w w:val="90"/>
              </w:rPr>
              <w:t>Street, Suite 2000</w:t>
            </w:r>
          </w:p>
        </w:tc>
        <w:tc>
          <w:tcPr>
            <w:tcW w:w="4020" w:type="dxa"/>
            <w:vAlign w:val="bottom"/>
            <w:gridSpan w:val="2"/>
          </w:tcPr>
          <w:p>
            <w:pPr>
              <w:jc w:val="center"/>
              <w:ind w:right="1580"/>
              <w:spacing w:after="0" w:line="149" w:lineRule="exact"/>
              <w:rPr>
                <w:sz w:val="20"/>
                <w:szCs w:val="20"/>
                <w:color w:val="auto"/>
              </w:rPr>
            </w:pPr>
            <w:r>
              <w:rPr>
                <w:rFonts w:ascii="Arial" w:cs="Arial" w:eastAsia="Arial" w:hAnsi="Arial"/>
                <w:sz w:val="14"/>
                <w:szCs w:val="14"/>
                <w:b w:val="1"/>
                <w:bCs w:val="1"/>
                <w:color w:val="auto"/>
                <w:w w:val="91"/>
              </w:rPr>
              <w:t>Watertown, Massachusetts 02472</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8"/>
        </w:trPr>
        <w:tc>
          <w:tcPr>
            <w:tcW w:w="3500" w:type="dxa"/>
            <w:vAlign w:val="bottom"/>
          </w:tcPr>
          <w:p>
            <w:pPr>
              <w:jc w:val="center"/>
              <w:ind w:right="1491"/>
              <w:spacing w:after="0" w:line="149" w:lineRule="exact"/>
              <w:rPr>
                <w:sz w:val="20"/>
                <w:szCs w:val="20"/>
                <w:color w:val="auto"/>
              </w:rPr>
            </w:pPr>
            <w:r>
              <w:rPr>
                <w:rFonts w:ascii="Arial" w:cs="Arial" w:eastAsia="Arial" w:hAnsi="Arial"/>
                <w:sz w:val="14"/>
                <w:szCs w:val="14"/>
                <w:b w:val="1"/>
                <w:bCs w:val="1"/>
                <w:color w:val="auto"/>
                <w:w w:val="91"/>
              </w:rPr>
              <w:t>San Francisco, California 94111</w:t>
            </w:r>
          </w:p>
        </w:tc>
        <w:tc>
          <w:tcPr>
            <w:tcW w:w="23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3"/>
              </w:rPr>
              <w:t>(857) 760-0900</w:t>
            </w:r>
          </w:p>
        </w:tc>
        <w:tc>
          <w:tcPr>
            <w:tcW w:w="17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10265 Science Center Dr</w:t>
            </w:r>
          </w:p>
        </w:tc>
      </w:tr>
      <w:tr>
        <w:trPr>
          <w:trHeight w:val="149"/>
        </w:trPr>
        <w:tc>
          <w:tcPr>
            <w:tcW w:w="3500" w:type="dxa"/>
            <w:vAlign w:val="bottom"/>
          </w:tcPr>
          <w:p>
            <w:pPr>
              <w:jc w:val="center"/>
              <w:ind w:right="1491"/>
              <w:spacing w:after="0" w:line="149" w:lineRule="exact"/>
              <w:rPr>
                <w:sz w:val="20"/>
                <w:szCs w:val="20"/>
                <w:color w:val="auto"/>
              </w:rPr>
            </w:pPr>
            <w:r>
              <w:rPr>
                <w:rFonts w:ascii="Arial" w:cs="Arial" w:eastAsia="Arial" w:hAnsi="Arial"/>
                <w:sz w:val="14"/>
                <w:szCs w:val="14"/>
                <w:b w:val="1"/>
                <w:bCs w:val="1"/>
                <w:color w:val="auto"/>
                <w:w w:val="93"/>
              </w:rPr>
              <w:t>(415) 391-0600</w:t>
            </w:r>
          </w:p>
        </w:tc>
        <w:tc>
          <w:tcPr>
            <w:tcW w:w="2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San Diego, California 92121</w:t>
            </w:r>
          </w:p>
        </w:tc>
      </w:tr>
      <w:tr>
        <w:trPr>
          <w:trHeight w:val="186"/>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tcPr>
          <w:p>
            <w:pPr>
              <w:jc w:val="right"/>
              <w:ind w:right="330"/>
              <w:spacing w:after="0"/>
              <w:rPr>
                <w:sz w:val="20"/>
                <w:szCs w:val="20"/>
                <w:color w:val="auto"/>
              </w:rPr>
            </w:pPr>
            <w:r>
              <w:rPr>
                <w:rFonts w:ascii="Arial" w:cs="Arial" w:eastAsia="Arial" w:hAnsi="Arial"/>
                <w:sz w:val="14"/>
                <w:szCs w:val="14"/>
                <w:b w:val="1"/>
                <w:bCs w:val="1"/>
                <w:color w:val="auto"/>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7"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75" w:lineRule="exact"/>
        <w:rPr>
          <w:sz w:val="24"/>
          <w:szCs w:val="24"/>
          <w:color w:val="auto"/>
        </w:rPr>
      </w:pPr>
    </w:p>
    <w:p>
      <w:pPr>
        <w:ind w:left="120" w:right="180"/>
        <w:spacing w:after="0" w:line="21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2" w:lineRule="exact"/>
        <w:rPr>
          <w:sz w:val="24"/>
          <w:szCs w:val="24"/>
          <w:color w:val="auto"/>
        </w:rPr>
      </w:pPr>
    </w:p>
    <w:p>
      <w:pPr>
        <w:ind w:left="120" w:right="80"/>
        <w:spacing w:after="0" w:line="217"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120" w:right="660"/>
        <w:spacing w:after="0" w:line="216"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2" w:lineRule="exact"/>
        <w:rPr>
          <w:sz w:val="24"/>
          <w:szCs w:val="24"/>
          <w:color w:val="auto"/>
        </w:rPr>
      </w:pPr>
    </w:p>
    <w:p>
      <w:pPr>
        <w:ind w:left="120" w:right="640"/>
        <w:spacing w:after="0" w:line="217"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2" w:lineRule="exact"/>
        <w:rPr>
          <w:sz w:val="24"/>
          <w:szCs w:val="24"/>
          <w:color w:val="auto"/>
        </w:rPr>
      </w:pPr>
    </w:p>
    <w:p>
      <w:pPr>
        <w:ind w:left="120" w:right="8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8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16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60" w:type="dxa"/>
            <w:vAlign w:val="bottom"/>
          </w:tcPr>
          <w:p>
            <w:pPr>
              <w:ind w:left="328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ind w:left="120" w:right="38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116840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2" w:lineRule="exact"/>
        <w:rPr>
          <w:sz w:val="24"/>
          <w:szCs w:val="24"/>
          <w:color w:val="auto"/>
        </w:rPr>
      </w:pPr>
    </w:p>
    <w:p>
      <w:pPr>
        <w:ind w:left="120" w:right="2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4338"/>
        </w:rPr>
        <w:t>SUBJECT TO COMPLETION, DATED SEPTEMBER 11, 2023</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14,710,000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255270</wp:posOffset>
            </wp:positionV>
            <wp:extent cx="255460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328930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is an initial public offering of shares of common stock of Neumora Therapeutics, Inc.</w:t>
      </w:r>
    </w:p>
    <w:p>
      <w:pPr>
        <w:spacing w:after="0" w:line="333"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We are offering 14,710,000 shares of our common stock. Prior to this offering, there has been no public market for our common stock. It is currently estimated that the initial public offering price per share will be between $16.00 and $18.00 per share of common stock. We have applied to list our common stock on the Nasdaq Global Market under the symbol “NMRA,” and this offering is contingent upon obtaining such approval.</w:t>
      </w:r>
    </w:p>
    <w:p>
      <w:pPr>
        <w:spacing w:after="0" w:line="25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280035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in our common stock involves a high degree of risk. See the section titled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12.</w:t>
      </w: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040" w:type="dxa"/>
            <w:vAlign w:val="bottom"/>
          </w:tcPr>
          <w:p>
            <w:pPr>
              <w:jc w:val="right"/>
              <w:ind w:right="337"/>
              <w:spacing w:after="0"/>
              <w:rPr>
                <w:sz w:val="20"/>
                <w:szCs w:val="20"/>
                <w:color w:val="auto"/>
              </w:rPr>
            </w:pPr>
            <w:r>
              <w:rPr>
                <w:rFonts w:ascii="Arial" w:cs="Arial" w:eastAsia="Arial" w:hAnsi="Arial"/>
                <w:sz w:val="14"/>
                <w:szCs w:val="14"/>
                <w:b w:val="1"/>
                <w:bCs w:val="1"/>
                <w:color w:val="auto"/>
              </w:rPr>
              <w:t>Per</w:t>
            </w:r>
          </w:p>
        </w:tc>
        <w:tc>
          <w:tcPr>
            <w:tcW w:w="280" w:type="dxa"/>
            <w:vAlign w:val="bottom"/>
          </w:tcPr>
          <w:p>
            <w:pPr>
              <w:spacing w:after="0"/>
              <w:rPr>
                <w:sz w:val="14"/>
                <w:szCs w:val="14"/>
                <w:color w:val="auto"/>
              </w:rPr>
            </w:pPr>
          </w:p>
        </w:tc>
        <w:tc>
          <w:tcPr>
            <w:tcW w:w="11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040" w:type="dxa"/>
            <w:vAlign w:val="bottom"/>
          </w:tcPr>
          <w:p>
            <w:pPr>
              <w:jc w:val="right"/>
              <w:ind w:right="257"/>
              <w:spacing w:after="0"/>
              <w:rPr>
                <w:sz w:val="20"/>
                <w:szCs w:val="20"/>
                <w:color w:val="auto"/>
              </w:rPr>
            </w:pPr>
            <w:r>
              <w:rPr>
                <w:rFonts w:ascii="Arial" w:cs="Arial" w:eastAsia="Arial" w:hAnsi="Arial"/>
                <w:sz w:val="14"/>
                <w:szCs w:val="14"/>
                <w:b w:val="1"/>
                <w:bCs w:val="1"/>
                <w:color w:val="auto"/>
              </w:rPr>
              <w:t>Share</w:t>
            </w: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line="216"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5"/>
                <w:szCs w:val="25"/>
                <w:color w:val="auto"/>
                <w:vertAlign w:val="superscript"/>
              </w:rPr>
              <w:t>(1)</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the estimated underwriting discounts and commissions and estimated offering expenses.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granted the underwriters an option for a period of 30 days to purchase up to an additional 2,206,500 shares of our common stock.</w:t>
      </w:r>
    </w:p>
    <w:p>
      <w:pPr>
        <w:spacing w:after="0" w:line="34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5"/>
              </w:rPr>
              <w:t>The underwriters expect to deliver the shares against payment in New York, New York on</w:t>
            </w:r>
          </w:p>
        </w:tc>
        <w:tc>
          <w:tcPr>
            <w:tcW w:w="880" w:type="dxa"/>
            <w:vAlign w:val="bottom"/>
          </w:tcPr>
          <w:p>
            <w:pPr>
              <w:jc w:val="right"/>
              <w:spacing w:after="0"/>
              <w:rPr>
                <w:sz w:val="20"/>
                <w:szCs w:val="20"/>
                <w:color w:val="auto"/>
              </w:rPr>
            </w:pPr>
            <w:r>
              <w:rPr>
                <w:rFonts w:ascii="Arial" w:cs="Arial" w:eastAsia="Arial" w:hAnsi="Arial"/>
                <w:sz w:val="18"/>
                <w:szCs w:val="18"/>
                <w:color w:val="auto"/>
              </w:rPr>
              <w:t>, 2023.</w:t>
            </w:r>
          </w:p>
        </w:tc>
      </w:tr>
    </w:tbl>
    <w:p>
      <w:pPr>
        <w:spacing w:after="0" w:line="306"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271780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tabs>
          <w:tab w:leader="none" w:pos="1220" w:val="left"/>
          <w:tab w:leader="none" w:pos="3200" w:val="left"/>
          <w:tab w:leader="none" w:pos="4080" w:val="left"/>
          <w:tab w:leader="none" w:pos="6940" w:val="left"/>
          <w:tab w:leader="none" w:pos="9580" w:val="left"/>
        </w:tabs>
        <w:rPr>
          <w:sz w:val="20"/>
          <w:szCs w:val="20"/>
          <w:color w:val="auto"/>
        </w:rPr>
      </w:pPr>
      <w:r>
        <w:rPr>
          <w:rFonts w:ascii="Arial" w:cs="Arial" w:eastAsia="Arial" w:hAnsi="Arial"/>
          <w:sz w:val="18"/>
          <w:szCs w:val="18"/>
          <w:b w:val="1"/>
          <w:bCs w:val="1"/>
          <w:color w:val="auto"/>
        </w:rPr>
        <w:t>J.P. Morgan</w:t>
        <w:tab/>
        <w:t>BofA Securities</w:t>
      </w:r>
      <w:r>
        <w:rPr>
          <w:sz w:val="20"/>
          <w:szCs w:val="20"/>
          <w:color w:val="auto"/>
        </w:rPr>
        <w:tab/>
      </w:r>
      <w:r>
        <w:rPr>
          <w:rFonts w:ascii="Arial" w:cs="Arial" w:eastAsia="Arial" w:hAnsi="Arial"/>
          <w:sz w:val="18"/>
          <w:szCs w:val="18"/>
          <w:b w:val="1"/>
          <w:bCs w:val="1"/>
          <w:color w:val="auto"/>
        </w:rPr>
        <w:t>Stifel</w:t>
      </w:r>
      <w:r>
        <w:rPr>
          <w:sz w:val="20"/>
          <w:szCs w:val="20"/>
          <w:color w:val="auto"/>
        </w:rPr>
        <w:tab/>
      </w:r>
      <w:r>
        <w:rPr>
          <w:rFonts w:ascii="Arial" w:cs="Arial" w:eastAsia="Arial" w:hAnsi="Arial"/>
          <w:sz w:val="18"/>
          <w:szCs w:val="18"/>
          <w:b w:val="1"/>
          <w:bCs w:val="1"/>
          <w:color w:val="auto"/>
        </w:rPr>
        <w:t>Guggenheim Securities</w:t>
      </w:r>
      <w:r>
        <w:rPr>
          <w:sz w:val="20"/>
          <w:szCs w:val="20"/>
          <w:color w:val="auto"/>
        </w:rPr>
        <w:tab/>
      </w:r>
      <w:r>
        <w:rPr>
          <w:rFonts w:ascii="Arial" w:cs="Arial" w:eastAsia="Arial" w:hAnsi="Arial"/>
          <w:sz w:val="18"/>
          <w:szCs w:val="18"/>
          <w:b w:val="1"/>
          <w:bCs w:val="1"/>
          <w:color w:val="auto"/>
        </w:rPr>
        <w:t>RBC Capital Markets</w:t>
      </w:r>
      <w:r>
        <w:rPr>
          <w:sz w:val="20"/>
          <w:szCs w:val="20"/>
          <w:color w:val="auto"/>
        </w:rPr>
        <w:tab/>
      </w:r>
      <w:r>
        <w:rPr>
          <w:rFonts w:ascii="Arial" w:cs="Arial" w:eastAsia="Arial" w:hAnsi="Arial"/>
          <w:sz w:val="17"/>
          <w:szCs w:val="17"/>
          <w:b w:val="1"/>
          <w:bCs w:val="1"/>
          <w:color w:val="auto"/>
        </w:rPr>
        <w:t>William Blair</w:t>
      </w:r>
    </w:p>
    <w:p>
      <w:pPr>
        <w:spacing w:after="0" w:line="33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2023</w:t>
      </w:r>
    </w:p>
    <w:p>
      <w:pPr>
        <w:sectPr>
          <w:pgSz w:w="11900" w:h="16838" w:orient="portrait"/>
          <w:cols w:equalWidth="0" w:num="1">
            <w:col w:w="11140"/>
          </w:cols>
          <w:pgMar w:left="320" w:top="45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gridSpan w:val="13"/>
            <w:vMerge w:val="restart"/>
          </w:tcPr>
          <w:p>
            <w:pPr>
              <w:spacing w:after="0"/>
              <w:rPr>
                <w:sz w:val="20"/>
                <w:szCs w:val="20"/>
                <w:color w:val="auto"/>
              </w:rPr>
            </w:pPr>
            <w:r>
              <w:rPr>
                <w:rFonts w:ascii="Arial" w:cs="Arial" w:eastAsia="Arial" w:hAnsi="Arial"/>
                <w:sz w:val="18"/>
                <w:szCs w:val="18"/>
                <w:color w:val="0000EE"/>
              </w:rPr>
              <w:t>Prospectus Summary</w:t>
            </w: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Page</w:t>
            </w:r>
          </w:p>
        </w:tc>
        <w:tc>
          <w:tcPr>
            <w:tcW w:w="5000" w:type="dxa"/>
            <w:vAlign w:val="bottom"/>
            <w:gridSpan w:val="14"/>
            <w:vMerge w:val="restart"/>
          </w:tcPr>
          <w:p>
            <w:pPr>
              <w:spacing w:after="0"/>
              <w:rPr>
                <w:sz w:val="20"/>
                <w:szCs w:val="20"/>
                <w:color w:val="auto"/>
              </w:rPr>
            </w:pPr>
            <w:r>
              <w:rPr>
                <w:rFonts w:ascii="Arial" w:cs="Arial" w:eastAsia="Arial" w:hAnsi="Arial"/>
                <w:sz w:val="18"/>
                <w:szCs w:val="18"/>
                <w:color w:val="0000EE"/>
              </w:rPr>
              <w:t>Management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488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20" w:type="dxa"/>
            <w:vAlign w:val="bottom"/>
          </w:tcPr>
          <w:p>
            <w:pPr>
              <w:spacing w:after="0"/>
              <w:rPr>
                <w:sz w:val="13"/>
                <w:szCs w:val="13"/>
                <w:color w:val="auto"/>
              </w:rPr>
            </w:pPr>
          </w:p>
        </w:tc>
        <w:tc>
          <w:tcPr>
            <w:tcW w:w="5000" w:type="dxa"/>
            <w:vAlign w:val="bottom"/>
            <w:gridSpan w:val="14"/>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gridSpan w:val="7"/>
          </w:tcPr>
          <w:p>
            <w:pPr>
              <w:spacing w:after="0"/>
              <w:rPr>
                <w:sz w:val="20"/>
                <w:szCs w:val="20"/>
                <w:color w:val="auto"/>
              </w:rPr>
            </w:pPr>
            <w:r>
              <w:rPr>
                <w:rFonts w:ascii="Arial" w:cs="Arial" w:eastAsia="Arial" w:hAnsi="Arial"/>
                <w:sz w:val="18"/>
                <w:szCs w:val="18"/>
                <w:color w:val="0000EE"/>
              </w:rPr>
              <w:t>The Offering</w:t>
            </w:r>
          </w:p>
        </w:tc>
        <w:tc>
          <w:tcPr>
            <w:tcW w:w="3360" w:type="dxa"/>
            <w:vAlign w:val="bottom"/>
            <w:gridSpan w:val="6"/>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5000" w:type="dxa"/>
            <w:vAlign w:val="bottom"/>
            <w:gridSpan w:val="14"/>
          </w:tcPr>
          <w:p>
            <w:pPr>
              <w:spacing w:after="0"/>
              <w:rPr>
                <w:sz w:val="20"/>
                <w:szCs w:val="20"/>
                <w:color w:val="auto"/>
              </w:rPr>
            </w:pPr>
            <w:r>
              <w:rPr>
                <w:rFonts w:ascii="Arial" w:cs="Arial" w:eastAsia="Arial" w:hAnsi="Arial"/>
                <w:sz w:val="18"/>
                <w:szCs w:val="18"/>
                <w:color w:val="0000EE"/>
              </w:rPr>
              <w:t>Director Compensation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gridSpan w:val="10"/>
          </w:tcPr>
          <w:p>
            <w:pPr>
              <w:spacing w:after="0" w:line="196" w:lineRule="exact"/>
              <w:rPr>
                <w:sz w:val="20"/>
                <w:szCs w:val="20"/>
                <w:color w:val="auto"/>
              </w:rPr>
            </w:pPr>
            <w:r>
              <w:rPr>
                <w:rFonts w:ascii="Arial" w:cs="Arial" w:eastAsia="Arial" w:hAnsi="Arial"/>
                <w:sz w:val="18"/>
                <w:szCs w:val="18"/>
                <w:color w:val="0000EE"/>
                <w:w w:val="90"/>
              </w:rPr>
              <w:t>Summary Consolidated Financial Data</w:t>
            </w:r>
          </w:p>
        </w:tc>
        <w:tc>
          <w:tcPr>
            <w:tcW w:w="2080" w:type="dxa"/>
            <w:vAlign w:val="bottom"/>
            <w:gridSpan w:val="3"/>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Executive Compensation</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gridSpan w:val="10"/>
          </w:tcPr>
          <w:p>
            <w:pPr>
              <w:spacing w:after="0" w:line="196" w:lineRule="exact"/>
              <w:rPr>
                <w:sz w:val="20"/>
                <w:szCs w:val="20"/>
                <w:color w:val="auto"/>
              </w:rPr>
            </w:pPr>
            <w:r>
              <w:rPr>
                <w:rFonts w:ascii="Arial" w:cs="Arial" w:eastAsia="Arial" w:hAnsi="Arial"/>
                <w:sz w:val="18"/>
                <w:szCs w:val="18"/>
                <w:color w:val="0000EE"/>
              </w:rPr>
              <w:t>Risk Factors</w:t>
            </w:r>
          </w:p>
        </w:tc>
        <w:tc>
          <w:tcPr>
            <w:tcW w:w="2080" w:type="dxa"/>
            <w:vAlign w:val="bottom"/>
            <w:gridSpan w:val="3"/>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12</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Certain Relationships and Related-Party Transactions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1000" w:type="dxa"/>
            <w:vAlign w:val="bottom"/>
            <w:gridSpan w:val="2"/>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79</w:t>
            </w:r>
          </w:p>
        </w:tc>
        <w:tc>
          <w:tcPr>
            <w:tcW w:w="16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Principal Stockholders</w:t>
            </w:r>
          </w:p>
        </w:tc>
        <w:tc>
          <w:tcPr>
            <w:tcW w:w="332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184</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Industry and Market Data</w:t>
            </w:r>
          </w:p>
        </w:tc>
        <w:tc>
          <w:tcPr>
            <w:tcW w:w="3020" w:type="dxa"/>
            <w:vAlign w:val="bottom"/>
            <w:gridSpan w:val="5"/>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81</w:t>
            </w:r>
          </w:p>
        </w:tc>
        <w:tc>
          <w:tcPr>
            <w:tcW w:w="20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Description of Capital Stock</w:t>
            </w:r>
          </w:p>
        </w:tc>
        <w:tc>
          <w:tcPr>
            <w:tcW w:w="29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196"/>
        </w:trPr>
        <w:tc>
          <w:tcPr>
            <w:tcW w:w="4880" w:type="dxa"/>
            <w:vAlign w:val="bottom"/>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82</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Material U.S. Federal Income Tax Consequences to Non-U.S.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0000EE"/>
                <w:w w:val="94"/>
              </w:rPr>
              <w:t>Dividend Policy</w:t>
            </w:r>
          </w:p>
        </w:tc>
        <w:tc>
          <w:tcPr>
            <w:tcW w:w="3700" w:type="dxa"/>
            <w:vAlign w:val="bottom"/>
            <w:gridSpan w:val="7"/>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84</w:t>
            </w:r>
          </w:p>
        </w:tc>
        <w:tc>
          <w:tcPr>
            <w:tcW w:w="18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Arial" w:cs="Arial" w:eastAsia="Arial" w:hAnsi="Arial"/>
                <w:sz w:val="18"/>
                <w:szCs w:val="18"/>
                <w:color w:val="0000EE"/>
              </w:rPr>
              <w:t>Holders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0000EE"/>
              </w:rPr>
              <w:t>Capitalization</w:t>
            </w:r>
          </w:p>
        </w:tc>
        <w:tc>
          <w:tcPr>
            <w:tcW w:w="3700" w:type="dxa"/>
            <w:vAlign w:val="bottom"/>
            <w:gridSpan w:val="7"/>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85</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Shares Eligible for Future Sale</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Dilution</w:t>
            </w:r>
          </w:p>
        </w:tc>
        <w:tc>
          <w:tcPr>
            <w:tcW w:w="3880" w:type="dxa"/>
            <w:vAlign w:val="bottom"/>
            <w:gridSpan w:val="9"/>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87</w:t>
            </w:r>
          </w:p>
        </w:tc>
        <w:tc>
          <w:tcPr>
            <w:tcW w:w="22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Underwriting</w:t>
            </w:r>
          </w:p>
        </w:tc>
        <w:tc>
          <w:tcPr>
            <w:tcW w:w="27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3"/>
          </w:tcPr>
          <w:p>
            <w:pPr>
              <w:spacing w:after="0" w:line="196" w:lineRule="exact"/>
              <w:rPr>
                <w:sz w:val="20"/>
                <w:szCs w:val="20"/>
                <w:color w:val="auto"/>
              </w:rPr>
            </w:pPr>
            <w:r>
              <w:rPr>
                <w:rFonts w:ascii="Arial" w:cs="Arial" w:eastAsia="Arial" w:hAnsi="Arial"/>
                <w:sz w:val="18"/>
                <w:szCs w:val="18"/>
                <w:color w:val="0000EE"/>
                <w:w w:val="98"/>
              </w:rPr>
              <w:t>Management’s Discussion and Analysis of Financial Condition</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Legal Matters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and Results of Operations</w:t>
            </w:r>
          </w:p>
        </w:tc>
        <w:tc>
          <w:tcPr>
            <w:tcW w:w="340" w:type="dxa"/>
            <w:vAlign w:val="bottom"/>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90</w:t>
            </w:r>
          </w:p>
        </w:tc>
        <w:tc>
          <w:tcPr>
            <w:tcW w:w="10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Experts</w:t>
            </w:r>
          </w:p>
        </w:tc>
        <w:tc>
          <w:tcPr>
            <w:tcW w:w="40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tcBorders>
              <w:left w:val="single" w:sz="8" w:color="0000EE"/>
            </w:tcBorders>
            <w:gridSpan w:val="7"/>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3"/>
          </w:tcPr>
          <w:p>
            <w:pPr>
              <w:spacing w:after="0" w:line="196" w:lineRule="exact"/>
              <w:rPr>
                <w:sz w:val="20"/>
                <w:szCs w:val="20"/>
                <w:color w:val="auto"/>
              </w:rPr>
            </w:pPr>
            <w:r>
              <w:rPr>
                <w:rFonts w:ascii="Arial" w:cs="Arial" w:eastAsia="Arial" w:hAnsi="Arial"/>
                <w:sz w:val="18"/>
                <w:szCs w:val="18"/>
                <w:color w:val="0000EE"/>
              </w:rPr>
              <w:t>Business</w:t>
            </w: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115</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Index to Consolidated Financial Statements</w:t>
            </w:r>
          </w:p>
        </w:tc>
        <w:tc>
          <w:tcPr>
            <w:tcW w:w="18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not, and the underwriters have not, authorized anyone to provide you any information or to make any representations other than those contained in this prospectus or in any free writing prospectus prepared by or on behalf of us or to which we have referred you. Neither we nor the underwriters take responsibility for, or provide any assurance as to the reliability of, any other information others may give you. This prospectus is an offer to sell only the shares offered hereby, and only under circumstances and in jurisdictions where it is lawful to do so. We are not, and the underwriters are not, making an offer to sell these securities in any jurisdiction where the offer or sale is not permitted. The information contained in this prospectus is accurate only as of the date of this prospectus, regardless of the time of delivery of this prospectus or any sale of the shares of our common stock. Our business, financial condition, results of operations and prospects may have changed since that date.</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in connection with this offering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 See the section titled “Underwriting.”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this prospectus, “Neumora Therapeutics,” “Neumora,” the “company,” “we,” “us” and “our” refer to Neumora Therapeutics, Inc. and, where appropriate, our subsidiaries.</w:t>
      </w:r>
    </w:p>
    <w:p>
      <w:pPr>
        <w:spacing w:after="0" w:line="170" w:lineRule="exact"/>
        <w:rPr>
          <w:sz w:val="20"/>
          <w:szCs w:val="20"/>
          <w:color w:val="auto"/>
        </w:rPr>
      </w:pPr>
    </w:p>
    <w:p>
      <w:pPr>
        <w:ind w:left="120" w:right="80" w:firstLine="440"/>
        <w:spacing w:after="0" w:line="233" w:lineRule="auto"/>
        <w:rPr>
          <w:sz w:val="20"/>
          <w:szCs w:val="20"/>
          <w:color w:val="auto"/>
        </w:rPr>
      </w:pPr>
      <w:r>
        <w:rPr>
          <w:rFonts w:ascii="Arial" w:cs="Arial" w:eastAsia="Arial" w:hAnsi="Arial"/>
          <w:sz w:val="18"/>
          <w:szCs w:val="18"/>
          <w:color w:val="auto"/>
        </w:rPr>
        <w:t xml:space="preserve">“NEUMORA,” the Neumora logos and other trade names, trademarks or service marks of Neumora appearing in this prospectus are the property of Neumora. Other trade names, trademarks or service marks appearing in this prospectus are the property of their respective holders. Solely for convenience, trade names, trademarks and service marks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198"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Through and including , 2023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47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of the information that you should consider before deciding to invest in our common stock. You should read this entire prospectus carefully, including the sections titled “Risk Factors,” “Management’s Discussion and Analysis of Financial Condition and Results of Operations” and “Business,” and our audited consolidated financial statements, unaudited condensed consolidated financial statements and related notes included elsewhere in this prospectus before making an investment decision. Some of the statements in this prospectus are forward-looking statements. See the section titled “Special Note Regarding Forward-Looking Statements.”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We are a clinical-stage biopharmaceutical company founded to confront the global brain disease crisis by taking a fundamentally different approach to the way treatments for brain diseases are developed. We have rapidly scaled our therapeutic pipeline, which currently consists of seven clinical and preclinical neuroscience programs that target novel mechanisms of action for a broad range of underserved neuropsychiatric disorders and neurodegenerative diseases. We expect to continue to progress the development of our pipeline with the planned initiation of multiple clinical trials across our programs over the next 12 to 18 months, which supports numerous anticipated data readouts. Our most advanced product candidate, navacaprant (NMRA-140), is a novel once-daily oral kappa opioid receptor (KOR) antagonist that is being developed for the treatment of major depressive disorder (MDD), which we believe has the potential to provide significant advantages relative to the standard of care, if approved. We are initiating a pivotal Phase 3 program for navacaprant monotherapy in patients with moderate to severe MDD and anticipate releasing topline results for the KOASTAL-1 study in the second half of 2024.</w:t>
      </w:r>
    </w:p>
    <w:p>
      <w:pPr>
        <w:spacing w:after="0" w:line="181"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color w:val="auto"/>
        </w:rPr>
        <w:t>Brain diseases collectively represent one of the largest areas of unmet medical need globally, affecting upwards of 1.5 billion patients. Despite the commercial success of historically approved drugs, the markets for many of the most prevalent brain disorders have been dominated by a single class of drugs, such as serotonin-targeting antidepressants for MDD, leaving patients with a high degree of unmet medical need given the lack of diverse treatment options and mechanisms of action. For example, there are currently over 21 million adults in the United States diagnosed with MDD, 85% of whom either do not receive treatment with a pharmacological agent or fail to achieve remission with first-line selective serotonin reuptake inhibitors (SSRI)/serotonin and norepinephrine reuptake inhibitors (SNRI) and thus progress onto second-line treatment with another SSRI/SNRI. In addition, patients with common neuropsychiatric disorders and neurodegenerative diseases are heterogeneous, presenting diverse symptoms and multiple underlying disease drivers. Despite the inherent heterogeneity of these disorders, patients are generally diagnosed based on broad disease classifications defined by subjective clinical symptoms rather than by specific underlying genetic and biological mechanisms. As a result, clinical development in neuroscience to date has taken a “one-size-fits-all” approach, in contrast to other areas that have employed more of a targeted patient selection approach. From 2011 to 2020, clinical development success rates for new drug candidates that employed patient selection biomarkers were approximately 16% compared to approximately 8% for those without patient selection biomarkers according to the Biotechnology Innovation Organization (BIO); however, clinical success depends on a number of factors and employing a patient selection biomarker approach does not guarantee that our product candidates will be approved and commercialized. We believe the relative lack of progress and innovation within the broader central nervous system (CNS) therapeutic landscape is due in large part to an insufficient degree of focus on novel, potentially more therapeutically relevant targets implicated in CNS diseases and clinical development strategies that often yield inconclusive results due to the inherent heterogeneity known to occur in patient populations classified by broad symptomatic domains.</w:t>
      </w: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903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6903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We founded Neumora to confront these challenges by taking a fundamentally different approach to the way treatments for brain diseases are developed. We are redefining neuroscience drug development by:</w:t>
      </w:r>
    </w:p>
    <w:p>
      <w:pPr>
        <w:spacing w:after="0" w:line="76" w:lineRule="exact"/>
        <w:rPr>
          <w:sz w:val="20"/>
          <w:szCs w:val="20"/>
          <w:color w:val="auto"/>
        </w:rPr>
      </w:pPr>
    </w:p>
    <w:p>
      <w:pPr>
        <w:ind w:left="1240" w:hanging="523"/>
        <w:spacing w:after="0" w:line="259"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Building a diversified neuroscience company at scale with a broad therapeutic pipeline and significant capital resources</w:t>
      </w:r>
      <w:r>
        <w:rPr>
          <w:rFonts w:ascii="Arial" w:cs="Arial" w:eastAsia="Arial" w:hAnsi="Arial"/>
          <w:sz w:val="18"/>
          <w:szCs w:val="18"/>
          <w:color w:val="auto"/>
        </w:rPr>
        <w:t>: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raised over $600 million in funding and purpose-built an industry-leading team of company builders and neuroscience drug developers. As a result, we have quickly scaled a broad therapeutic pipeline consisting of seven clinical and preclinical programs, which we aim to develop to meet unmet medical need across brain health disorders.</w:t>
      </w:r>
    </w:p>
    <w:p>
      <w:pPr>
        <w:spacing w:after="0" w:line="92" w:lineRule="exact"/>
        <w:rPr>
          <w:rFonts w:ascii="Arial" w:cs="Arial" w:eastAsia="Arial" w:hAnsi="Arial"/>
          <w:sz w:val="18"/>
          <w:szCs w:val="18"/>
          <w:color w:val="auto"/>
        </w:rPr>
      </w:pPr>
    </w:p>
    <w:p>
      <w:pPr>
        <w:ind w:left="1240" w:right="20" w:hanging="523"/>
        <w:spacing w:after="0" w:line="254"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Focusing on therapeutic candidates with novel mechanisms of action</w:t>
      </w:r>
      <w:r>
        <w:rPr>
          <w:rFonts w:ascii="Arial" w:cs="Arial" w:eastAsia="Arial" w:hAnsi="Arial"/>
          <w:sz w:val="18"/>
          <w:szCs w:val="18"/>
          <w:color w:val="auto"/>
        </w:rPr>
        <w:t>: We have built a pipeline of seven clinical and preclinical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that target novel mechanisms of action with the potential to provide new treatment options to patients that alleviate unmet medical need. Several of our programs target novel mechanisms of actions that have shown preclinical and clinical data from Neumora and other leading biopharmaceutical companies pursuing programs against the same target. For example, another KOR antagonist aticaprant (Janssen Pharmaceuticals) has demonstrated an improvement in depression and anhedonia in prior clinical trials and M4 muscarinic receptor-targeting compounds have demonstrated potential as an approach to treating schizophrenia in multiple, placebo-controlled clinical trials.</w:t>
      </w:r>
    </w:p>
    <w:p>
      <w:pPr>
        <w:spacing w:after="0" w:line="100" w:lineRule="exact"/>
        <w:rPr>
          <w:rFonts w:ascii="Arial" w:cs="Arial" w:eastAsia="Arial" w:hAnsi="Arial"/>
          <w:sz w:val="18"/>
          <w:szCs w:val="18"/>
          <w:color w:val="auto"/>
        </w:rPr>
      </w:pPr>
    </w:p>
    <w:p>
      <w:pPr>
        <w:ind w:left="1240" w:right="60" w:hanging="523"/>
        <w:spacing w:after="0" w:line="272"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Leveraging a precision neuroscience approach with the goal of maximizing the value of our programs</w:t>
      </w:r>
      <w:r>
        <w:rPr>
          <w:rFonts w:ascii="Arial" w:cs="Arial" w:eastAsia="Arial" w:hAnsi="Arial"/>
          <w:sz w:val="17"/>
          <w:szCs w:val="17"/>
          <w:color w:val="auto"/>
        </w:rPr>
        <w:t>: To better understand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biological drivers of heterogeneous brain diseases and to identify targeted patient populations of interest, we have built our Precision Toolbox, which integrates a suite of translational and clinical tools with proprietary machine learning algorithms and methods, and incorporates insights from analyzing patient data. We believe our Precision Toolbox will enable us to execute potential strategies to gain confidence in a target or potential indication, help identify biomarkers, enroll the right patients in our clinical studies, optimize clinical trial designs and expand indication expansion opportunities; ultimately, supporting our goal of increasing the likelihood of matching the right drug for the right patient.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8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We have rapidly scaled our therapeutic pipeline through both business development activities and internal discovery capabilities. Our therapeutic pipeline is comprised of programs for neuropsychiatric disorders and neurodegenerative diseases, each targeting a novel mechanism of action that, where beneficial, we can leverage our precision neuroscience approach. As shown in the table below, our current pipeline comprises seven programs, three of which are expected to be in clinical development by year-end 2023 and four of which are in preclinical development. We expect to continue to progress the development of our pipeline with the planned initiation of multiple clinical trials across our programs over the next 12 to 18 months, which supports numerous anticipated data readouts, including receipt of topline data from our KOASTAL-1 study for navacaprant expected in the second half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i w:val="1"/>
          <w:iCs w:val="1"/>
          <w:color w:val="auto"/>
        </w:rPr>
        <w:t>Figure 1: Neumora Pipeline</w:t>
      </w:r>
    </w:p>
    <w:p>
      <w:pPr>
        <w:spacing w:after="0" w:line="34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320" w:top="459" w:right="7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b w:val="1"/>
          <w:bCs w:val="1"/>
          <w:i w:val="1"/>
          <w:iCs w:val="1"/>
          <w:color w:val="auto"/>
        </w:rPr>
        <w:t xml:space="preserve">Navacaprant (NMRA-140) </w:t>
      </w:r>
      <w:r>
        <w:rPr>
          <w:rFonts w:ascii="Arial" w:cs="Arial" w:eastAsia="Arial" w:hAnsi="Arial"/>
          <w:sz w:val="16"/>
          <w:szCs w:val="16"/>
          <w:color w:val="auto"/>
        </w:rPr>
        <w:t>is a novel, oral once-daily, selective KOR antagonist in development for the monotherapy treatment of MDD,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is a chronic neuropsychiatric disorder with significant unmet medical need. There are currently over 21 million adults in the United States diagnosed with MDD, 85% of whom either do not receive treatment with a pharmacological agent or fail to achieve remission with first-line SSRI/SNRI. We are developing navacaprant as a once-daily oral medication designed to modulate the dopamine and reward processing pathways that play an important role in the regulation of mood, cognition, reward and behavior. The KOR/dynorphin system is well-characterized and known to modulate depression, anhedonia and anxiety, and represents a novel approach to treating MDD and other major neuropsychiatric disorders. Following the completion of an End-of-Phase 2 meeting with the U.S. Food &amp; Drug Administration (FDA) in June 2023, we are initiating a pivotal Phase 3 program for navacaprant monotherapy in patients with moderate to severe MDD consisting of three efficacy studies: KOASTAL-1, KOASTAL-2 and KOASTAL-3. We anticipate releasing topline results for the KOASTAL-1 study in the second half of 2024. In addition, we intend to explore and evaluate the potential of navacaprant as treatment for other neuropsychiatric populations beyond MDD, including bipolar depression, schizophrenia, post-traumatic stress disorder, generalized anxiety disorder, ADHD, and substance use disorder. We plan to begin these efforts with a clinical trial in bipolar depression that we expect to initiate in the first half of 2024.</w:t>
      </w:r>
    </w:p>
    <w:p>
      <w:pPr>
        <w:spacing w:after="0" w:line="168" w:lineRule="exact"/>
        <w:rPr>
          <w:sz w:val="20"/>
          <w:szCs w:val="20"/>
          <w:color w:val="auto"/>
        </w:rPr>
      </w:pPr>
    </w:p>
    <w:p>
      <w:pPr>
        <w:ind w:left="300" w:right="60" w:firstLine="426"/>
        <w:spacing w:after="0" w:line="255" w:lineRule="auto"/>
        <w:rPr>
          <w:sz w:val="20"/>
          <w:szCs w:val="20"/>
          <w:color w:val="auto"/>
        </w:rPr>
      </w:pPr>
      <w:r>
        <w:rPr>
          <w:rFonts w:ascii="Arial" w:cs="Arial" w:eastAsia="Arial" w:hAnsi="Arial"/>
          <w:sz w:val="18"/>
          <w:szCs w:val="18"/>
          <w:b w:val="1"/>
          <w:bCs w:val="1"/>
          <w:i w:val="1"/>
          <w:iCs w:val="1"/>
          <w:color w:val="auto"/>
        </w:rPr>
        <w:t xml:space="preserve">NMRA-511 </w:t>
      </w:r>
      <w:r>
        <w:rPr>
          <w:rFonts w:ascii="Arial" w:cs="Arial" w:eastAsia="Arial" w:hAnsi="Arial"/>
          <w:sz w:val="18"/>
          <w:szCs w:val="18"/>
          <w:color w:val="auto"/>
        </w:rPr>
        <w:t>is an investigational antagonist of the vasopressin 1a receptor (V1aR). Vasopressin plays a role in the regulation of aggression,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affiliation, stress and anxiety response. Based on our preclinical findings in non-human primates as well as preclinical and clinical results from third parties, we believe V1aR has the potential to be a promising novel target for multiple neuropsychiatric disorders and neurodegenerative diseases across the spectrum of anxiety, aggression and stress. We are currently conducting a Phase 1 multiple ascending dose (MAD) clinical trial of NMRA-511 and plan to advance the program into a clinical trial in patients with agitation associated with dementia due to Alzheimer’s disease in the first half of 2024.</w:t>
      </w:r>
    </w:p>
    <w:p>
      <w:pPr>
        <w:spacing w:after="0" w:line="192"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b w:val="1"/>
          <w:bCs w:val="1"/>
          <w:i w:val="1"/>
          <w:iCs w:val="1"/>
          <w:color w:val="auto"/>
        </w:rPr>
        <w:t xml:space="preserve">NMRA-266 </w:t>
      </w:r>
      <w:r>
        <w:rPr>
          <w:rFonts w:ascii="Arial" w:cs="Arial" w:eastAsia="Arial" w:hAnsi="Arial"/>
          <w:sz w:val="16"/>
          <w:szCs w:val="16"/>
          <w:color w:val="auto"/>
        </w:rPr>
        <w:t>is a positive allosteric modulator of the M4 muscarinic receptor (M4R) for the treatment of schizophrenia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neuropsychiatric disorders. Our M4R-positive allosteric modulator program is designed to be highly selective for the M4 receptor subtype of the muscarinic receptor family. Muscarinic receptor-targeting compounds have demonstrated robust activity in third-party trials and could be a promising approach to treating schizophrenia (SCZ), with the potential to treat other neuropsychiatric disorders such as dementia-related psychosis and cognitive disorders, where innovation has been stagnant for decades. Selective M4R-positive allosteric modulators have the potential to deliver the antipsychotic efficacy associated with targeting this receptor subtype, while minimizing the side effects associated with current antipsychotics and other non-selective muscarinic agonists. NMRA-266 is in preclinical development and we anticipate submitting an IND to the FDA in the fourth quarter of 2023. We exclusively licensed certain intellectual property rights related to NMRA-266 from Vanderbilt University.</w:t>
      </w:r>
    </w:p>
    <w:p>
      <w:pPr>
        <w:spacing w:after="0" w:line="165" w:lineRule="exact"/>
        <w:rPr>
          <w:sz w:val="20"/>
          <w:szCs w:val="20"/>
          <w:color w:val="auto"/>
        </w:rPr>
      </w:pPr>
    </w:p>
    <w:p>
      <w:pPr>
        <w:ind w:left="300" w:right="100" w:firstLine="426"/>
        <w:spacing w:after="0" w:line="296" w:lineRule="auto"/>
        <w:rPr>
          <w:sz w:val="20"/>
          <w:szCs w:val="20"/>
          <w:color w:val="auto"/>
        </w:rPr>
      </w:pPr>
      <w:r>
        <w:rPr>
          <w:rFonts w:ascii="Arial" w:cs="Arial" w:eastAsia="Arial" w:hAnsi="Arial"/>
          <w:sz w:val="16"/>
          <w:szCs w:val="16"/>
          <w:b w:val="1"/>
          <w:bCs w:val="1"/>
          <w:i w:val="1"/>
          <w:iCs w:val="1"/>
          <w:color w:val="auto"/>
        </w:rPr>
        <w:t xml:space="preserve">NMRA-NMDA </w:t>
      </w:r>
      <w:r>
        <w:rPr>
          <w:rFonts w:ascii="Arial" w:cs="Arial" w:eastAsia="Arial" w:hAnsi="Arial"/>
          <w:sz w:val="16"/>
          <w:szCs w:val="16"/>
          <w:color w:val="auto"/>
        </w:rPr>
        <w:t>is an NMDA positive allosteric modulator program designed to target the NMDA receptor that we intend to develop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treatment of SCZ. Recent breakthroughs in third-party psychiatric genetic studies have provided genetic evidence in support of the role of NMDA receptors in SCZ. Further, human studies suggest NMDA receptor antagonists (such as ketamine) lead to a SCZ-like syndrome when dosed in healthy volunteers, which provides compelling evidence for this target. Our NMRA-NMDA program was internally discovered, and we have focused on proprietary chemistry which targets a distinct binding site on the target. NMRA-NMDA is in preclinical development.</w:t>
      </w:r>
    </w:p>
    <w:p>
      <w:pPr>
        <w:spacing w:after="0" w:line="161"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b w:val="1"/>
          <w:bCs w:val="1"/>
          <w:i w:val="1"/>
          <w:iCs w:val="1"/>
          <w:color w:val="auto"/>
        </w:rPr>
        <w:t>NMRA-CK1</w:t>
      </w:r>
      <w:r>
        <w:rPr>
          <w:rFonts w:ascii="Arial" w:cs="Arial" w:eastAsia="Arial" w:hAnsi="Arial"/>
          <w:sz w:val="17"/>
          <w:szCs w:val="17"/>
          <w:color w:val="auto"/>
        </w:rPr>
        <w:t>d is a CK1d inhibitor program that we intend to develop for amyotrophic lateral sclerosis (ALS). CK1d is a kinase that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as a proximal upstream regulator of TDP-43 phosphorylation, a key driver of TDP-43-driven pathology in approximately 95% of sporadic ALS cases. There is also genetic evidence supporting the role of TDP-43 in ALS. Our NMRA-CK1d program is in preclinical development. We exclusively licensed certain intellectual property rights related to NMRA-CK1d from Amgen Inc. (Amgen).</w:t>
      </w:r>
    </w:p>
    <w:p>
      <w:pPr>
        <w:spacing w:after="0" w:line="171" w:lineRule="exact"/>
        <w:rPr>
          <w:sz w:val="20"/>
          <w:szCs w:val="20"/>
          <w:color w:val="auto"/>
        </w:rPr>
      </w:pPr>
    </w:p>
    <w:p>
      <w:pPr>
        <w:ind w:left="300" w:right="520" w:firstLine="426"/>
        <w:spacing w:after="0" w:line="277" w:lineRule="auto"/>
        <w:rPr>
          <w:sz w:val="20"/>
          <w:szCs w:val="20"/>
          <w:color w:val="auto"/>
        </w:rPr>
      </w:pPr>
      <w:r>
        <w:rPr>
          <w:rFonts w:ascii="Arial" w:cs="Arial" w:eastAsia="Arial" w:hAnsi="Arial"/>
          <w:sz w:val="18"/>
          <w:szCs w:val="18"/>
          <w:b w:val="1"/>
          <w:bCs w:val="1"/>
          <w:i w:val="1"/>
          <w:iCs w:val="1"/>
          <w:color w:val="auto"/>
        </w:rPr>
        <w:t xml:space="preserve">NMRA-NLRP3 </w:t>
      </w:r>
      <w:r>
        <w:rPr>
          <w:rFonts w:ascii="Arial" w:cs="Arial" w:eastAsia="Arial" w:hAnsi="Arial"/>
          <w:sz w:val="18"/>
          <w:szCs w:val="18"/>
          <w:color w:val="auto"/>
        </w:rPr>
        <w:t>is an inhibitor program focused on targeting the NLRP3 inflammasome for the treatment of certain neurodegenerative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The inflammasome is a critical part of the innate immune system that</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responds to pathogens and cellular damage and is implicated in brain disorders, such as Parkinson’s disease (PD), as well as immune disorders. The NLRP3 inflammasome can be activated in brain microglia, a type of cell in the brain, and other cell types by a range of proteins linked to neurodegeneration, including alpha-synuclein (a neuronal protein that regulates synaptic vesicle trafficking and is thought to be critical in PD pathogenesis), which suggests the inflammasome may have a mechanistic role in PD. Our NMRA-NLRP3 program was internally discovered and is in preclinical development.</w:t>
      </w:r>
    </w:p>
    <w:p>
      <w:pPr>
        <w:spacing w:after="0" w:line="188" w:lineRule="exact"/>
        <w:rPr>
          <w:sz w:val="20"/>
          <w:szCs w:val="20"/>
          <w:color w:val="auto"/>
        </w:rPr>
      </w:pPr>
    </w:p>
    <w:p>
      <w:pPr>
        <w:ind w:left="300" w:right="160" w:firstLine="426"/>
        <w:spacing w:after="0" w:line="257" w:lineRule="auto"/>
        <w:rPr>
          <w:sz w:val="20"/>
          <w:szCs w:val="20"/>
          <w:color w:val="auto"/>
        </w:rPr>
      </w:pPr>
      <w:r>
        <w:rPr>
          <w:rFonts w:ascii="Arial" w:cs="Arial" w:eastAsia="Arial" w:hAnsi="Arial"/>
          <w:sz w:val="18"/>
          <w:szCs w:val="18"/>
          <w:b w:val="1"/>
          <w:bCs w:val="1"/>
          <w:i w:val="1"/>
          <w:iCs w:val="1"/>
          <w:color w:val="auto"/>
        </w:rPr>
        <w:t xml:space="preserve">NMRA-GCase </w:t>
      </w:r>
      <w:r>
        <w:rPr>
          <w:rFonts w:ascii="Arial" w:cs="Arial" w:eastAsia="Arial" w:hAnsi="Arial"/>
          <w:sz w:val="18"/>
          <w:szCs w:val="18"/>
          <w:color w:val="auto"/>
        </w:rPr>
        <w:t>is an activator program focused on elevating the activity of the enzyme glucocerebrocidase (GCase) that we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treatment of PD. Mutations in the GBA gene, which codes for the enzyme GCase, are the single largest genetic risk factor for PD. GCase deficiencies lead to storage disorders of the lysosome, which plays an important role in maintaining cellular balance, and a group of patients with PD has lysosomal dysfunction. Our NMRA-GCase program is in preclinical development. We exclusively licensed certain intellectual property rights related to NMRA-GCase from Amgen.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Our people are the backbone of the company and our most important asset. We have assembled a diverse team of experienced company builders and leading neuroscience drug developers, complemented by world-class scientific and technical advisors as well as an experienced board of directors and syndicate of investors. This group shares a long-term commitment to execute our mission to redefine neuroscience drug development by bringing forward the next generation of novel therapies that offer improved treatment outcomes and quality of life for patients suffering from brain diseases.</w:t>
      </w:r>
    </w:p>
    <w:p>
      <w:pPr>
        <w:spacing w:after="0" w:line="93" w:lineRule="exact"/>
        <w:rPr>
          <w:sz w:val="20"/>
          <w:szCs w:val="20"/>
          <w:color w:val="auto"/>
        </w:rPr>
      </w:pPr>
    </w:p>
    <w:p>
      <w:pPr>
        <w:ind w:left="1240" w:right="40" w:hanging="523"/>
        <w:spacing w:after="0" w:line="287"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Experienced Company Builders</w:t>
      </w:r>
      <w:r>
        <w:rPr>
          <w:rFonts w:ascii="Arial" w:cs="Arial" w:eastAsia="Arial" w:hAnsi="Arial"/>
          <w:sz w:val="16"/>
          <w:szCs w:val="16"/>
          <w:color w:val="auto"/>
        </w:rPr>
        <w:t>. We have multiple individuals with experience building disruptive biopharmaceutical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Co-Founder, Executive Chairman of our board of directors and former Chief Executive Officer, Paul L. Berns, has over 30 years of drug development and commercialization experience and was previously the President, Chief Executive Officer and Chairman of the Board of Anacor Pharmaceuticals before it was acquired by Pfizer in 2016. Henry O. Gosebruch, our President and Chief Executive Officer, spent more than seven years leading corporate strategy and long-range planning across all of AbbVie’s therapeutic franchises, including neuroscience, and had responsibility for building and advancing AbbVie’s external innovation pipeline. He has advised major biopharmaceutical and other companies for more than 20 years in his former role in the M&amp;A group at J.P. Morgan where he was co-head of M&amp;A for North America. Carol Suh, our Co-Founder and Chief Operating Officer, has co-founded and built multiple biotechnology companies in her role as a Partner of ARCH Venture Partners. Dr. Joshua Pinto, our Chief Financial Officer, spent a decade advising leading biotechnology companies across their life cycles from his career as an investment banker after completing his Ph.D. in neuroscience and working in research.</w:t>
      </w:r>
    </w:p>
    <w:p>
      <w:pPr>
        <w:spacing w:after="0" w:line="77" w:lineRule="exact"/>
        <w:rPr>
          <w:rFonts w:ascii="Arial" w:cs="Arial" w:eastAsia="Arial" w:hAnsi="Arial"/>
          <w:sz w:val="16"/>
          <w:szCs w:val="16"/>
          <w:color w:val="auto"/>
        </w:rPr>
      </w:pPr>
    </w:p>
    <w:p>
      <w:pPr>
        <w:ind w:left="1240" w:hanging="523"/>
        <w:spacing w:after="0" w:line="269"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Leading Neuroscience Drug Developers</w:t>
      </w:r>
      <w:r>
        <w:rPr>
          <w:rFonts w:ascii="Arial" w:cs="Arial" w:eastAsia="Arial" w:hAnsi="Arial"/>
          <w:sz w:val="17"/>
          <w:szCs w:val="17"/>
          <w:color w:val="auto"/>
        </w:rPr>
        <w:t>. Our scientific leadership team includes world-class physicians and scientists with extensive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neuroscience drug development experience. Dr. Bill Aurora, our Chief Strategy Officer, previously served as Chief Scientific Affairs Officer of Dermira and held medical and scientific affairs leadership roles at Neurocrine Biosciences, Merck Research Laboratories and Amgen. Dr. Rob Lenz, our Head of Research and Development, previously served as Senior Vice President, Global Development at Amgen where he was the global development lead for all of Amgen’s therapeutic areas, including neuroscience. Dr. Michael Gold, our Chief Medical Officer, previously served as Vice President of Neuroscience Development at AbbVie where he was involved in the successful approval of CNS therapies including the recent approval of VRAYLAR as an adjunctive treatment for MDD. Dr. Nick Brandon, our Chief Scientific Officer, previously served as Chief Scientist of AstraZeneca’s Neuroscience Innovative Medicines and Early Development Division, as well as Head of Psychiatry and Behavioral Disorders for a period that bridged the Wyeth and Pfizer Neuroscience organizations.</w:t>
      </w: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0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5106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523"/>
        <w:spacing w:after="0" w:line="259"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Board of Directors and Investors with Shared Long-Term Vision</w:t>
      </w:r>
      <w:r>
        <w:rPr>
          <w:rFonts w:ascii="Arial" w:cs="Arial" w:eastAsia="Arial" w:hAnsi="Arial"/>
          <w:sz w:val="18"/>
          <w:szCs w:val="18"/>
          <w:color w:val="auto"/>
        </w:rPr>
        <w:t>. Our board of directors is comprised of renowned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builders, operators, leaders, scientists and drug developers with experience across a diverse array of companies. Together with our investors, who have supported us with over $600 million in funding, we share a long-term vision to confront the global brain disease crisis at scale.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We founded our company to confront the global brain disease crisis by taking a fundamentally different approach to the way treatments for brain diseases are developed across neuropsychiatric disorders and neurodegenerative diseases. Our mission is to redefine neuroscience drug development by bringing forward the next generation of novel therapies that offer improved treatment outcomes and quality of life for patients suffering from brain diseases. The key components of our business strategy to deliver on our mission are to:</w:t>
      </w:r>
    </w:p>
    <w:p>
      <w:pPr>
        <w:spacing w:after="0" w:line="63" w:lineRule="exact"/>
        <w:rPr>
          <w:sz w:val="20"/>
          <w:szCs w:val="20"/>
          <w:color w:val="auto"/>
        </w:rPr>
      </w:pPr>
    </w:p>
    <w:p>
      <w:pPr>
        <w:ind w:left="1240" w:hanging="523"/>
        <w:spacing w:after="0"/>
        <w:tabs>
          <w:tab w:leader="none" w:pos="12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Build a broad industry-leading pipeline of novel neuroscience therapeutics</w:t>
      </w:r>
    </w:p>
    <w:p>
      <w:pPr>
        <w:spacing w:after="0" w:line="130" w:lineRule="exact"/>
        <w:rPr>
          <w:rFonts w:ascii="Arial" w:cs="Arial" w:eastAsia="Arial" w:hAnsi="Arial"/>
          <w:sz w:val="18"/>
          <w:szCs w:val="18"/>
          <w:b w:val="1"/>
          <w:bCs w:val="1"/>
          <w:i w:val="1"/>
          <w:iCs w:val="1"/>
          <w:color w:val="auto"/>
        </w:rPr>
      </w:pPr>
    </w:p>
    <w:p>
      <w:pPr>
        <w:ind w:left="1240" w:hanging="523"/>
        <w:spacing w:after="0"/>
        <w:tabs>
          <w:tab w:leader="none" w:pos="12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Advance navacaprant towards commercialization</w:t>
      </w:r>
    </w:p>
    <w:p>
      <w:pPr>
        <w:spacing w:after="0" w:line="130" w:lineRule="exact"/>
        <w:rPr>
          <w:rFonts w:ascii="Arial" w:cs="Arial" w:eastAsia="Arial" w:hAnsi="Arial"/>
          <w:sz w:val="18"/>
          <w:szCs w:val="18"/>
          <w:b w:val="1"/>
          <w:bCs w:val="1"/>
          <w:i w:val="1"/>
          <w:iCs w:val="1"/>
          <w:color w:val="auto"/>
        </w:rPr>
      </w:pPr>
    </w:p>
    <w:p>
      <w:pPr>
        <w:ind w:left="1240" w:hanging="523"/>
        <w:spacing w:after="0"/>
        <w:tabs>
          <w:tab w:leader="none" w:pos="12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Strategically allocate capital across our pipeline to achieve our mission</w:t>
      </w:r>
    </w:p>
    <w:p>
      <w:pPr>
        <w:spacing w:after="0" w:line="130" w:lineRule="exact"/>
        <w:rPr>
          <w:rFonts w:ascii="Arial" w:cs="Arial" w:eastAsia="Arial" w:hAnsi="Arial"/>
          <w:sz w:val="18"/>
          <w:szCs w:val="18"/>
          <w:b w:val="1"/>
          <w:bCs w:val="1"/>
          <w:i w:val="1"/>
          <w:iCs w:val="1"/>
          <w:color w:val="auto"/>
        </w:rPr>
      </w:pPr>
    </w:p>
    <w:p>
      <w:pPr>
        <w:ind w:left="1240" w:hanging="523"/>
        <w:spacing w:after="0"/>
        <w:tabs>
          <w:tab w:leader="none" w:pos="12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Leverage our Precision Toolbox to enhance our development efforts</w:t>
      </w:r>
    </w:p>
    <w:p>
      <w:pPr>
        <w:spacing w:after="0" w:line="130" w:lineRule="exact"/>
        <w:rPr>
          <w:rFonts w:ascii="Arial" w:cs="Arial" w:eastAsia="Arial" w:hAnsi="Arial"/>
          <w:sz w:val="18"/>
          <w:szCs w:val="18"/>
          <w:b w:val="1"/>
          <w:bCs w:val="1"/>
          <w:i w:val="1"/>
          <w:iCs w:val="1"/>
          <w:color w:val="auto"/>
        </w:rPr>
      </w:pPr>
    </w:p>
    <w:p>
      <w:pPr>
        <w:ind w:left="1240" w:right="240" w:hanging="523"/>
        <w:spacing w:after="0" w:line="277" w:lineRule="auto"/>
        <w:tabs>
          <w:tab w:leader="none" w:pos="12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Capitalize upon our intellectual property (IP) position to realize the full value of our programs that target novel mechanisms of action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right="200" w:firstLine="426"/>
        <w:spacing w:after="0" w:line="263"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89" w:lineRule="exact"/>
        <w:rPr>
          <w:sz w:val="20"/>
          <w:szCs w:val="20"/>
          <w:color w:val="auto"/>
        </w:rPr>
      </w:pPr>
    </w:p>
    <w:p>
      <w:pPr>
        <w:ind w:left="1240" w:right="60" w:hanging="523"/>
        <w:spacing w:after="0" w:line="342"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 clinical-stage biopharmaceutical company and have incurred significant losses since our inception, and we expect to incur losses for the foreseeable future. We have no products approved for commercial sale and may never achieve or maintain profitability.</w:t>
      </w:r>
    </w:p>
    <w:p>
      <w:pPr>
        <w:spacing w:after="0" w:line="29" w:lineRule="exact"/>
        <w:rPr>
          <w:rFonts w:ascii="Arial" w:cs="Arial" w:eastAsia="Arial" w:hAnsi="Arial"/>
          <w:sz w:val="16"/>
          <w:szCs w:val="16"/>
          <w:color w:val="auto"/>
        </w:rPr>
      </w:pPr>
    </w:p>
    <w:p>
      <w:pPr>
        <w:ind w:left="1240" w:right="20" w:hanging="523"/>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contingent consideration and related obligations from our acquisitions of assets and license and collaboration agreements may result in dilution to our stockholders, may be a drain on our cash resources, or may cause us to incur debt obligations to satisfy the payment obligations.</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to evaluate our prospects and likelihood of success.</w:t>
      </w:r>
    </w:p>
    <w:p>
      <w:pPr>
        <w:spacing w:after="0" w:line="130" w:lineRule="exact"/>
        <w:rPr>
          <w:rFonts w:ascii="Arial" w:cs="Arial" w:eastAsia="Arial" w:hAnsi="Arial"/>
          <w:sz w:val="18"/>
          <w:szCs w:val="18"/>
          <w:color w:val="auto"/>
        </w:rPr>
      </w:pPr>
    </w:p>
    <w:p>
      <w:pPr>
        <w:ind w:left="1240" w:right="200" w:hanging="523"/>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89"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successfully identify, develop and commercialize any product candidates, or experience significant delays in doing so, our business, financial condition and results of operations will be materially adversely affected.</w:t>
      </w:r>
    </w:p>
    <w:p>
      <w:pPr>
        <w:spacing w:after="0" w:line="75" w:lineRule="exact"/>
        <w:rPr>
          <w:rFonts w:ascii="Arial" w:cs="Arial" w:eastAsia="Arial" w:hAnsi="Arial"/>
          <w:sz w:val="18"/>
          <w:szCs w:val="18"/>
          <w:color w:val="auto"/>
        </w:rPr>
      </w:pPr>
    </w:p>
    <w:p>
      <w:pPr>
        <w:ind w:left="1240" w:right="60" w:hanging="523"/>
        <w:spacing w:after="0" w:line="30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were founded with a mission to redefine neuroscience drug development, a field that has seen very limited success. The ability to successfully develop drugs in this field is extremely difficult and is subject to a number of unique challenges.</w:t>
      </w:r>
    </w:p>
    <w:p>
      <w:pPr>
        <w:spacing w:after="0" w:line="51" w:lineRule="exact"/>
        <w:rPr>
          <w:rFonts w:ascii="Arial" w:cs="Arial" w:eastAsia="Arial" w:hAnsi="Arial"/>
          <w:sz w:val="17"/>
          <w:szCs w:val="17"/>
          <w:color w:val="auto"/>
        </w:rPr>
      </w:pPr>
    </w:p>
    <w:p>
      <w:pPr>
        <w:ind w:left="1240" w:right="20" w:hanging="523"/>
        <w:spacing w:after="0" w:line="311"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invested and expect to continue to invest in acquiring product candidates, technologies and assets, as well as research and development efforts that further enhance our product pipeline. Such investments may affect our operating results, and, if the return on these investments is lower or develops more slowly than we expect, our revenue and operating results may suffer.</w:t>
      </w: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9" w:right="6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experienced rapid growth since our inception in November 2019, and expect to continue to grow in the future. If we fail to effectively manage our growth, we may not be able to execute on our business objectives.</w:t>
      </w:r>
    </w:p>
    <w:p>
      <w:pPr>
        <w:spacing w:after="0" w:line="75" w:lineRule="exact"/>
        <w:rPr>
          <w:rFonts w:ascii="Arial" w:cs="Arial" w:eastAsia="Arial" w:hAnsi="Arial"/>
          <w:sz w:val="18"/>
          <w:szCs w:val="18"/>
          <w:color w:val="auto"/>
        </w:rPr>
      </w:pPr>
    </w:p>
    <w:p>
      <w:pPr>
        <w:ind w:left="1240" w:right="100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operate in highly competitive and rapidly changing industries, which may result in others discovering, developing or commercializing competing products before or more successfully than we do.</w:t>
      </w:r>
    </w:p>
    <w:p>
      <w:pPr>
        <w:spacing w:after="0" w:line="75" w:lineRule="exact"/>
        <w:rPr>
          <w:rFonts w:ascii="Arial" w:cs="Arial" w:eastAsia="Arial" w:hAnsi="Arial"/>
          <w:sz w:val="18"/>
          <w:szCs w:val="18"/>
          <w:color w:val="auto"/>
        </w:rPr>
      </w:pPr>
    </w:p>
    <w:p>
      <w:pPr>
        <w:ind w:left="1240" w:hanging="523"/>
        <w:spacing w:after="0" w:line="259"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and preclinical drug development is a lengthy and expensive process, with an uncertain outcome. Our clinical and preclinical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spacing w:after="0" w:line="92" w:lineRule="exact"/>
        <w:rPr>
          <w:rFonts w:ascii="Arial" w:cs="Arial" w:eastAsia="Arial" w:hAnsi="Arial"/>
          <w:sz w:val="18"/>
          <w:szCs w:val="18"/>
          <w:color w:val="auto"/>
        </w:rPr>
      </w:pPr>
    </w:p>
    <w:p>
      <w:pPr>
        <w:jc w:val="both"/>
        <w:ind w:left="1240" w:right="20" w:hanging="523"/>
        <w:spacing w:after="0" w:line="311"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or at all, our business will be substantially harmed.</w:t>
      </w:r>
    </w:p>
    <w:p>
      <w:pPr>
        <w:spacing w:after="0" w:line="54" w:lineRule="exact"/>
        <w:rPr>
          <w:rFonts w:ascii="Arial" w:cs="Arial" w:eastAsia="Arial" w:hAnsi="Arial"/>
          <w:sz w:val="16"/>
          <w:szCs w:val="16"/>
          <w:color w:val="auto"/>
        </w:rPr>
      </w:pPr>
    </w:p>
    <w:p>
      <w:pPr>
        <w:ind w:left="1240" w:right="120" w:hanging="523"/>
        <w:spacing w:after="0" w:line="275"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intellectual property licensed from third parties and we are currently party to in-license agreements under which we acquired rights to use, develop, manufacture and/or commercialize certain of our proprietary technologies and product candidates. If we breach our obligations under these agreements or if any of these agreements is terminated, or otherwise experience disruptions to our business relationships with our licensors, we may be required to pay damages, lose our rights to such intellectual property and technology, or both, which would harm our business.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We were founded in November 2019 as a Delaware corporation under the name RBNC Therapeutics, Inc. We changed our name to Neumora Therapeutics, Inc. in October 2021. Our principal executive offices are located at 490 Arsenal Way, Suite 200, Watertown, Massachusetts 02472, and our telephone number is (857) 760-0900.</w:t>
      </w:r>
    </w:p>
    <w:p>
      <w:pPr>
        <w:spacing w:after="0" w:line="184"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In 2020, we acquired Abelian Therapeutics, Inc. (Abelian), BlackThorn Therapeutics, Inc. (BlackThorn), Syllable Life Sciences, Inc. (Syllable), Propellex Bio, Inc. (Propellex) and Alairion, Inc. (Alairion), each of which became our wholly owned subsidiary. As of June 30, 2023, we had dissolved Abelian, BlackThorn, Syllable, Propellex and Alairion.</w:t>
      </w:r>
    </w:p>
    <w:p>
      <w:pPr>
        <w:spacing w:after="0" w:line="184" w:lineRule="exact"/>
        <w:rPr>
          <w:sz w:val="20"/>
          <w:szCs w:val="20"/>
          <w:color w:val="auto"/>
        </w:rPr>
      </w:pPr>
    </w:p>
    <w:p>
      <w:pPr>
        <w:ind w:left="300" w:right="120" w:firstLine="426"/>
        <w:spacing w:after="0" w:line="308" w:lineRule="auto"/>
        <w:rPr>
          <w:sz w:val="20"/>
          <w:szCs w:val="20"/>
          <w:color w:val="auto"/>
        </w:rPr>
      </w:pPr>
      <w:r>
        <w:rPr>
          <w:rFonts w:ascii="Arial" w:cs="Arial" w:eastAsia="Arial" w:hAnsi="Arial"/>
          <w:sz w:val="17"/>
          <w:szCs w:val="17"/>
          <w:color w:val="auto"/>
        </w:rPr>
        <w:t>Our website address is www.neumoratx.com. The information on, or that can be accessed through, our website is not part of this prospectus and is not incorporated by reference herein. We have included our website address as an inactive textual reference only.</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earliest of: (i) the last day of the fiscal year following the fifth anniversary of the consummation of this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w:t>
      </w: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3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38360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requirements and is relieved of certain other significant requirements that are otherwise generally applicable to public companies. As an emerging growth company:</w:t>
      </w:r>
    </w:p>
    <w:p>
      <w:pPr>
        <w:spacing w:after="0" w:line="76" w:lineRule="exact"/>
        <w:rPr>
          <w:sz w:val="20"/>
          <w:szCs w:val="20"/>
          <w:color w:val="auto"/>
        </w:rPr>
      </w:pPr>
    </w:p>
    <w:p>
      <w:pPr>
        <w:ind w:left="1240" w:right="660" w:hanging="523"/>
        <w:spacing w:after="0" w:line="30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present in this prospectus only two years of audited annual financial statements, plus any required unaudited financial statements, and related management’s discussion and analysis of financial condition and results of operations;</w:t>
      </w:r>
    </w:p>
    <w:p>
      <w:pPr>
        <w:spacing w:after="0" w:line="51" w:lineRule="exact"/>
        <w:rPr>
          <w:rFonts w:ascii="Arial" w:cs="Arial" w:eastAsia="Arial" w:hAnsi="Arial"/>
          <w:sz w:val="17"/>
          <w:szCs w:val="17"/>
          <w:color w:val="auto"/>
        </w:rPr>
      </w:pPr>
    </w:p>
    <w:p>
      <w:pPr>
        <w:ind w:left="1240" w:right="100" w:hanging="523"/>
        <w:spacing w:after="0" w:line="34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29" w:lineRule="exact"/>
        <w:rPr>
          <w:rFonts w:ascii="Arial" w:cs="Arial" w:eastAsia="Arial" w:hAnsi="Arial"/>
          <w:sz w:val="16"/>
          <w:szCs w:val="16"/>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not require non-binding, advisory stockholder votes on executive compensation or golden parachute arrangements.</w:t>
      </w:r>
    </w:p>
    <w:p>
      <w:pPr>
        <w:spacing w:after="0" w:line="23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have and may adopt certain new or revised accounting standards early.</w:t>
      </w:r>
    </w:p>
    <w:p>
      <w:pPr>
        <w:spacing w:after="0" w:line="188" w:lineRule="exact"/>
        <w:rPr>
          <w:sz w:val="20"/>
          <w:szCs w:val="20"/>
          <w:color w:val="auto"/>
        </w:rPr>
      </w:pPr>
    </w:p>
    <w:p>
      <w:pPr>
        <w:ind w:left="300" w:right="120" w:firstLine="426"/>
        <w:spacing w:after="0" w:line="273"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78"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16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14,710,000 shares.</w:t>
      </w:r>
    </w:p>
    <w:p>
      <w:pPr>
        <w:spacing w:after="0" w:line="211"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 to purchase additional shares of common stock 2,206,500 shares.</w:t>
      </w:r>
    </w:p>
    <w:p>
      <w:pPr>
        <w:sectPr>
          <w:pgSz w:w="11900" w:h="16838" w:orient="portrait"/>
          <w:cols w:equalWidth="0" w:num="1">
            <w:col w:w="10920"/>
          </w:cols>
          <w:pgMar w:left="320" w:top="459" w:right="659" w:bottom="1440" w:gutter="0" w:footer="0" w:header="0"/>
          <w:type w:val="continuous"/>
        </w:sectPr>
      </w:pPr>
    </w:p>
    <w:p>
      <w:pPr>
        <w:spacing w:after="0" w:line="2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to be outstanding immediately after this 151,949,096 shares (or 154,155,596 shares if the underwriters exercise their option to</w:t>
      </w:r>
    </w:p>
    <w:p>
      <w:pPr>
        <w:spacing w:after="0" w:line="46" w:lineRule="exact"/>
        <w:rPr>
          <w:sz w:val="20"/>
          <w:szCs w:val="20"/>
          <w:color w:val="auto"/>
        </w:rPr>
      </w:pPr>
    </w:p>
    <w:p>
      <w:pPr>
        <w:ind w:left="380"/>
        <w:spacing w:after="0"/>
        <w:tabs>
          <w:tab w:leader="none" w:pos="432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purchase additional shares in full).</w:t>
      </w:r>
    </w:p>
    <w:p>
      <w:pPr>
        <w:sectPr>
          <w:pgSz w:w="11900" w:h="16838" w:orient="portrait"/>
          <w:cols w:equalWidth="0" w:num="1">
            <w:col w:w="10920"/>
          </w:cols>
          <w:pgMar w:left="320" w:top="459" w:right="659" w:bottom="1440" w:gutter="0" w:footer="0" w:header="0"/>
          <w:type w:val="continuous"/>
        </w:sect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estimate that the net proceeds to us from this offering will be approximately $227.5 million (or approximately $262.3 million if the underwriters exercise their option to purchase additional shares in full) assuming an initial public offering price of $17.00 per share, which is the midpoint of the price range set forth on the cover page of this prospectus, and after deducting estimated underwriting discounts and commissions and estimated offering expenses payable by us.</w:t>
      </w:r>
    </w:p>
    <w:p>
      <w:pPr>
        <w:spacing w:after="0" w:line="192"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4340" w:right="60"/>
        <w:spacing w:after="0" w:line="270" w:lineRule="auto"/>
        <w:rPr>
          <w:sz w:val="20"/>
          <w:szCs w:val="20"/>
          <w:color w:val="auto"/>
        </w:rPr>
      </w:pPr>
      <w:r>
        <w:rPr>
          <w:rFonts w:ascii="Arial" w:cs="Arial" w:eastAsia="Arial" w:hAnsi="Arial"/>
          <w:sz w:val="17"/>
          <w:szCs w:val="17"/>
          <w:color w:val="auto"/>
        </w:rPr>
        <w:t>We currently intend to use the net proceeds from this offering, together with our existing cash, cash equivalents and marketable securities, to fund the clinical and preclinical development of our current programs, to fund research and development activities for additional programs, and the remainder for working capital and other general corporate purposes. We may also use a portion of the net proceeds to in-license, acquire, or invest in, complementary technologies, assets, or intellectual property. We regularly evaluate strategic opportunities; however, we have no current commitments to enter into any such license arrangements or acquisition agreements or to make any such investments. See the section titled “Use of Proceeds.”</w:t>
      </w:r>
    </w:p>
    <w:p>
      <w:pPr>
        <w:sectPr>
          <w:pgSz w:w="11900" w:h="16838" w:orient="portrait"/>
          <w:cols w:equalWidth="0" w:num="1">
            <w:col w:w="10920"/>
          </w:cols>
          <w:pgMar w:left="320" w:top="459" w:right="659" w:bottom="1440" w:gutter="0" w:footer="0" w:header="0"/>
          <w:type w:val="continuous"/>
        </w:sectPr>
      </w:pPr>
    </w:p>
    <w:p>
      <w:pPr>
        <w:spacing w:after="0" w:line="18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the section titled “Risk Factors” and other information included in this prospectus for a discussion of factors you should carefully consider before deciding whether to invest in our common stock.</w:t>
      </w:r>
    </w:p>
    <w:p>
      <w:pPr>
        <w:spacing w:after="0" w:line="184"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“NMRA”</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39" w:lineRule="exact"/>
        <w:rPr>
          <w:sz w:val="20"/>
          <w:szCs w:val="20"/>
          <w:color w:val="auto"/>
        </w:rPr>
      </w:pPr>
    </w:p>
    <w:p>
      <w:pPr>
        <w:jc w:val="both"/>
        <w:ind w:left="300" w:right="220" w:firstLine="426"/>
        <w:spacing w:after="0" w:line="259" w:lineRule="auto"/>
        <w:rPr>
          <w:sz w:val="20"/>
          <w:szCs w:val="20"/>
          <w:color w:val="auto"/>
        </w:rPr>
      </w:pPr>
      <w:r>
        <w:rPr>
          <w:rFonts w:ascii="Arial" w:cs="Arial" w:eastAsia="Arial" w:hAnsi="Arial"/>
          <w:sz w:val="18"/>
          <w:szCs w:val="18"/>
          <w:color w:val="auto"/>
        </w:rPr>
        <w:t>Unless we specifically state otherwise or the context otherwise requires, the number of shares of our common stock to be outstanding after this offering is based on 137,239,096 shares of common stock outstanding as of June 30, 2023 (after giving effect to the conversion of all of our shares of convertible preferred stock outstanding as of June 30, 2023 into an aggregate of 104,417,415 shares of our common stock immediately prior to the completion of this offering), and excludes:</w:t>
      </w:r>
    </w:p>
    <w:p>
      <w:pPr>
        <w:spacing w:after="0" w:line="92" w:lineRule="exact"/>
        <w:rPr>
          <w:sz w:val="20"/>
          <w:szCs w:val="20"/>
          <w:color w:val="auto"/>
        </w:rPr>
      </w:pPr>
    </w:p>
    <w:p>
      <w:pPr>
        <w:ind w:left="1240" w:right="2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11,251,230 shares of our common stock issuable upon the exercise of stock options outstanding as of June 30, 2023 under our 2020 Equity Incentive Plan (the 2020 Plan), with a weighted-average exercise price of $4.69 per share;</w:t>
      </w:r>
    </w:p>
    <w:p>
      <w:pPr>
        <w:spacing w:after="0" w:line="75" w:lineRule="exact"/>
        <w:rPr>
          <w:rFonts w:ascii="Arial" w:cs="Arial" w:eastAsia="Arial" w:hAnsi="Arial"/>
          <w:sz w:val="18"/>
          <w:szCs w:val="18"/>
          <w:color w:val="auto"/>
        </w:rPr>
      </w:pPr>
    </w:p>
    <w:p>
      <w:pPr>
        <w:ind w:left="1240" w:right="2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192,681 shares of our common stock issuable upon the exercise of stock options outstanding as of June 30, 2023 under the Blackthorn Therapeutics, Inc. 2015 Equity Incentive Plan that we assumed in a transaction in 2020 (the 2015 Plan), with a weighted-average exercise price of $9.83 per share;</w:t>
      </w:r>
    </w:p>
    <w:p>
      <w:pPr>
        <w:spacing w:after="0" w:line="89" w:lineRule="exact"/>
        <w:rPr>
          <w:rFonts w:ascii="Arial" w:cs="Arial" w:eastAsia="Arial" w:hAnsi="Arial"/>
          <w:sz w:val="18"/>
          <w:szCs w:val="18"/>
          <w:color w:val="auto"/>
        </w:rPr>
      </w:pPr>
    </w:p>
    <w:p>
      <w:pPr>
        <w:ind w:left="1240" w:right="26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841,157 shares of our common stock issuable upon the exercise of stock options outstanding as of June 30, 2023, subject to market and performance vesting conditions, with a weighted-average exercise price of $2.58 per share;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70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7701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8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2,414,750 shares of our common stock issuable upon the exercise of stock options granted subsequent to June 30, 2023, with a weighted-average exercise price of $6.86 per share;</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3,149,287 shares of our common stock reserved for future issuance under our 2020 Plan as of June 30, 2023;</w:t>
      </w:r>
    </w:p>
    <w:p>
      <w:pPr>
        <w:spacing w:after="0" w:line="130" w:lineRule="exact"/>
        <w:rPr>
          <w:rFonts w:ascii="Arial" w:cs="Arial" w:eastAsia="Arial" w:hAnsi="Arial"/>
          <w:sz w:val="18"/>
          <w:szCs w:val="18"/>
          <w:color w:val="auto"/>
        </w:rPr>
      </w:pPr>
    </w:p>
    <w:p>
      <w:pPr>
        <w:ind w:left="1240" w:hanging="523"/>
        <w:spacing w:after="0" w:line="275"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of our common stock we expect to issue to BlackThorn stockholders equal to and in satisfaction of the $90.0 million milestone payment in connection with the dosing of the first patient in the Phase 3 clinical trial for navacaprant, which we expect to occur as part of the KOASTAL-1 study, the issuance of which we expect to occur in the second half of 2023, with such amount of our common stock to be issued to be based on the 30 day trailing average of the open and close price of our common stock on the Nasdaq from the date the milestone was satisfied, which will occur after the completion of this offering;</w:t>
      </w:r>
    </w:p>
    <w:p>
      <w:pPr>
        <w:spacing w:after="0" w:line="81" w:lineRule="exact"/>
        <w:rPr>
          <w:rFonts w:ascii="Arial" w:cs="Arial" w:eastAsia="Arial" w:hAnsi="Arial"/>
          <w:sz w:val="17"/>
          <w:szCs w:val="17"/>
          <w:color w:val="auto"/>
        </w:rPr>
      </w:pPr>
    </w:p>
    <w:p>
      <w:pPr>
        <w:ind w:left="1240" w:hanging="523"/>
        <w:spacing w:after="0" w:line="255"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number of shares of our common stock equal to 10% of our outstanding common stock after this offering (without giving effect to the underwriters option to purchase additional shares in this offering) plus any shares of our common stock reserved for future issuance under our 2020 Plan that have not been issued pursuant to any outstanding equity grants reserved for future issuance under our 2023 Incentive Award Plan (the 2023 Plan), which will become effective on the date immediately prior to the date our registration statement relating to this offering becomes effective, as well as any future increases in the number of shares of common stock reserved for issuance under the 2023 Plan; and</w:t>
      </w:r>
    </w:p>
    <w:p>
      <w:pPr>
        <w:spacing w:after="0" w:line="97" w:lineRule="exact"/>
        <w:rPr>
          <w:rFonts w:ascii="Arial" w:cs="Arial" w:eastAsia="Arial" w:hAnsi="Arial"/>
          <w:sz w:val="18"/>
          <w:szCs w:val="18"/>
          <w:color w:val="auto"/>
        </w:rPr>
      </w:pPr>
    </w:p>
    <w:p>
      <w:pPr>
        <w:ind w:left="1240" w:right="20" w:hanging="523"/>
        <w:spacing w:after="0" w:line="25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number of shares of our common stock equal to 1% of our outstanding common stock after this offering (without giving effect to the underwriters option to purchase additional shares in this offering) reserved for future issuance under our Employee Stock Purchase Plan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we specifically state otherwise or the context otherwise requires, this prospectus reflects and assumes the following:</w:t>
      </w:r>
    </w:p>
    <w:p>
      <w:pPr>
        <w:spacing w:after="0" w:line="131" w:lineRule="exact"/>
        <w:rPr>
          <w:sz w:val="20"/>
          <w:szCs w:val="20"/>
          <w:color w:val="auto"/>
        </w:rPr>
      </w:pPr>
    </w:p>
    <w:p>
      <w:pPr>
        <w:ind w:left="1240" w:right="14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filing and effectiveness of our amended and restated certificate of incorporation immediately prior to the completion of this offering;</w:t>
      </w:r>
    </w:p>
    <w:p>
      <w:pPr>
        <w:spacing w:after="0" w:line="75" w:lineRule="exact"/>
        <w:rPr>
          <w:rFonts w:ascii="Arial" w:cs="Arial" w:eastAsia="Arial" w:hAnsi="Arial"/>
          <w:sz w:val="18"/>
          <w:szCs w:val="18"/>
          <w:color w:val="auto"/>
        </w:rPr>
      </w:pPr>
    </w:p>
    <w:p>
      <w:pPr>
        <w:ind w:left="1240" w:right="10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outstanding as of June 30, 2023 into 104,417,415 shares of our common stock immediately prior to the completion of this offering;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settlement or termination of the outstanding stock options referred to above;</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7.8463-for-1 stock split of our capital stock effected on September 8, 2023;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in this offering.</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20" w:firstLine="426"/>
        <w:spacing w:after="0" w:line="268"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have derived the summary consolidated statements of operations and comprehensive loss data for the years ended December 31, 2021 and 2022, except for pro forma amounts, from our audited consolidated financial statements and related notes included elsewhere in this prospectus. We have derived the summary consolidated statements of operations and comprehensive loss data for the six months ended June 30, 2022 and 2023, except for pro forma amounts, and the summary consolidated balance sheet data as of June 30, 2023, except for pro forma amounts, from our unaudited condensed consolidated financial statements and related notes as of and for the six months ended June 30, 2023 and 2022 included elsewhere in this prospectus. Our unaudited condensed consolidated financial statements were prepared on a basis consistent with our audited consolidated financial statements and include, in our opinion, all adjustments of a normal and recurring nature that are necessary for the fair statement of the financial information set forth in those statements included elsewhere in this prospectus. Our historical results are not necessarily indicative of results that may be expected in the future and our interim results are not necessarily indictive of the results that may be expected for the full year. You should read the following summary consolidated financial data together with our audited consolidated financial statements,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41"/>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60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00" w:type="dxa"/>
            <w:vAlign w:val="bottom"/>
            <w:gridSpan w:val="9"/>
          </w:tcPr>
          <w:p>
            <w:pP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Statements of Operations and Comprehensive Loss Data:</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55,776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91,749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45,677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Acquired in-process research and development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157,000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w w:val="98"/>
              </w:rPr>
              <w:t>13,000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24,547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31,121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15,873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237,323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135,870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74,550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w w:val="90"/>
              </w:rPr>
              <w:t>(237,323)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8"/>
              </w:rPr>
              <w:t>(135,870)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(74,550)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(237,312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(130,904</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(73,414</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(74,168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w w:val="90"/>
              </w:rPr>
              <w:t>(237,312)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8"/>
              </w:rPr>
              <w:t>(131,678)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(74,284)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(73,842)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26,432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29,703</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line="250" w:lineRule="exact"/>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26"/>
                <w:szCs w:val="26"/>
                <w:color w:val="auto"/>
                <w:vertAlign w:val="superscript"/>
              </w:rPr>
              <w:t>(1)</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Pro forma weighted-average shares outstanding, basic and diluted</w:t>
            </w:r>
            <w:r>
              <w:rPr>
                <w:rFonts w:ascii="Arial" w:cs="Arial" w:eastAsia="Arial" w:hAnsi="Arial"/>
                <w:sz w:val="24"/>
                <w:szCs w:val="24"/>
                <w:color w:val="auto"/>
                <w:vertAlign w:val="superscript"/>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131,624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right="20" w:hanging="422"/>
        <w:spacing w:after="0" w:line="264" w:lineRule="auto"/>
        <w:tabs>
          <w:tab w:leader="none" w:pos="7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unaudited pro forma basic and diluted net loss per share for the year ended December 31, 2022 and for the six months ended June 30, 2023 have been prepared to give effect to the assumed conversion of outstanding shares of convertible preferred stock to common stock at December 31, 2022 and June 30, 2023, respectively, as if the convertible preferred stock was outstanding as of January 1, 2022 or January 1, 2023, respectively, irrespective of when the convertible preferred stock was issued.</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98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42989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As of June 30, 2023</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Actual</w:t>
            </w:r>
          </w:p>
        </w:tc>
        <w:tc>
          <w:tcPr>
            <w:tcW w:w="16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0"/>
                <w:szCs w:val="10"/>
                <w:b w:val="1"/>
                <w:bCs w:val="1"/>
                <w:color w:val="auto"/>
              </w:rPr>
              <w:t>(1)</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Adjusted</w:t>
            </w:r>
            <w:r>
              <w:rPr>
                <w:rFonts w:ascii="Arial" w:cs="Arial" w:eastAsia="Arial" w:hAnsi="Arial"/>
                <w:sz w:val="10"/>
                <w:szCs w:val="10"/>
                <w:b w:val="1"/>
                <w:bCs w:val="1"/>
                <w:color w:val="auto"/>
                <w:w w:val="99"/>
              </w:rPr>
              <w:t>(2)(3)</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(unaudited, in thousands)</w:t>
            </w: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2660" w:type="dxa"/>
            <w:vAlign w:val="bottom"/>
            <w:gridSpan w:val="2"/>
          </w:tcPr>
          <w:p>
            <w:pPr>
              <w:jc w:val="right"/>
              <w:ind w:right="48"/>
              <w:spacing w:after="0"/>
              <w:rPr>
                <w:sz w:val="20"/>
                <w:szCs w:val="20"/>
                <w:color w:val="auto"/>
              </w:rPr>
            </w:pPr>
            <w:r>
              <w:rPr>
                <w:rFonts w:ascii="Arial" w:cs="Arial" w:eastAsia="Arial" w:hAnsi="Arial"/>
                <w:sz w:val="18"/>
                <w:szCs w:val="18"/>
                <w:color w:val="auto"/>
              </w:rPr>
              <w:t>$ 334,089</w:t>
            </w:r>
          </w:p>
        </w:tc>
        <w:tc>
          <w:tcPr>
            <w:tcW w:w="1680" w:type="dxa"/>
            <w:vAlign w:val="bottom"/>
          </w:tcPr>
          <w:p>
            <w:pPr>
              <w:jc w:val="right"/>
              <w:ind w:right="395"/>
              <w:spacing w:after="0"/>
              <w:rPr>
                <w:sz w:val="20"/>
                <w:szCs w:val="20"/>
                <w:color w:val="auto"/>
              </w:rPr>
            </w:pPr>
            <w:r>
              <w:rPr>
                <w:rFonts w:ascii="Arial" w:cs="Arial" w:eastAsia="Arial" w:hAnsi="Arial"/>
                <w:sz w:val="18"/>
                <w:szCs w:val="18"/>
                <w:color w:val="auto"/>
              </w:rPr>
              <w:t>$  334,089</w:t>
            </w:r>
          </w:p>
        </w:tc>
        <w:tc>
          <w:tcPr>
            <w:tcW w:w="880" w:type="dxa"/>
            <w:vAlign w:val="bottom"/>
          </w:tcPr>
          <w:p>
            <w:pPr>
              <w:jc w:val="right"/>
              <w:spacing w:after="0"/>
              <w:rPr>
                <w:sz w:val="20"/>
                <w:szCs w:val="20"/>
                <w:color w:val="auto"/>
              </w:rPr>
            </w:pPr>
            <w:r>
              <w:rPr>
                <w:rFonts w:ascii="Arial" w:cs="Arial" w:eastAsia="Arial" w:hAnsi="Arial"/>
                <w:sz w:val="18"/>
                <w:szCs w:val="18"/>
                <w:color w:val="auto"/>
              </w:rPr>
              <w:t>$  563,914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Working capital</w:t>
            </w:r>
            <w:r>
              <w:rPr>
                <w:rFonts w:ascii="Arial" w:cs="Arial" w:eastAsia="Arial" w:hAnsi="Arial"/>
                <w:sz w:val="25"/>
                <w:szCs w:val="25"/>
                <w:color w:val="auto"/>
                <w:vertAlign w:val="superscript"/>
              </w:rPr>
              <w:t>(4)</w:t>
            </w:r>
          </w:p>
        </w:tc>
        <w:tc>
          <w:tcPr>
            <w:tcW w:w="2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310,523</w:t>
            </w:r>
          </w:p>
        </w:tc>
        <w:tc>
          <w:tcPr>
            <w:tcW w:w="16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310,523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2660" w:type="dxa"/>
            <w:vAlign w:val="bottom"/>
            <w:gridSpan w:val="2"/>
          </w:tcPr>
          <w:p>
            <w:pPr>
              <w:jc w:val="right"/>
              <w:ind w:right="48"/>
              <w:spacing w:after="0"/>
              <w:rPr>
                <w:sz w:val="20"/>
                <w:szCs w:val="20"/>
                <w:color w:val="auto"/>
              </w:rPr>
            </w:pPr>
            <w:r>
              <w:rPr>
                <w:rFonts w:ascii="Arial" w:cs="Arial" w:eastAsia="Arial" w:hAnsi="Arial"/>
                <w:sz w:val="18"/>
                <w:szCs w:val="18"/>
                <w:color w:val="auto"/>
              </w:rPr>
              <w:t>359,952</w:t>
            </w:r>
          </w:p>
        </w:tc>
        <w:tc>
          <w:tcPr>
            <w:tcW w:w="1680" w:type="dxa"/>
            <w:vAlign w:val="bottom"/>
          </w:tcPr>
          <w:p>
            <w:pPr>
              <w:jc w:val="right"/>
              <w:ind w:right="395"/>
              <w:spacing w:after="0"/>
              <w:rPr>
                <w:sz w:val="20"/>
                <w:szCs w:val="20"/>
                <w:color w:val="auto"/>
              </w:rPr>
            </w:pPr>
            <w:r>
              <w:rPr>
                <w:rFonts w:ascii="Arial" w:cs="Arial" w:eastAsia="Arial" w:hAnsi="Arial"/>
                <w:sz w:val="18"/>
                <w:szCs w:val="18"/>
                <w:color w:val="auto"/>
              </w:rPr>
              <w:t>359,952</w:t>
            </w:r>
          </w:p>
        </w:tc>
        <w:tc>
          <w:tcPr>
            <w:tcW w:w="880" w:type="dxa"/>
            <w:vAlign w:val="bottom"/>
          </w:tcPr>
          <w:p>
            <w:pPr>
              <w:jc w:val="right"/>
              <w:spacing w:after="0"/>
              <w:rPr>
                <w:sz w:val="20"/>
                <w:szCs w:val="20"/>
                <w:color w:val="auto"/>
              </w:rPr>
            </w:pPr>
            <w:r>
              <w:rPr>
                <w:rFonts w:ascii="Arial" w:cs="Arial" w:eastAsia="Arial" w:hAnsi="Arial"/>
                <w:sz w:val="18"/>
                <w:szCs w:val="18"/>
                <w:color w:val="auto"/>
              </w:rPr>
              <w:t>586,224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843,687</w:t>
            </w:r>
          </w:p>
        </w:tc>
        <w:tc>
          <w:tcPr>
            <w:tcW w:w="16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60" w:type="dxa"/>
            <w:vAlign w:val="bottom"/>
            <w:gridSpan w:val="2"/>
          </w:tcPr>
          <w:p>
            <w:pPr>
              <w:jc w:val="right"/>
              <w:ind w:right="48"/>
              <w:spacing w:after="0"/>
              <w:rPr>
                <w:sz w:val="20"/>
                <w:szCs w:val="20"/>
                <w:color w:val="auto"/>
              </w:rPr>
            </w:pPr>
            <w:r>
              <w:rPr>
                <w:rFonts w:ascii="Arial" w:cs="Arial" w:eastAsia="Arial" w:hAnsi="Arial"/>
                <w:sz w:val="18"/>
                <w:szCs w:val="18"/>
                <w:color w:val="auto"/>
              </w:rPr>
              <w:t>28,581</w:t>
            </w:r>
          </w:p>
        </w:tc>
        <w:tc>
          <w:tcPr>
            <w:tcW w:w="1680" w:type="dxa"/>
            <w:vAlign w:val="bottom"/>
          </w:tcPr>
          <w:p>
            <w:pPr>
              <w:jc w:val="right"/>
              <w:ind w:right="395"/>
              <w:spacing w:after="0"/>
              <w:rPr>
                <w:sz w:val="20"/>
                <w:szCs w:val="20"/>
                <w:color w:val="auto"/>
              </w:rPr>
            </w:pPr>
            <w:r>
              <w:rPr>
                <w:rFonts w:ascii="Arial" w:cs="Arial" w:eastAsia="Arial" w:hAnsi="Arial"/>
                <w:sz w:val="18"/>
                <w:szCs w:val="18"/>
                <w:color w:val="auto"/>
              </w:rPr>
              <w:t>872,257</w:t>
            </w:r>
          </w:p>
        </w:tc>
        <w:tc>
          <w:tcPr>
            <w:tcW w:w="880" w:type="dxa"/>
            <w:vAlign w:val="bottom"/>
          </w:tcPr>
          <w:p>
            <w:pPr>
              <w:jc w:val="right"/>
              <w:spacing w:after="0"/>
              <w:rPr>
                <w:sz w:val="20"/>
                <w:szCs w:val="20"/>
                <w:color w:val="auto"/>
              </w:rPr>
            </w:pPr>
            <w:r>
              <w:rPr>
                <w:rFonts w:ascii="Arial" w:cs="Arial" w:eastAsia="Arial" w:hAnsi="Arial"/>
                <w:sz w:val="18"/>
                <w:szCs w:val="18"/>
                <w:color w:val="auto"/>
              </w:rPr>
              <w:t>1,099,721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(541,677)</w:t>
            </w:r>
          </w:p>
        </w:tc>
        <w:tc>
          <w:tcPr>
            <w:tcW w:w="16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(541,677)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(541,677)</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(513,541)</w:t>
            </w:r>
          </w:p>
        </w:tc>
        <w:tc>
          <w:tcPr>
            <w:tcW w:w="1680" w:type="dxa"/>
            <w:vAlign w:val="bottom"/>
          </w:tcPr>
          <w:p>
            <w:pPr>
              <w:jc w:val="right"/>
              <w:ind w:right="395"/>
              <w:spacing w:after="0"/>
              <w:rPr>
                <w:sz w:val="20"/>
                <w:szCs w:val="20"/>
                <w:color w:val="auto"/>
              </w:rPr>
            </w:pPr>
            <w:r>
              <w:rPr>
                <w:rFonts w:ascii="Arial" w:cs="Arial" w:eastAsia="Arial" w:hAnsi="Arial"/>
                <w:sz w:val="18"/>
                <w:szCs w:val="18"/>
                <w:color w:val="auto"/>
              </w:rPr>
              <w:t>330,146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(557,611)</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720" w:hanging="422"/>
        <w:spacing w:after="0"/>
        <w:tabs>
          <w:tab w:leader="none" w:pos="7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pro forma consolidated balance sheet data gives reflects (i) the conversion of all outstanding shares of our convertible preferred stock as of June 30,</w:t>
      </w:r>
    </w:p>
    <w:p>
      <w:pPr>
        <w:spacing w:after="0" w:line="33" w:lineRule="exact"/>
        <w:rPr>
          <w:rFonts w:ascii="Arial" w:cs="Arial" w:eastAsia="Arial" w:hAnsi="Arial"/>
          <w:sz w:val="15"/>
          <w:szCs w:val="15"/>
          <w:color w:val="auto"/>
        </w:rPr>
      </w:pPr>
    </w:p>
    <w:p>
      <w:pPr>
        <w:ind w:left="720"/>
        <w:spacing w:after="0" w:line="264" w:lineRule="auto"/>
        <w:rPr>
          <w:rFonts w:ascii="Arial" w:cs="Arial" w:eastAsia="Arial" w:hAnsi="Arial"/>
          <w:sz w:val="15"/>
          <w:szCs w:val="15"/>
          <w:color w:val="auto"/>
        </w:rPr>
      </w:pPr>
      <w:r>
        <w:rPr>
          <w:rFonts w:ascii="Arial" w:cs="Arial" w:eastAsia="Arial" w:hAnsi="Arial"/>
          <w:sz w:val="16"/>
          <w:szCs w:val="16"/>
          <w:color w:val="auto"/>
        </w:rPr>
        <w:t>2023 into an aggregate of 104,417,415 shares of our common stock immediately prior to the completion of this offering, (ii) the related reclassification of our convertible preferred stock aggregate carrying value to permanent equity and (iii) the filing and effectiveness of our amended and restated certificate of incorporation, which will be effective immediately prior to the completion of this offering.</w:t>
      </w:r>
    </w:p>
    <w:p>
      <w:pPr>
        <w:ind w:left="720" w:right="120" w:hanging="422"/>
        <w:spacing w:after="0" w:line="301"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gives effect to (i) the pro forma adjustments described in footnote (1) above and (ii) the sale and issuance of 14,710,000 shares of common stock by us in this offering, at the assumed initial public offering price of $17.00 per share, which is the midpoint of the price range set forth on the cover page of this prospectus, after deducting the estimated underwriting discounts and commissions and estimated offering expenses payable by us, of which $2.4 million had been paid as of June 30, 2023 and $1.2 million had been accrued as of June 30, 2023.</w:t>
      </w:r>
    </w:p>
    <w:p>
      <w:pPr>
        <w:spacing w:after="0" w:line="2" w:lineRule="exact"/>
        <w:rPr>
          <w:rFonts w:ascii="Arial" w:cs="Arial" w:eastAsia="Arial" w:hAnsi="Arial"/>
          <w:sz w:val="14"/>
          <w:szCs w:val="14"/>
          <w:color w:val="auto"/>
        </w:rPr>
      </w:pPr>
    </w:p>
    <w:p>
      <w:pPr>
        <w:ind w:left="720" w:hanging="422"/>
        <w:spacing w:after="0" w:line="301"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of $17.00 per share, which is the midpoint of the price range set forth on the cover page of this prospectus, would increase or decrease, as applicable, the pro forma as adjusted amount of each of our cash, cash equivalents and marketable securities, working capital, total assets, additional paid-in capital and total stockholders’ equity by $13.7 million, assuming that the number of shares offered by us, as set forth on the cover page of this prospectus, remains the same, after deducting the estimated underwriting discounts and commissions and estimated offering expenses payable by us. Similarly, an increase or decrease of 1.0 million shares in the number of shares of common stock offered would increase or decrease, as applicable, each of our cash, cash equivalents and marketable securities, working capital, total assets, additional paid-in capital and total stockholders’ equity by $15.8 million, assuming the initial public offering price remains the same, after deducting the estimated underwriting discounts and commissions and estimated offering expenses payable by us. The pro forma as adjusted consolidated balance sheet data discussed above is illustrative only and will depend on the actual initial public offering price and other terms of this offering determined at pricing.</w:t>
      </w:r>
    </w:p>
    <w:p>
      <w:pPr>
        <w:spacing w:after="0" w:line="5" w:lineRule="exact"/>
        <w:rPr>
          <w:rFonts w:ascii="Arial" w:cs="Arial" w:eastAsia="Arial" w:hAnsi="Arial"/>
          <w:sz w:val="14"/>
          <w:szCs w:val="14"/>
          <w:color w:val="auto"/>
        </w:rPr>
      </w:pPr>
    </w:p>
    <w:p>
      <w:pPr>
        <w:jc w:val="both"/>
        <w:ind w:left="720" w:right="380" w:hanging="422"/>
        <w:spacing w:after="0" w:line="363"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consolidated financial statements, unaudited condensed consolidated financial statements and related notes thereto included elsewhere in this prospectus for further details regarding our current assets and current liabilities.</w:t>
      </w: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carefully consider the following risks and uncertainties, together with all of the other information contained in this prospectus, including our audited consolidated financial statements, unaudited condensed consolidated financial statements and related notes included elsewhere in this prospectus, before making an investment decision. The risks described below are not the only ones facing us. Many of the following risks and uncertainties are, and will be, exacerbated by any worsening of the global business and economic environment. The occurrence of any of the following risks, or of additional risks and uncertainties not presently known to us or that we currently believe to be immaterial, could materially and adversely affect our business, financial condition, reputation, or results of operations. In such case, the trading price of shares of our common stock could decline, and you may lose all or part of your investment.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Condition and Need for Additional Capital</w:t>
      </w:r>
    </w:p>
    <w:p>
      <w:pPr>
        <w:spacing w:after="0" w:line="22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We are a clinical-stage biopharmaceutical company and have incurred significant losses since our inception, and we expect to incur losses for the foreseeable future. We have no products approved for commercial sale and may never achieve or maintain profitability.</w:t>
      </w:r>
    </w:p>
    <w:p>
      <w:pPr>
        <w:spacing w:after="0" w:line="16"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are a clinical-stage biopharmaceutical company with a limited operating history. Biopharmaceutical product development is a highly speculative undertaking and involves a substantial degree of risk. We have incurred significant losses since our inception in November 2019, have no products approved for commercial sale, have not generated any revenue from product sales, have financed our operations principally through private placements of convertible preferred stock and convertible promissory notes and expect to incur significant losses for the foreseeable future. We expect that it will be several years before we have a commercialized product and generate revenue from product sales. Our net loss was $237.3 million and $130.9 million for the years ended December 31, 2021 and 2022, respectively, and $73.4 million and $74.2 million for the six months ended June 30, 2022 and 2023, respectively. As of June 30, 2023, we had an accumulated deficit of $541.7 million. Our losses have resulted principally from acquired in-process research and development from our acquisitions of assets, expenses incurred in the research and development of our product candidates, as well as from costs associated with our preclinical studies and clinical trials and management and administrative costs and other expenses that we have incurred while building our business infrastructure.</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expect our expenses and operating losses will continue to increase substantially for the foreseeable future as we expand our research and development efforts, advance our clinical candidates to potentially registrational trials, identify and acquire product candidates, complete preclinical studies and initiate additional clinical trials, seek regulatory approval and commercialization of our product candidates and operate as a public company. We anticipate that our expenses will continue to increase substantially as we:</w:t>
      </w:r>
    </w:p>
    <w:p>
      <w:pPr>
        <w:spacing w:after="0" w:line="92" w:lineRule="exact"/>
        <w:rPr>
          <w:sz w:val="20"/>
          <w:szCs w:val="20"/>
          <w:color w:val="auto"/>
        </w:rPr>
      </w:pPr>
    </w:p>
    <w:p>
      <w:pPr>
        <w:ind w:left="1080" w:right="2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clinical and preclinical development of our current and future product candidates and initiate additional preclinical studies and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 of our current and future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additional product candidates, technologies, multimodal patient datasets and other assets for our business;</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and preclinical development, manufacturing and commercialization efforts;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perfect, maintain and defend our intellectual property portfolio; and</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We have devoted a significant portion of our financial resources and efforts to building our organization, acquiring technologies and companies, executing clinical and preclinical studies, conducting research and development, identifying and developing potential product candidates, building our precision neuroscience approach, organizing and staffing our company, business planning, establishing, maintaining and protecting our intellectual property portfolio, raising capital and providing general and administrative support for these operations. We have not completed development and commercialization of any of our product candidates with most still being in relatively early development.</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 become and remain profitable, we must succeed in identifying, developing, conducting successful clinical trials, obtaining regulatory approval for, and eventually commercializing, products that generate significant revenue. This will require us to be successful in a range of challenging activities, including completing preclinical studies and clinical trials of our product candidates, continuing to discover and develop additional product candidates, obtaining regulatory and marketing approval for any product candidates that successfully complete clinical trials, accessing manufacturing capacity, establishing marketing capabilities, commercializing and ultimately selling any products. We may never succeed in any or all of these activities and, even if we do, we may never generate revenue that is sufficient to achieve profitability. Even if we do achieve profitability, we may not be able to sustain profitability or meet outside expectations for our profitability. If we are unable to achieve or sustain profitability or to meet outside expectations for our profitability, the price of our common stock could be materially adversely affected.</w:t>
      </w:r>
    </w:p>
    <w:p>
      <w:pPr>
        <w:spacing w:after="0" w:line="178"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Because of the numerous risks and uncertainties associated with biopharmaceutical and biotechnology products and drug development, we are unable to accurately predict the timing or amount of increased expenses or when, or if, we will be able to achieve profitability. If we are required by the U.S. Food and Drug Administration (FDA) or comparable foreign regulatory authorities to perform studies in addition to those we currently anticipate, or if there are any delays in commencing or completing our clinical trials or the development of any of our product candidates, our expenses could increase and commercial revenue could be further delayed and become more uncertain, which will have a material adverse impact on our business.</w:t>
      </w:r>
    </w:p>
    <w:p>
      <w:pPr>
        <w:spacing w:after="0" w:line="161"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b w:val="1"/>
          <w:bCs w:val="1"/>
          <w:i w:val="1"/>
          <w:iCs w:val="1"/>
          <w:color w:val="auto"/>
        </w:rPr>
        <w:t>Our substantial contingent consideration and related obligations from our acquisitions of assets and license and collaboration agreements may result in dilution to our stockholders, may be a drain on our cash resources, or may cause us to incur debt obligations to satisfy the payment obligations.</w:t>
      </w:r>
    </w:p>
    <w:p>
      <w:pPr>
        <w:spacing w:after="0" w:line="18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In connection with our acquisitions of assets in late 2020, we entered into arrangements whereby the former stockholders of those companies are entitled to substantial contingent consideration payments upon the occurrence of certain events. For example, in connection with our acquisition of BlackThorn Therapeutics, Inc. (BlackThorn), a privately held company, the former BlackThorn stockholders are entitled to contingent consideration (i) with respect to navacaprant (NMRA-140), in the form of development and regulatory approval milestones of up to an aggregate amount of $365.0 million, which includes a milestone payment of $90.0 million that will become due upon dosing the first patient in the Phase 3 clinical trial for navacaprant, which we expect to pay by issuing an amount of our common stock equal to $90.0 million in the second half of 2023,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(BlackThorn Milestone Payments). With the exception of one development milestone in the amount of $10.0 million that is required to be settled in cash, the remaining BlackThorn Milestone Payments may be settled in cash or shares of our equity, or a combination of both, at our sole discretion. In connection with the BlackThorn acquisition, we also became obligated under its license agreement with TSRI for, among other obligations, development and regulatory milestone payments of up to $1.5 million in aggregate for the first product from each of the TSRI programs and commercial milestone payments of up to $3.5 million in aggregate for each occurrence.</w:t>
      </w:r>
    </w:p>
    <w:p>
      <w:pPr>
        <w:spacing w:after="0" w:line="15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Under the terms of our September 2021 license agreements with Amgen, we are obligated to pay Amgen up to an aggregate of $720.0 million in commercial milestone payments upon the achievement of certain sales thresholds and single digit royalties on potential annual worldwide net sales related to the CK1d or GCase programs. In addition, under the collaboration agreement with Amgen, we are committed to making quarterly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payments to Amgen for their collaboration activities over the next three years totaling $62.5 million, or $75.0 million if certain progress milestones are achieved.</w:t>
      </w:r>
    </w:p>
    <w:p>
      <w:pPr>
        <w:spacing w:after="0" w:line="15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Under the terms of our license agreement, as amended, with Vanderbilt University (Vanderbilt), we are obligated to pay Vanderbilt up to an aggregate of $422.0 million in development and commercial milestone payments upon the achievement of certain development milestones and sales thresholds, and mid-single digit royalties on potential future net sales.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order to satisfy our obligations to make these payments, if and when they are triggered, we may need to issue equity or convertible debt securities that may cause dilution to our stockholders, or we may use our existing cash or incur debt obligations to satisfy the payment obligations in cash, which may adversely affect our financial position. In addition, these obligations may impede our ability to raise money in future public offerings of debt or equity securities or to obtain a third-party line of credit.</w:t>
      </w:r>
    </w:p>
    <w:p>
      <w:pPr>
        <w:spacing w:after="0" w:line="16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See the sections titled “Management’s Discussion and Analysis of Financial Condition and Results of Operations—Recent Acquisitions of Assets” and “Management’s Discussion and Analysis of Financial Condition and Results of Operations—Strategic License and Research and Collaboration Agreements” elsewhere in this prospectus for additional information regarding these agreements.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limited operating history may make it difficult to evaluate our prospects and likelihood of success.</w:t>
      </w:r>
    </w:p>
    <w:p>
      <w:pPr>
        <w:spacing w:after="0" w:line="22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Since our inception in November 2019, we have devoted substantially all of our resources and efforts to building our organization, acquiring technologies and companies, executing preclinical studies and clinical trials, conducting research and development, identifying and developing potential product candidates, building our precision neuroscience tools, organizing and staffing our company, business planning, establishing, maintaining and protecting our intellectual property portfolio, raising capital and providing general and administrative support for these operations. All of our product candidates are in either clinical development or in preclinical stages of development, and we have not yet demonstrated our ability to successfully complete any late-stage or registrational/pivotal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you may make about our future success or viability may not be as accurate as they could be if we had a longer operating history.</w:t>
      </w:r>
    </w:p>
    <w:p>
      <w:pPr>
        <w:spacing w:after="0" w:line="16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factors and risks frequently experienced by clinical-stage biotechnology and biopharmaceutical companies in rapidly evolving fields. We also may need to transition from a company with a research focus to a company capable of supporting commercial activities. If we do not adequately address these risks and difficulties or successfully make such a transition, it could have a material adverse effect on our business.</w:t>
      </w:r>
    </w:p>
    <w:p>
      <w:pPr>
        <w:spacing w:after="0" w:line="144" w:lineRule="exact"/>
        <w:rPr>
          <w:sz w:val="20"/>
          <w:szCs w:val="20"/>
          <w:color w:val="auto"/>
        </w:rPr>
      </w:pPr>
    </w:p>
    <w:p>
      <w:pPr>
        <w:ind w:left="120" w:right="200"/>
        <w:spacing w:after="0" w:line="381" w:lineRule="auto"/>
        <w:rPr>
          <w:sz w:val="20"/>
          <w:szCs w:val="20"/>
          <w:color w:val="auto"/>
        </w:rPr>
      </w:pPr>
      <w:r>
        <w:rPr>
          <w:rFonts w:ascii="Arial" w:cs="Arial" w:eastAsia="Arial" w:hAnsi="Arial"/>
          <w:sz w:val="15"/>
          <w:szCs w:val="15"/>
          <w:b w:val="1"/>
          <w:bCs w:val="1"/>
          <w:i w:val="1"/>
          <w:iCs w:val="1"/>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00"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Developing biopharmaceutical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our product candidates. Even if one or more of our product candidates is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and preclinical development of our product candidates, continue to develop and deploy our precision neuroscience approach, commence additional preclinical studies and clinical trials, and continue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identify and develop additional product candidates either through internal development or through acquisitions or in-licensing product candidates.</w:t>
      </w:r>
    </w:p>
    <w:p>
      <w:pPr>
        <w:spacing w:after="0" w:line="23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if we obtain regulatory approval for any of our product candidates, we expect to incur significant commercialization expenses related to product manufacturing, marketing, sales and distribution. Furthermore, upon the completion of this offering, we expect to incur additional costs associated with operating as a public company. Accordingly, we will need to obtain substantial additional funding in order to support our continuing operations. If we are unable to raise capital when needed or on attractive terms, we could be forced to delay, reduce or eliminate our research and development programs or any future regulatory approval or commercialization efforts.</w:t>
      </w:r>
    </w:p>
    <w:p>
      <w:pPr>
        <w:spacing w:after="0" w:line="1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of June 30, 2023, we had $334.1 million of cash, cash equivalents and marketable securities. Based upon our current operating plan, we believe that our existing cash, cash equivalents and marketable securities as of the date of this prospectus will enable us to fund our operating expenses and capital expenditure requirements through at least the next 12 months from the date of this offering. In addition, based upon our current operating plan, we believe that the net proceeds from this offering together with our existing cash, cash equivalents and marketable securities will enable us to fund our operating expenses and capital expenditure requirements through at least the next 30 months from the date of this offering.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spacing w:after="0" w:line="74" w:lineRule="exact"/>
        <w:rPr>
          <w:sz w:val="20"/>
          <w:szCs w:val="20"/>
          <w:color w:val="auto"/>
        </w:rPr>
      </w:pPr>
    </w:p>
    <w:p>
      <w:pPr>
        <w:ind w:left="1080" w:right="40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or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or future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or future product candidates;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or future product candidates;</w:t>
      </w:r>
    </w:p>
    <w:p>
      <w:pPr>
        <w:spacing w:after="0" w:line="130"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9"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precision neuroscience approach at identifying target patient populations and utilizing our approach to enrich our patient population in our clinical trials;</w:t>
      </w:r>
    </w:p>
    <w:p>
      <w:pPr>
        <w:spacing w:after="0" w:line="75" w:lineRule="exact"/>
        <w:rPr>
          <w:rFonts w:ascii="Arial" w:cs="Arial" w:eastAsia="Arial" w:hAnsi="Arial"/>
          <w:sz w:val="18"/>
          <w:szCs w:val="18"/>
          <w:color w:val="auto"/>
        </w:rPr>
      </w:pPr>
    </w:p>
    <w:p>
      <w:pPr>
        <w:ind w:left="1080" w:right="460" w:hanging="532"/>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access additional multimodal patient datasets;</w:t>
      </w:r>
    </w:p>
    <w:p>
      <w:pPr>
        <w:spacing w:after="0" w:line="23" w:lineRule="exact"/>
        <w:rPr>
          <w:rFonts w:ascii="Arial" w:cs="Arial" w:eastAsia="Arial" w:hAnsi="Arial"/>
          <w:sz w:val="18"/>
          <w:szCs w:val="18"/>
          <w:color w:val="auto"/>
        </w:rPr>
      </w:pPr>
    </w:p>
    <w:p>
      <w:pPr>
        <w:ind w:left="1080" w:right="420" w:hanging="532"/>
        <w:spacing w:after="0" w:line="260"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macroeconomic trends including inflation and rising interest rates;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any potential supply chain interruptions or delays, including those related to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 products and technologies.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and adequate additional financing may not be available to us on acceptable terms, or at all.</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with our existing cash, cash equivalents and marketable securities, the net proceeds from this offering,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such as the anticipated $90.0 million stock issuance we anticipate making in the second half of 2023 in connection with the contingent consideration owed to Blackthorn stockholders,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spacing w:after="0" w:line="16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identify, develop and commercialize any product candidates, or experience significant delays in doing so, our business, financial condition and results of operations will be materially adversely affected.</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ability to generate revenue from sales of any of our approved product candidates, which we do not expect will occur for at least the next several years, depends heavily on the successful identification, development, regulatory approval and eventual commercialization of any product candidates, which may never occur. We have never generated revenue from sales of any products, and we may never be able to develop, obtain regulatory approval for, or commercialize, a marketable product. All of our product candidates will require significant clinical development, regulatory approval, establishment of sufficient manufacturing supply, including commercial manufacturing supply, and may require us to build a commercial organization and make substantial investment and significant marketing efforts before we generate any revenue from product sales.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successful development of our product candidates will depend on several factors, including, but not limited to, the following:</w:t>
      </w:r>
    </w:p>
    <w:p>
      <w:pPr>
        <w:spacing w:after="0" w:line="131" w:lineRule="exact"/>
        <w:rPr>
          <w:sz w:val="20"/>
          <w:szCs w:val="20"/>
          <w:color w:val="auto"/>
        </w:rPr>
      </w:pPr>
    </w:p>
    <w:p>
      <w:pPr>
        <w:ind w:left="1080" w:right="62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and timely completion of preclinical studies and clinical trials for which the FDA, or any comparable foreign regulatory authority, agree with the design, endpoints, or implementation;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regulatory approvals or authorizations for conducting future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initiation and successful patient enrollment in, and completion of, clinical trials on a timely basis;</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or any comparable foreign regulatory authority that the applicable product candidate is safe and effective as for its intended uses;</w:t>
      </w:r>
    </w:p>
    <w:p>
      <w:pPr>
        <w:spacing w:after="0" w:line="75"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receipt of marketing approvals for our product candidates from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addressing any potential supply chain interruptions or delays. including those related to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scaling up and scaling out, either alone or with third-party manufacturers, manufacturing capabilities of clinical supply for our clinical trials and commercial manufacturing, if any of our product candidates are approved.</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develop and commercialize our product candidates, which would materially adversely affect our business, financial condition, and results of operations.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Additionally, clinical or regulatory setbacks to other companies developing similar products or within adjacent fields may impact the clinical development of and regulatory pathway for our current or future product candidates, or may negatively impact the perceptions of value or risk of our technologies.</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were founded with a mission to redefine neuroscience drug development, a field that has seen very limited success. The ability to successfully develop drugs in this field is extremely difficult and is subject to a number of unique challenges.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Drug development in the field of brain diseases, and neuropsychiatric disorders and neurodegenerative diseases in particular, has seen very limited success historically. We estimate over $110 billion have been spent on neuroscience research and development since 2019 in the United States alone, representing approximately 33% of all disease-specific spending. However, only approximately 12% of all new therapies approved during this time period have been for the treatment of brain diseases. From 2011 to 2020, clinical development success rates for new drug candidates that employed patient selection biomarkers were approximately 16% compared to approximately 8% for patients without patient selection biomarkers according to the BIO; however, clinical success depends on a number of factors and employing a patient selection biomarker approach does not guarantee that our product candidates will be approved and commercialized. Developing a product candidate for treatment of these brain diseases is extremely difficult and subjects us to a number of unique challenges, including obtaining regulatory approval from the FDA and other regulatory authorities who have only a limited set of precedents to rely on.</w:t>
      </w:r>
    </w:p>
    <w:p>
      <w:pPr>
        <w:spacing w:after="0" w:line="18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intend to work closely with the FDA and comparable foreign regulatory authorities to perform the requisite scientific analyses and evaluation in an effort to obtain regulatory approval for our product candidates; however, the process of developing our product candidates may be more complex and time-consuming relative to other more well-known approaches to drug development. We cannot be certain that our approach will lead to the development of product candidates that effectively and safely address the underlying brain diseases.</w:t>
      </w:r>
    </w:p>
    <w:p>
      <w:pPr>
        <w:spacing w:after="0" w:line="17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Moreover, given the history of clinical failures in this field, future clinical or regulatory failures by us or others may have result in further negative perception of the likelihood of success in this field, which may significantly and adversely affect the market price of our common stock.</w:t>
      </w:r>
    </w:p>
    <w:p>
      <w:pPr>
        <w:spacing w:after="0" w:line="146"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We have invested and expect to continue to invest in acquiring product candidates, technologies and assets, as well as research and development efforts that further enhance our product pipeline. Such investments may affect our operating results, and, if the return on these investments is lower or develops more slowly than we expect, our revenue and operating results may suffer.</w:t>
      </w:r>
    </w:p>
    <w:p>
      <w:pPr>
        <w:spacing w:after="0" w:line="16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have invested and expect to continue to invest in acquiring potential product candidates to enhance our product pipeline, technologies and assets. These activities and investments involve significant time, risks, and uncertainties, including the risk that the associated expenses may affect our operating results, that such investments may not generate products that can be successfully developed or technologies that can be effectively used by us, and cause significant drains on capital resources and commit us to substantial financial obligations. While we believe that we must continue to invest a significant amount of time and resources in the development of our product pipeline, if we do not achieve the benefits anticipated from these investments, or if the achievement of these benefits is delayed, our business, operating results and prospects may be materially adversely affected.</w:t>
      </w:r>
    </w:p>
    <w:p>
      <w:pPr>
        <w:spacing w:after="0" w:line="16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since our inception in November 2019, and expect to continue to grow in the future. If we fail to effectively manage our growth, we may not be able to execute on our business objectives.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June 30, 2022, we had 101 full-time employees and, as of June 30, 2023, we had grown to 110 full-time employees. We expect continued growth in the number of our employees and the scope of our operations, particularly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as we continue our current and future clinical trials and preclinical studies, initiate and conduct investigational new drug (IND)-enabling studies and build out our clinical operations, regulatory, quality and manufacturing infrastructure. In addition to headcount growth, we have made a number of acquisitions of assets, and entered into a significant strategic collaboration with Amgen and in-licensed programs from Amgen and Vanderbilt. These activities have added significant complexity to our organization, including a number of clinical and preclinical programs that we are now developing. These programs require significant infrastructure and headcount to effectively prosecute.</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To manage our anticipated future growth, we will continue to implement and improve our managerial, operational, and financial systems, expand our facilities, and continue to recruit and train additional qualified personnel. Due to the complexity in managing a company that has scaled very quickly and anticipates continued growth, we may not be able to scale our headcount and operations effectively to manage the expansion of our product pipeline or recruit and train the necessary additional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6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addition, future growth imposes significant added responsibilities on members of management, including: identifying, recruiting, integrating, maintaining, and motivating additional employees; managing our internal development efforts effectively, including the clinical and FDA review process for our product candidates, while complying with our contractual obligations to contractors and other third parties; and improving and scaling our operational, financial and management controls, reporting systems and procedures.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currently rely on certain independent organizations, advisors, and consultants to provide certain services, including strategic, financial, business development, and research and development services, as well as certain aspects of regulatory approval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or contract manufacturing organizations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reasonable terms, or at all.</w:t>
      </w:r>
    </w:p>
    <w:p>
      <w:pPr>
        <w:spacing w:after="0" w:line="1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ability to develop product candidates, leverage our precision neuroscience approach and our future growth depends on attracting, hiring and retaining our key personnel and recruiting additional qualified personnel.</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brain diseases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neuroscientists,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6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addition, our clinical operations and research and development programs depend on our ability to attract and retain highly skilled scientists, data scientists, and engineers, particularly in Massachusetts and California.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17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may not realize the benefits of assets that we have acquired, or will acquire in the future, or other strategic transactions that we have or will consummate.</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approach represents an aggregation of innovation and assets from multiple companies and academic institutions, including BlackThorn, Syllable and Alairion as well as Amgen, TSRI and Vanderbilt. Further, a key component of our strategy is to acquire and in-license assets and technologies to support the growth of our product pipeline and to enhance our Precision Toolbox. As such, we actively evaluate various strategic transactions on an ongoing basis. We may acquire other assets, businesses, products or technologies, as well as pursue joint ventures or investments in complementary businesses. The success of our strategic transactions and any future strategic transactions depends on the risks and uncertainties involved including:</w:t>
      </w:r>
    </w:p>
    <w:p>
      <w:pPr>
        <w:spacing w:after="0" w:line="9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 or joint ventures;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the management of acquisition and integration efforts, strategic alliances or joint ventures challenges;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or joint ventures.</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If any of these risks or uncertainties occur, we may not realize the anticipated benefit of any acquisition or strategic transaction. For example, less than one year following the acquisition of Propellex, we terminated and are no longer developing the program we acquired from Propellex. We have ceased the development of our NMRA-094 product candidate for the treatment of obstructive sleep apnea (OSA) that we acquired from Alairion based on pre-IND feedback we received from the FDA. 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Future acquisitions or dispositions could result in potentially dilutive issuances of our equity securities, the incurrence of debt, contingent liabilities or amortization expenses, impairments or write-offs of goodwill or impairments and write-offs of in-process research and development assets, any of which could harm our financial condition.</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have relied on, and in the future will continue to rely on, third-party datasets and databases to build and enhance our precision neuroscience approach. If we are not able to access additional data sets or develop enhancements to our precision neuroscience approach, our ability to execute on our strategy may be limited.</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ability to execute on our drug development strategy depends in part on our ability to enhance and improve our precision neuroscience approach. As part of this approach, we interrogate public, partnered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proprietary datasets across neuropsychiatric and neurodegenerative diseases, currently encompassing genetic, imaging, electroencephalogram (EEG), digital and clinical data. We rely on these datasets and data analytics for identifying or validating some of our biomarker-target relationships. The success of our precision neuroscience approach and any enhancement to our approach depends on several factors, including access to and generation of additional multimodal patient datasets, whether public, partnered or proprietary, development of more advanced proprietary machine learning capabilities and increased computational storage and processing capacity. If we are unable to access additional datasets or they are not available on acceptable terms, or if we are otherwise unsuccessful in enhancing our approach, we may be limited in our precision neuroscience capabilities and not be able to fully utilize a precision neuroscience drug development strategy.</w:t>
      </w:r>
    </w:p>
    <w:p>
      <w:pPr>
        <w:spacing w:after="0" w:line="17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addition, access to public data sets may be limited by governmental or other restrictions, including restrictions on commercial application by government or government sponsored organizations or privacy related restrictions. See the risk factor “We face potential liability related to the privacy of health information we utilize in the development of product candidates, as well as information we obtain from clinical trials sponsored by us from research institutions and directly from individuals” for additional information on privacy related considerations.</w:t>
      </w:r>
    </w:p>
    <w:p>
      <w:pPr>
        <w:spacing w:after="0" w:line="171"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b w:val="1"/>
          <w:bCs w:val="1"/>
          <w:i w:val="1"/>
          <w:iCs w:val="1"/>
          <w:color w:val="auto"/>
        </w:rPr>
        <w:t>The ongoing pandemic caused by COVID-19, or another pandemic, epidemic, or infectious disease outbreak in the United States or worldwide, could materially and adversely affect our preclinical studies and development, any clinical trials we subsequently commence, and our business, financial condition and results of operations.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COVID-19 pandemic continues to evolve. As a result of the COVID-19 pandemic or any other pandemic, epidemic or outbreak of an infectious disease, we may experience disruptions that could severely impact our business, preclinical studies and clinical trials. Potential disruptions to the development of our product candidates include, but are not limited to:</w:t>
      </w:r>
    </w:p>
    <w:p>
      <w:pPr>
        <w:spacing w:after="0" w:line="89" w:lineRule="exact"/>
        <w:rPr>
          <w:sz w:val="20"/>
          <w:szCs w:val="20"/>
          <w:color w:val="auto"/>
        </w:rPr>
      </w:pPr>
    </w:p>
    <w:p>
      <w:pPr>
        <w:ind w:left="1080" w:right="60" w:hanging="532"/>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data monitoring and efficacy and safety data collection, processing and analyses, due to limitations on travel imposed or recommended by federal, state, or local governments, employers and others or interruption of clinical trial subject visits, which may impact the collection and integrity of subject data and clinical trial endpoints;</w:t>
      </w:r>
    </w:p>
    <w:p>
      <w:pPr>
        <w:spacing w:after="0" w:line="70" w:lineRule="exact"/>
        <w:rPr>
          <w:rFonts w:ascii="Arial" w:cs="Arial" w:eastAsia="Arial" w:hAnsi="Arial"/>
          <w:sz w:val="17"/>
          <w:szCs w:val="17"/>
          <w:color w:val="auto"/>
        </w:rPr>
      </w:pPr>
    </w:p>
    <w:p>
      <w:pPr>
        <w:ind w:left="1080" w:right="4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initiating or expanding clinical trials, including delays or difficulties with clinical site initiation and recruiting clinical site investigators and clinical site staff;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other health conditions or being forced to quarantine;</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materials and reagents;</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IND-enabling studies due to restrictions of on-site staff, limited or no access to animal facilities, ongoing supply chain issues that are impacting supplies of laboratory reagents and unforeseen circumstances at contract research organizations (CROs) and vendors;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532"/>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employee or other resources that would otherwise be focused on the conduct of our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89"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in maintaining our corporate culture that facilitates the transfer of institutional knowledge within our organization and fosters innovation, teamwork, and a focus on execution;</w:t>
      </w:r>
    </w:p>
    <w:p>
      <w:pPr>
        <w:spacing w:after="0" w:line="75" w:lineRule="exact"/>
        <w:rPr>
          <w:rFonts w:ascii="Arial" w:cs="Arial" w:eastAsia="Arial" w:hAnsi="Arial"/>
          <w:sz w:val="18"/>
          <w:szCs w:val="18"/>
          <w:color w:val="auto"/>
        </w:rPr>
      </w:pPr>
    </w:p>
    <w:p>
      <w:pPr>
        <w:ind w:left="1080" w:right="200" w:hanging="532"/>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of the FDA or comparable regulatory authorities to accept data from clinical trials in affected geographies; and</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delays, difficulties or interruptions as a result of current or future shutdowns due to the COVID-19 pandemic in countries where we or our third-party service providers operate.</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COVID-19 pandemic delayed patient enrollment in our Phase 2 clinical trial of navacaprant, caused difficulties in accessing animal models for our preclinical evaluation of our product candidates and has posed challenges to the development timeline of preclinical studies and manufacturing services provided to us by third-party vendors located in China. The ongoing pandemic may further delay our initiation of preclinical studies and clinical trials, interrupt our supply chain, disrupt regulatory activities or have other adverse effects on our business and operations.</w:t>
      </w:r>
    </w:p>
    <w:p>
      <w:pPr>
        <w:spacing w:after="0" w:line="17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COVID-19 pandemic continues to rapidly evolve, and the extent to which it and any other pandemic, epidemic, or other outbreak may affect our preclinical studies, clinical trials, business, financial condition and results of operations will depend on future developments, which continue to be highly uncertain and unpredictable and present material uncertainty and risk to our business.</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70"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biotechnology and biopharmaceutical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biopharmaceutical and biotechnology companies, academic institutions, government agencies and other public and private research organizations. These organizations may have significantly greater resources than we do and conduct similar research, seek patent protection and establish collaborative arrangements for research, development, manufacturing, and marketing of products that compete with our product candidates. Mergers and acquisitions in the biotechnology and biopharmaceutical industries may result in even more resources being concentrated in our competitors. Competition may increase further as a result of advances in the commercial applicability of technologies and greater availability of capital for investment in these industries.</w:t>
      </w:r>
    </w:p>
    <w:p>
      <w:pPr>
        <w:spacing w:after="0" w:line="196"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With the proliferation of new drugs and therapies for our target indications, we expect to face increasingly intense competition as new technologies become available. If we fail to stay at the forefront of technological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change, we may be unable to compete effectively. Any product candidates that we successfully develop and commercialize will compete with existing therapies and new therapies that may become available in the future. The highly competitive nature of and rapid technological changes in the biotechnology and biopharmaceutical industries could render our product candidates or our technology obsolete, less competitive or uneconomical. Our competitors may, among other things:</w:t>
      </w:r>
    </w:p>
    <w:p>
      <w:pPr>
        <w:spacing w:after="0" w:line="9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significantly greater financial, manufacturing, marketing, drug development, technical, and human resources than we do;</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more convenient or easier to administer, or have fewer or less severe side effects;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proprietary positions covering our products and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factors occur, our business, financial condition and results of operations could be materially adversely affected.</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any collaborators may decide to market and sell products that compete with the product candidates that we have agreed to license to them, and any competition by our collaborators could also have a material adverse effect on our future business, financial condition, and results of operations.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developing or acquiring technologies complementary to, or necessary for, our programs.</w:t>
      </w:r>
    </w:p>
    <w:p>
      <w:pPr>
        <w:spacing w:after="0" w:line="18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Because we have limited financial and managerial resources, we focus on research programs, therapeutic platforms, and product candidates that we identify for specific indications. Additionally, we have contractual commitments under the agreements for various product candidate assets that we acquired from third parties, as well as our license and collaboration agreements, to use commercially reasonable efforts to develop certain programs and, thus, do not have unilateral discretion to vary from such agreed to efforts. In addition, we have contractual commitments to conduct certain development plans, and thus may not have discretion to modify such development plans, including clinical trial designs, without agreement from our collaboration partner. As a result, we may forego or delay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81" w:lineRule="auto"/>
        <w:rPr>
          <w:sz w:val="20"/>
          <w:szCs w:val="20"/>
          <w:color w:val="auto"/>
        </w:rPr>
      </w:pPr>
      <w:r>
        <w:rPr>
          <w:rFonts w:ascii="Arial" w:cs="Arial" w:eastAsia="Arial" w:hAnsi="Arial"/>
          <w:sz w:val="15"/>
          <w:szCs w:val="15"/>
          <w:b w:val="1"/>
          <w:bCs w:val="1"/>
          <w:i w:val="1"/>
          <w:iCs w:val="1"/>
          <w:color w:val="auto"/>
        </w:rPr>
        <w:t>We rely upon third-party providers of cloud-based infrastructure to host our platforms. Any disruption in the operations of these third-party providers, limitations on capacity, or interference with our use could adversely affect our business, financial condition, and results of operations.</w:t>
      </w:r>
    </w:p>
    <w:p>
      <w:pPr>
        <w:spacing w:after="0" w:line="10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outsource substantially all of the technological infrastructure relating to our hosted platform to third-party hosting services, such as Amazon Web Services. We have no control over any of these third parties, and while we attempt to reduce risk by minimizing reliance on any single third party or its operations, we cannot guarantee that such third-party providers will not experience system interruptions, outages or delays, or deterioration in their performance. We need to be able to access our computational platform at any time, without interruption or degradation of performance. Our hosted platform depends on protecting the virtual cloud infrastructure hosted by third-party hosting services by maintaining its configuration, architecture, features, and interconnection specifications, as well as protecting the information stored in these virtual data centers, which is transmitted by third-party Internet service providers.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 Any limitation on the capacity of our third-party hosting services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terrorist or other attacks, and other disruptive events beyond our control could negatively affect our cloud-based solutions. A prolonged service disruption affecting our cloud-based solutions could damage our reputation or otherwise harm our business. We may also incur significant costs for using alternative equipment or taking other actions in preparation for, or in reaction to, events that damage the third-party hosting services we use.</w:t>
      </w:r>
    </w:p>
    <w:p>
      <w:pPr>
        <w:spacing w:after="0" w:line="17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hosted software solutions for deployment on a different cloud infrastructure service provider, which could adversely affect our business, financial condition, and results of operations.</w:t>
      </w:r>
    </w:p>
    <w:p>
      <w:pPr>
        <w:spacing w:after="0" w:line="18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our other data is otherwise obtained, our data may be perceived as not being secure and we may incur significant liabilities.</w:t>
      </w:r>
    </w:p>
    <w:p>
      <w:pPr>
        <w:spacing w:after="0" w:line="17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use a set of proprietary tools to generate, analyze, and derive novel insights from our data. As a result, unauthorized access to or security breaches of our data, as a result of third-party action, employee or contractor error, malfeasance, or otherwise could require notification to individuals, governmental authorities, supervisory bodies, the media and other parties pursuant to privacy and security laws and result in the loss or corruption of, or other damage to information, claims and litigation, indemnity obligations, damage to our reputation, and other liability. Our collaborators and other third parties we work with may also suffer similar security breaches of data that we rely on. Because the techniques used to obtain unauthorized access or sabotage systems change frequently and generally are not identified until they are launched against a target, we and those we collaborate with may be unable to anticipate these techniques or implement adequate preventative measures. Even if identified, we may be unable to adequately investigate or remediate incidents or breaches due to attackers increasingly using tools and techniques that are designed to circumvent controls, to avoid detection, and to remove or obfuscate forensic evidence. In addition, if our employees or contractors fail to adhere to practices we have established to maintain a firewall between our internal drug discovery team and our teams that work with external individuals, including our collaborators, or if the technical solutions we have adopted to maintain the firewall malfunction, our collaborators may lose confidence in our ability to maintain the confidentiality of their intellectual property, we may have trouble attracting new collaborators, we may be subject to breach of contract claims by our collaborators, and we may suffer reputational and other harm as a result. Federal, state and foreign laws and regulations may also expose us to enforcement actions and investigations by regulatory authorities, and potentially result in regulatory penalties, fines and significant legal liability, if our information technology security efforts fail. Any or all of these issues could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result in reputational damage or subject us to third-party lawsuits or other action or liability, which could adversely affect our operating results and the further development and commercialization of our products. Our insurance may not be adequate to cover losses associated with such events, and in any case, such insurance may not cover all of the types of costs, expenses, and losses we could incur to respond to and remediate a security breach.</w:t>
      </w:r>
    </w:p>
    <w:p>
      <w:pPr>
        <w:spacing w:after="0" w:line="14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b w:val="1"/>
          <w:bCs w:val="1"/>
          <w:i w:val="1"/>
          <w:iCs w:val="1"/>
          <w:color w:val="auto"/>
        </w:rPr>
        <w:t>Our precision neuroscience tools utilize third-party open source software, and any failure to comply with the terms of one or more of these open source software licenses could adversely affect our business, subject us to litigation, or create potential liability.</w:t>
      </w:r>
    </w:p>
    <w:p>
      <w:pPr>
        <w:spacing w:after="0" w:line="14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precision neuroscience tools include software licensed by third parties under any one or more open source licenses, and we expect to continue to incorporate open source software in our precision neuroscience tools in the future. While we have a process in place for monitoring the use of open source software by our employees, we cannot ensure we are aware of every instance of such use or have validated the quality or source of such software, or that we are in compliance with the terms of the applicable open source licenses or our current policies and procedures.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research and development resources to change our precision neuroscience tools. Furthermore, these third-party open source providers could experience service outages, data loss, privacy breaches, cyber-attacks, and other events relating to the applications and services they provide that could diminish the utility of these services and which could harm our business as a result.</w:t>
      </w:r>
    </w:p>
    <w:p>
      <w:pPr>
        <w:spacing w:after="0" w:line="184"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Use of open source software may entail greater risks than use of third-party commercial software, as open source licensors generally do not provide warranties or other contractual protections regarding infringement claims or the quality of the code, including with respect to security vulnerabilities where open source software may be more susceptible.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to which we are subject have not been interpreted by courts in the relevant jurisdictions, and there is a risk that such licenses could be construed in a manner that imposes unanticipated conditions or restrictions on our ability to market or provide our software and data.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precision neuroscience tools, or otherwise be limited in the licensing of our precision neuroscience tools, each of which could reduce or eliminate the value of our precision neuroscience tools.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research and development resources, and we may not be able to successfully complete any such re-engineering or other remedial efforts. Any of these events could create liability for us and damage our reputation, which could have a material adverse effect on our revenue, business, results of operations, and financial condition and the market price of our shares.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Clinical Testing of Our Product Candidates</w:t>
      </w:r>
    </w:p>
    <w:p>
      <w:pPr>
        <w:spacing w:after="0" w:line="229" w:lineRule="exact"/>
        <w:rPr>
          <w:sz w:val="20"/>
          <w:szCs w:val="20"/>
          <w:color w:val="auto"/>
        </w:rPr>
      </w:pPr>
    </w:p>
    <w:p>
      <w:pPr>
        <w:ind w:left="120" w:right="180"/>
        <w:spacing w:after="0" w:line="340" w:lineRule="auto"/>
        <w:rPr>
          <w:sz w:val="20"/>
          <w:szCs w:val="20"/>
          <w:color w:val="auto"/>
        </w:rPr>
      </w:pPr>
      <w:r>
        <w:rPr>
          <w:rFonts w:ascii="Arial" w:cs="Arial" w:eastAsia="Arial" w:hAnsi="Arial"/>
          <w:sz w:val="15"/>
          <w:szCs w:val="15"/>
          <w:b w:val="1"/>
          <w:bCs w:val="1"/>
          <w:i w:val="1"/>
          <w:iCs w:val="1"/>
          <w:color w:val="auto"/>
        </w:rPr>
        <w:t>Clinical and preclinical drug development is a lengthy and expensive process, with an uncertain outcome. Our clinical and preclinical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spacing w:after="0" w:line="13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order to obtain FDA approval to market our product candidates, we must demonstrate the safety and efficacy of our product candidates in humans to the satisfaction of the FDA. To meet these requirements, we will have to conduct adequate and well-controlled clinical trials. Clinical testing is expensive, time-consuming and subject to uncertainty. Conducting preclinical testing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but not limited to:</w:t>
      </w:r>
    </w:p>
    <w:p>
      <w:pPr>
        <w:spacing w:after="0" w:line="10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establishing the approvals needed to conduct preclinical studies in animals (e.g., Institutional Animal Care and Use Committee approval);</w:t>
      </w:r>
    </w:p>
    <w:p>
      <w:pPr>
        <w:spacing w:after="0" w:line="153" w:lineRule="exact"/>
        <w:rPr>
          <w:rFonts w:ascii="Arial" w:cs="Arial" w:eastAsia="Arial" w:hAnsi="Arial"/>
          <w:sz w:val="16"/>
          <w:szCs w:val="16"/>
          <w:color w:val="auto"/>
        </w:rPr>
      </w:pPr>
    </w:p>
    <w:p>
      <w:pPr>
        <w:ind w:left="1080" w:right="5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FDA’s Good Laboratory Practice (GLP) requirements and other applicable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ethics committee at each clinical site before each trial may be initiated;</w:t>
      </w:r>
    </w:p>
    <w:p>
      <w:pPr>
        <w:spacing w:after="0" w:line="142"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delays in reaching agreement on acceptable terms with prospective CROs, and clinical trial sites, the terms of which can be subject to extensive negotiation and may vary significantly among different CROs and clinical trial sites;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89"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30" w:lineRule="exact"/>
        <w:rPr>
          <w:rFonts w:ascii="Arial" w:cs="Arial" w:eastAsia="Arial" w:hAnsi="Arial"/>
          <w:sz w:val="18"/>
          <w:szCs w:val="18"/>
          <w:color w:val="auto"/>
        </w:rPr>
      </w:pPr>
    </w:p>
    <w:p>
      <w:pPr>
        <w:ind w:left="1080" w:right="260" w:hanging="532"/>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by our CROs, other third parties or us to adhere to clinical trial protocols; failure to perform in accordance with the FDA’s or any other regulatory authority’s good clinical practice (GCP) requirements, or applicable regulatory guidelines in other countries;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and delays or failure by our CMOs or us to make any necessary changes to such manufacturing process;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preclinical studies and clinical trials. In particular, as a result of the COVID-19 pandemic, we have experienced difficulty in accessing animal models, specifically non-human primate models, for the preclinical evaluation of our product candidates. Delays caused by the inability to access these models may cause our development timeline to be extended beyond what we anticipate.</w:t>
      </w:r>
    </w:p>
    <w:p>
      <w:pPr>
        <w:spacing w:after="0" w:line="15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For example, nonclinical safety pharmacology studies of NMRA-511 indicate that the dose limiting toxicities were CNS observations including tremor and convulsions, which led to a partial clinical hold on our IND that was removed when we amended the protocol to include tremors as a stopping criterion. More recently, in response to a pre-IND submission for a preclinical program focused on OSA, feedback from the FDA related to the target indication led us to cease that program.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4"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9" w:right="5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cultural customs, managing additional administrative burdens associated with foreign regulatory schemes, as well as political and economic risks relevant to such foreign countries.</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7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Results of preclinical studies or clinical trials of any product candidates may not be predictive of the results of future preclinical studies or clinical trials.</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To obtain the requisite regulatory approvals to market and sell any of our product candidates, we or any collaborator for such product candidate must demonstrate through extensive preclinical studies and clinical trials that the product candidate is safe and effective in humans. Before an IND can be submitted to the FDA and become effective, which is a prerequisite for conducting clinical trials on human subjects, a product candidate must successfully progress through extensive preclinical studies, which include preclinical laboratory testing, animal studies, and formulation studies in accordance with GLP. We cannot be certain of the timely completion or outcome of any preclinical studies. We also cannot predict if the FDA or comparable regulatory authorities will allow our proposed clinical programs to proceed or if the outcome of our preclinical studies will ultimately support further development of our programs. Additionally, we cannot be sure that we will be able to submit INDs or similar applications with respect to our product candidates on the timelines we expect, if at all, and we cannot be sure that submission of IND or similar applications will result in the FDA or other regulatory authorities allowing clinical trials to begin.</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Moreover, success in preclinical studies or early clinical trials does not ensure that later preclinical studies or clinical trials will be successful. A number of companies in the biotechnology and biopharmaceutical industries have suffered significant setbacks in clinical trials, even after positive results in earlier preclinical studies. These setbacks have been caused by, among other things, preclinical findings made while clinical trials were underway and safety or efficacy observations made in clinical trials, including previously unreported adverse events. The design of a clinical trial can determine whether its results will support approval of a product, and flaws in the design of a clinical trial may not become apparent until the clinical trial is well advanced. In addition, clinical and preclinical data are often susceptible to varying interpretations and analyses. Notwithstanding any potential promising results in earlier studies, we cannot be certain that we will not face similar setbacks. In addition, the results of our preclinical animal studies, including our non-human primate studies, may not be predictive of the results of outcomes in subsequent clinical trials on human subjects. Product candidates in clinical trials may fail to show the desired pharmacological properties or safety and efficacy traits despite having progressed through preclinical studies.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If we fail to receive positive results in preclinical studies or clinical trials of any product candidate, the development timeline and regulatory approval and commercialization prospects for that product candidate, and, correspondingly, our business and financial prospects, would be negatively impacted.</w:t>
      </w:r>
    </w:p>
    <w:p>
      <w:pPr>
        <w:spacing w:after="0" w:line="184"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Our product candidates may have serious adverse, undesirable, or unacceptable side effects or other properties that may delay or prevent marketing approval. If such side effects are identified following approval, if any, the commercial profile of any approved label may be limited, or we may be subject to other significant negative consequences following marketing approval, if any.</w:t>
      </w:r>
    </w:p>
    <w:p>
      <w:pPr>
        <w:spacing w:after="0" w:line="16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Undesirable side effects that may be caused by our product candidates could cause us or regulatory authorities to interrupt, delay, or halt clinical trials and could result in a more restrictive label or the delay or denial of regulatory approval by the FDA or comparable foreign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study plans based on findings in our ongoing preclinical studies or clinical trials. For example, in a rat study, at its highest dose (100 mg/kg/day) navacaprant was observed to have skin-related phototoxicity of erythema, edema and flaking additionally ocular phototoxicity (corneal edema). While no phototoxicity has been observed in our Phase 1 clinical trials, we monitored visual acuity and corneal integrity in our Phase 2 clinical trial to confirm there was no phototoxicity in humans. Though we did not observe any phototoxicity effects in our Phase 2 clinical trial, if phototoxicity is experienced in our later-stage clinical trials, the labeling implications of such safety warnings may limit any future product sales, if navacaprant is approved.</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It is possible that as we test our product candidates in larger, longer and more extensive clinical trials, including with different dosing regimens, or as the use of these product candidates becomes more widespread if they receive regulatory approval, illnesses, injuries, discomforts and other adverse events that were observed in earlier trials, as well as conditions that did not occur or went undetected in previous trials, may be reported by subjects. If such side effects become known later in development or upon approval, if any, such findings may harm our business, financial condition and prospects significantly.</w:t>
      </w:r>
    </w:p>
    <w:p>
      <w:pPr>
        <w:spacing w:after="0" w:line="19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the event that any of our product candidates receives marketing approval and we or others later identify undesirable or unacceptable side effects caused by such products, a number of potentially significant negative consequences could result, including:</w:t>
      </w:r>
    </w:p>
    <w:p>
      <w:pPr>
        <w:spacing w:after="0" w:line="7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regulatory authorities may withdraw or limit approvals of such products and require us to take our approved product off the market;</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 or issue other communications containing warnings or other safety information about the product;</w:t>
      </w:r>
    </w:p>
    <w:p>
      <w:pPr>
        <w:spacing w:after="0" w:line="75" w:lineRule="exact"/>
        <w:rPr>
          <w:rFonts w:ascii="Arial" w:cs="Arial" w:eastAsia="Arial" w:hAnsi="Arial"/>
          <w:sz w:val="18"/>
          <w:szCs w:val="18"/>
          <w:color w:val="auto"/>
        </w:rPr>
      </w:pPr>
    </w:p>
    <w:p>
      <w:pPr>
        <w:ind w:left="1080" w:right="660" w:hanging="532"/>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dose or the way the product is administered, conduct additional clinical trials, or change the labeling of the product;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or manufacture the product;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78"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7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vaccine candidates may be harmed, which could harm our business, prospects, financial condition or results of operations.</w:t>
      </w:r>
    </w:p>
    <w:p>
      <w:pPr>
        <w:spacing w:after="0" w:line="16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will depend on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spacing w:after="0" w:line="184" w:lineRule="exact"/>
        <w:rPr>
          <w:sz w:val="20"/>
          <w:szCs w:val="20"/>
          <w:color w:val="auto"/>
        </w:rPr>
      </w:pPr>
    </w:p>
    <w:p>
      <w:pPr>
        <w:jc w:val="both"/>
        <w:ind w:left="120" w:right="340" w:firstLine="440"/>
        <w:spacing w:after="0" w:line="286" w:lineRule="auto"/>
        <w:rPr>
          <w:sz w:val="20"/>
          <w:szCs w:val="20"/>
          <w:color w:val="auto"/>
        </w:rPr>
      </w:pPr>
      <w:r>
        <w:rPr>
          <w:rFonts w:ascii="Arial" w:cs="Arial" w:eastAsia="Arial" w:hAnsi="Arial"/>
          <w:sz w:val="17"/>
          <w:szCs w:val="17"/>
          <w:color w:val="auto"/>
        </w:rPr>
        <w:t>Successful and timely completion of clinical trials will require that we enroll and retain a sufficient number of patient candidates. Any clinical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The eligibility criteria of our clinical studies, and in particular, any eligibility criteria we may establish using our precision neuroscience approach, may limit the pool of available study participants as we will require that patients have specific characteristics that we can measure or to assure their disease is either severe enough or not too advanced to include them in a study.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Patient enrollment depends on many factors, including:</w:t>
      </w:r>
    </w:p>
    <w:p>
      <w:pPr>
        <w:spacing w:after="0" w:line="13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eligibility criteria for the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clinical protocol;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the administration of our product candidates or trial completion;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competing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new drugs approved for the indication the clinical trial is investigating;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of the drug being studied in relation to other available therapies.</w:t>
      </w:r>
    </w:p>
    <w:p>
      <w:pPr>
        <w:spacing w:after="0" w:line="23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8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smaller than we believe, and even if the markets in which we compete achieve the forecasted growth, our business may not grow at similar rates, or at all.</w:t>
      </w:r>
    </w:p>
    <w:p>
      <w:pPr>
        <w:spacing w:after="0" w:line="124" w:lineRule="exact"/>
        <w:rPr>
          <w:sz w:val="20"/>
          <w:szCs w:val="20"/>
          <w:color w:val="auto"/>
        </w:rPr>
      </w:pPr>
    </w:p>
    <w:p>
      <w:pPr>
        <w:ind w:left="120" w:right="500" w:firstLine="440"/>
        <w:spacing w:after="0" w:line="293" w:lineRule="auto"/>
        <w:rPr>
          <w:sz w:val="20"/>
          <w:szCs w:val="20"/>
          <w:color w:val="auto"/>
        </w:rPr>
      </w:pPr>
      <w:r>
        <w:rPr>
          <w:rFonts w:ascii="Arial" w:cs="Arial" w:eastAsia="Arial" w:hAnsi="Arial"/>
          <w:sz w:val="16"/>
          <w:szCs w:val="16"/>
          <w:color w:val="auto"/>
        </w:rPr>
        <w:t>We intend to initially focus our product candidate development on treatments for various neuropsychiatric disorders and neurodegenerative diseases. Our projections of addressable patient populations within any particular disease state that may benefit from treatment with our product candidates are based on our estimates. Market opportunity estimates and growth forecasts included in this prospectus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Additionally, the potentially addressable patient population for our product candidates may not</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18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Even if approved, our products may not gain market acceptance, in which case we may not be able to generate product revenues, which will materially adversely affect our business, financial condition, and results of operations.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Even if the FDA or any comparable foreign regulatory authority approves the marketing of any product candidates that we develop, physicians, healthcare providers, patients, or the medical community may not accept or use them. Additionally, the product candidates that we are developing are based on our proprietary approach, which are new technologies. If these products do not achieve an adequate level of acceptance, we may not generate significant product revenues or any profits from operations. The degree of market acceptance of any of our product candidates will depend on a variety of factors, including:</w:t>
      </w:r>
    </w:p>
    <w:p>
      <w:pPr>
        <w:spacing w:after="0" w:line="9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approval of other new therapies for the same indications;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about our product candidates;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coverage, adequate reimbursement and sufficient payment from health maintenance organizations and other insurers, both public and private, for our product candidates, or the procedures utilizing our product candidates, if approved;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coverage by third-party payors and government authorities;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9" w:right="5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We currently have no marketing, sales, or distribution infrastructure and we intend to either establish a sales and marketing infrastructure or outsource this function to a third party. Either of these commercialization strategies carries substantial risks to us.</w:t>
      </w:r>
    </w:p>
    <w:p>
      <w:pPr>
        <w:spacing w:after="0" w:line="124"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Given our stage of development, we currently have no marketing, sale, and distribution capabilities. If any of our product candidates complete clinical development and are approved, we intend to either establish a sales and marketing organization with technical expertise and supporting distribution capabilities to commercialize our product candidates in a legally compliant manner, or to outsource this function to a third party.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biopharmaceutical products. While we currently have no products that have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Even successful defense against product liability claims would require significant financial and management resources. Regardless of the merits or eventual outcome, liability claims may result in: decreased demand for our product candidates; injury to our reputation; withdrawal of clinical trial participants; initiation of investigations by regulators; costs to defend the related litigation; a diversion of management’s time and our resources; substantial monetary awards to trial participants or patients; product recalls, withdrawals or labeling, marketing or promotional restrictions; loss of revenue; exhaustion of any available insurance and our capital resources; the inability to commercialize any product candidate; and a decline in our share price.</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Although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be unable to maintain insurance coverage at a reasonable cost or obtain insurance coverage that will be adequate 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if at all, our business will be substantially harmed.</w:t>
      </w:r>
    </w:p>
    <w:p>
      <w:pPr>
        <w:spacing w:after="0" w:line="16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In the United States, obtaining marketing approval for a new drug requires the submission of a New Drug Application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not previously submitted an NDA to the FDA or similar marketing application to comparable foreign authorities, for any product candidate, and we cannot be certain that any of our product candidates will receive regulatory approval. Obtaining approval of an NDA can be a lengthy, expensive, and uncertain process, and as a company we have no experience with the preparation of an NDA submission or any other marketing application. In addition, 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8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clinical and preclinical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market our products, if approved. Further, even if we believe the data collected from clinical trials of our product candidates are promising, such data may not be sufficient to support approval by the FDA or any comparable foreign regulatory authority.</w:t>
      </w:r>
    </w:p>
    <w:p>
      <w:pPr>
        <w:spacing w:after="0" w:line="19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If the FDA or a comparable foreign regulatory authority approves any of our product candidates, the manufacturing processes, testing, safety, efficacy,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w:t>
      </w:r>
    </w:p>
    <w:p>
      <w:pPr>
        <w:spacing w:after="0" w:line="178" w:lineRule="exact"/>
        <w:rPr>
          <w:sz w:val="20"/>
          <w:szCs w:val="20"/>
          <w:color w:val="auto"/>
        </w:rPr>
      </w:pPr>
    </w:p>
    <w:p>
      <w:pPr>
        <w:ind w:left="120" w:right="560" w:firstLine="440"/>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quality control, and distribution.</w:t>
      </w:r>
    </w:p>
    <w:p>
      <w:pPr>
        <w:spacing w:after="0" w:line="176"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7"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or require us to issue, safety-related communications, such as safety alerts, field alerts, “Dear Doctor” letters to healthcare professionals, or import alerts;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limit, or withdraw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of our preclinical studies and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and our contract manufacturers’ facilities;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conduct a product recall.</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adverse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18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Moreover,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drug products. These regulations include standards and restrictions for direct-to-consumer advertising, industry-sponsored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While physicians in the United States may choose, and are generally permitted, to prescribe products in their independent medical judgment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In addition, during the COVID-19 pandemic, the FDA postponed most inspections of domestic and foreign manufacturing facilities at various points. Even though the FDA has resumed standard inspection operations of domestic facilities where feasible, the FDA has continued to monitor and implement changes to its inspectional activities to ensure the safety of its employees and those of the firms it regulates, and any resurgence of COVID-19 or emergence of new variants may lead to further inspectional delays. If a prolonged government shutdown occurs, or if global health concerns continue to prevent the FDA or other regulatory authorities from conducting their regular activities, it could significantly impact the ability of the FDA or other regulatory authorities to timely review and process our regulatory submissions, which could have a material adverse effect on our business.</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8"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healthcare professionals, principal investigators, consultants, vendors, customers, and third-party payors in the United States and elsewhere are subject to applicable anti-kickback, fraud and abuse, false claims, physician payment transparency, and other healthcare laws and regulations, which could expose us to substantial penalties, contractual damages, reputation harm, administrative burdens, and diminished profits.</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Healthcare providers, healthcare facilities and institutions and third-party payors in the United States and elsewhere will play a primary role in the recommendation and prescription of any product candidates for which we obtain marketing approval. Our current and future arrangements with healthcare professionals, healthcare facilities and institutions, principal investigators, consultants, customers, and third-party payors may expose us to broadly applicable fraud and abuse and other healthcare laws, including, without limitation,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regulation by the federal government and by the states and foreign jurisdictions in which we conduct our business. The applicable federal, state, and foreign healthcare laws that affect our ability to operate include, but are not limited to, the following:</w:t>
      </w:r>
    </w:p>
    <w:p>
      <w:pPr>
        <w:spacing w:after="0" w:line="84" w:lineRule="exact"/>
        <w:rPr>
          <w:sz w:val="20"/>
          <w:szCs w:val="20"/>
          <w:color w:val="auto"/>
        </w:rPr>
      </w:pPr>
    </w:p>
    <w:p>
      <w:pPr>
        <w:ind w:left="1080" w:right="180" w:hanging="532"/>
        <w:spacing w:after="0" w:line="255"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federal civil and criminal false claims laws, including the civil False Claims Act, which prohibit, among other things, including through civil whistleblower or qui tam actions,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among other things, engaging in impermissible marketing practices, such as the off-label promotion of a product for an indication for which it has not received FDA approval. In addition, the government may assert that a claim including items and services resulting from a violation of the federal Anti-Kickback Statute constitutes a false or fraudulent claim for purposes of the civil False Claims Act;</w:t>
      </w:r>
    </w:p>
    <w:p>
      <w:pPr>
        <w:spacing w:after="0" w:line="101"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77" w:lineRule="auto"/>
        <w:rPr>
          <w:sz w:val="20"/>
          <w:szCs w:val="20"/>
          <w:color w:val="auto"/>
        </w:rPr>
      </w:pPr>
      <w:r>
        <w:rPr>
          <w:rFonts w:ascii="Arial" w:cs="Arial" w:eastAsia="Arial" w:hAnsi="Arial"/>
          <w:sz w:val="18"/>
          <w:szCs w:val="18"/>
          <w:color w:val="auto"/>
        </w:rPr>
        <w:t>Kickback Statute, a person or entity does not need to have actual knowledge of the healthcare fraud statute implemented under HIPAA or specific intent to violate it in order to have committed a violation;</w:t>
      </w:r>
    </w:p>
    <w:p>
      <w:pPr>
        <w:spacing w:after="0" w:line="76" w:lineRule="exact"/>
        <w:rPr>
          <w:sz w:val="20"/>
          <w:szCs w:val="20"/>
          <w:color w:val="auto"/>
        </w:rPr>
      </w:pPr>
    </w:p>
    <w:p>
      <w:pPr>
        <w:ind w:left="1080" w:hanging="532"/>
        <w:spacing w:after="0" w:line="273"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U.S. Physician Payments Sunshine Act and its implementing regulations, which requires, among other things, certain manufacturers of drugs and devices that are reimbursable under Medicare, Medicaid, or the Children’s Health Insurance Program, with specific exceptions, to report annually to the Centers for Medicare and Medicaid Services, or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spacing w:after="0" w:line="83" w:lineRule="exact"/>
        <w:rPr>
          <w:rFonts w:ascii="Arial" w:cs="Arial" w:eastAsia="Arial" w:hAnsi="Arial"/>
          <w:sz w:val="17"/>
          <w:szCs w:val="17"/>
          <w:color w:val="auto"/>
        </w:rPr>
      </w:pPr>
    </w:p>
    <w:p>
      <w:pPr>
        <w:ind w:left="1080" w:right="80" w:hanging="532"/>
        <w:spacing w:after="0" w:line="271"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spacing w:after="0" w:line="83"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similar healthcare laws and regulations in foreign jurisdictions, including reporting requirements detailing interactions with and payments to healthcare providers.</w:t>
      </w:r>
    </w:p>
    <w:p>
      <w:pPr>
        <w:spacing w:after="0" w:line="170"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 xml:space="preserve">Ensuring that our internal operations and future business arrangements with third parties comply with applicable healthcare laws and regulations will involve substantial costs.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We have entered into consulting and scientific advisory board arrangements with physicians and other healthcare providers, including some who could influence the use of our product candidates, if approved. Compensation under some of these arrangements includes the provision of stock or stock options in addition to cash consideration. Because of the complex and far-reaching nature of these laws, it is possible that governmental authorities could conclude that our payments to physicians may not be fair market value for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services or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are exposed to the risk of employee fraud or other misconduct. 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employment, foreign corrupt practices, trade restrictions and sanctions, environmental, competition, and patient privacy and other privacy laws and regulations. Misconduct by employees could include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labeling,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w:t>
      </w:r>
    </w:p>
    <w:p>
      <w:pPr>
        <w:spacing w:after="0" w:line="19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of importance to the biopharmaceutical and biotechnology industries are the following:</w:t>
      </w:r>
    </w:p>
    <w:p>
      <w:pPr>
        <w:spacing w:after="0" w:line="83" w:lineRule="exact"/>
        <w:rPr>
          <w:sz w:val="20"/>
          <w:szCs w:val="20"/>
          <w:color w:val="auto"/>
        </w:rPr>
      </w:pPr>
    </w:p>
    <w:p>
      <w:pPr>
        <w:ind w:left="1080" w:right="44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manufacturers and importers of certain branded prescription drugs are required to pay an annual, nondeductible fee according to their market share of all such sales;</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of the average manufacturer price for most branded drugs, and to 13.0% for generic drug;</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certain drugs, including our product candidates, that are inhaled, infused, instilled, implanted, or injected;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outpatient drugs dispensed to individuals who are enrolled in Medicaid managed care organizations;</w:t>
      </w:r>
    </w:p>
    <w:p>
      <w:pPr>
        <w:spacing w:after="0" w:line="75"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pricing program;</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 Thus, the ACA remains in effect in its current form.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On August 16, 2022, President Biden signed the Inflation Reduction Act of 2022 (the IRA) into law, which, among other things, extends enhanced subsidies for individuals purchasing health insurance coverage in ACA marketplaces through plan year 2025. It is unclear how other healthcare reform measures of the Biden administration or other efforts, if any, to challenge, repeal or replace the ACA, will impact our business.</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on March 11, 2021, President Biden signed the American Rescue Plan Act of 2021 into law, which eliminates the statutory Medicaid drug rebate cap, currently set at 100% of a drug’s average manufacturer price, beginning January 1, 2024. Further, in August 2011, the Budget Control Act of 2011, among other things, included aggregate reductions of Medicare payments to providers. These reductions went into effect in April 2013 and, due to subsequent legislative amendments to the statute, will remain in effect until 2032, with the exception of a temporary suspension from May 1, 2020 through March 31, 2022, unless additional action is taken by Congress.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Moreover, heightened governmental scrutiny is likely to continue over the manner in which manufacturers set prices for their marketed products, which already has resulted in several Congressional inquiries, proposed and enacted legislation and executive orders issued by the President designed to, among other things, bring more transparency to product pricing, review the relationship between pricing and manufacturer patient programs, and reform government program reimbursement methodologies for drug products. Most recently, the IRA marks the most significant action by Congress with respect to the biopharmaceutical industry since adoption of the ACA in 2010.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Manufacturers that fail to comply with the IRA may be subject to various penalties, including civil monetary penalties. The IRA permits the Secretary of the Department of Health and Human Services (HHS) to implement many of these provisions through guidance, as opposed to regulation, for the initial years. For that and other reasons, it is currently unclear how the IRA will be effectuated, and while the impact of the IRA on the biopharmaceutical industry cannot yet be fully determined, it is likely to be significant.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Additionally, individual states in the United States have passed legislation and implemented regulations designed to control biopharmaceutical product pricing and costs. Similar developments have occurred outside of the United States, including in the European Union where healthcare budgetary constraints have resulted in restrictions on the pricing and reimbursement of medicines by relevant health service providers. To obtain reimbursement or pricing approval in some European Union member states, we may be required to conduct studies that compare the cost-effectiveness of our product candidates to other therapies that are considered the local standard of care.</w:t>
      </w:r>
    </w:p>
    <w:p>
      <w:pPr>
        <w:spacing w:after="0" w:line="176"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We cannot predict the likelihood, nature, or extent of government regulation that may arise from the IRA or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57" w:lineRule="exact"/>
        <w:rPr>
          <w:sz w:val="20"/>
          <w:szCs w:val="20"/>
          <w:color w:val="auto"/>
        </w:rPr>
      </w:pPr>
    </w:p>
    <w:p>
      <w:pPr>
        <w:ind w:left="120" w:right="60"/>
        <w:spacing w:after="0" w:line="381" w:lineRule="auto"/>
        <w:rPr>
          <w:sz w:val="20"/>
          <w:szCs w:val="20"/>
          <w:color w:val="auto"/>
        </w:rPr>
      </w:pPr>
      <w:r>
        <w:rPr>
          <w:rFonts w:ascii="Arial" w:cs="Arial" w:eastAsia="Arial" w:hAnsi="Arial"/>
          <w:sz w:val="15"/>
          <w:szCs w:val="15"/>
          <w:b w:val="1"/>
          <w:bCs w:val="1"/>
          <w:i w:val="1"/>
          <w:iCs w:val="1"/>
          <w:color w:val="auto"/>
        </w:rPr>
        <w:t>Even if we are able to commercialize any product candidate, coverage and adequate reimbursement may not be available or such product candidate may become subject to unfavorable pricing regulations or third-party coverage and reimbursement policies, which would harm our business.</w:t>
      </w:r>
    </w:p>
    <w:p>
      <w:pPr>
        <w:spacing w:after="0" w:line="10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drug products vary widely from country to country. Some countries require approval of the sale price of a drug product before it can be marketed. In many countries, the pricing review period begins after marketing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third-party payors, such as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relatively early stages of development, we are unable at this time to determine their cost effectiveness or the likely level or method of coverage and reimbursement. Increasingly, the third-party payors who reimburse patients or healthcare providers are requiring that drug companies provide them with predetermined discounts from list prices, and are seeking to reduce the prices charged or the amounts reimbursed for drug products. If the price we are able to charge for any products we develop, or the coverage and reimbursement provided for such products, is inadequate in light of our development and other costs, our return on investment could be affected adversely.</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There may be significant delays in obtaining reimbursement for newly-approved drug products, and coverage may be more limited than the purposes for which the drug product is approved by the FDA or comparable foreign regulatory authorities. Moreover, eligibility for reimbursement does not imply that any drugs product will be reimbursed in all cases or at a rate that covers our costs, including research, development, manufacture, sale, and distribution.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Interim reimbursement levels for new drug products, if applicable, may also be insufficient to cover our costs and may not be made permanent. Reimbursement rates may be based on payments allowed for lower cost drug products that are already reimbursed, may be incorporated into existing payments for other services and may reflect budgetary constraints or imperfections in Medicare data. Net prices for drug products may be reduced by mandatory discounts or rebates required by third-party payors and by any future relaxation of laws that presently restrict imports of drug products from countries where they may be sold at lower prices than in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United States. Obtaining coverage and adequate reimbursement for our product candidates may be particularly difficult because of the higher prices often associated with drugs administered under the supervision of a physician.</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Further, no uniform policy for coverage and reimbursement exists in the United States, and coverage and reimbursement can differ significantly from payor to payor. Third-party payors often follow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w:t>
      </w:r>
    </w:p>
    <w:p>
      <w:pPr>
        <w:spacing w:after="0" w:line="19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The continuing efforts of the government, insurance companies, managed care organizations, and other payors of healthcare services to contain or reduce costs of healthcare and/or impose price controls may adversely affect:</w:t>
      </w:r>
    </w:p>
    <w:p>
      <w:pPr>
        <w:spacing w:after="0" w:line="54"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inability to promptly obtain coverage and adequate reimbursement from both third-party payors for the product candidates that we may develop and for which we obtain regulatory approval could have a material and adverse effect on our business, financial condition, results of operations, and prospects.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utilize in the development of product candidates, as well as information we obtain from clinical trials sponsored by us from research institutions and directly from individuals.</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global data protection landscape is rapidly evolving and we and our partners and vendors are, or may become, subject to various federal, state, and foreign data protection laws and regulations (i.e., laws and regulations that address personal information,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If we fail to comply with these laws and regulations, we may be subject to litigation, regulatory investigations, enforcement notices, enforcement actions, fines, and criminal or civil penalties, as well as adverse publicity and a potential loss of business.</w:t>
      </w:r>
    </w:p>
    <w:p>
      <w:pPr>
        <w:spacing w:after="0" w:line="16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health information privacy laws, and federal and state consumer protection laws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regulations that govern the collection, use, disclosure, and protection of health-related and other personal information could apply to our operations or the operations of our partners. For example, most healthcare providers, including research institutions from which we obtain patient health information, are subject to privacy and security regulations promulgated under HIPAA, as amended by the Health Information Technology for Economic and Clinical Health Act of 2009. HIPAA imposes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We could potentially face substantial criminal or civil penalties if we violate HIPAA. For example,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 or otherwise violate applicable HIPAA requirements related to the protection of such information. Even when HIPAA does not apply, according to the Federal Trade Commission (FTC) violating consumers’ privacy rights or failing to take appropriate steps to keep consumers’ personal information secure may constitute a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74"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For our clinical trials, we may maintain sensitive personal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and regulations governing the privacy and security of personal information or requiring notification of affected individuals and state regulators in the event of a breach of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which establishes additional data privacy rights for residents of the State of California.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Although there are limited exemptions for health-related information, including clinical trial data, the CCPA may increase our compliance costs and potential liability. Further, the California Privacy Rights Act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New legislation proposed or enacted in various other states will continue to shape the data privacy environment nationally. For example, similar laws have passed in Virginia, Colorado, Connecticut and Utah.</w:t>
      </w:r>
    </w:p>
    <w:p>
      <w:pPr>
        <w:spacing w:after="0" w:line="17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Complying with U.S. federal and state data privacy and security laws, regulations, amendments to or re-interpretations of existing data privacy and security laws and regulations and contractual or other obligations relating to privacy, data protection, data transfers, data localization or information security may require us to make changes to our processes, incur substantial operational costs, modify our data practices and policies and restrict our business operations.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16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are also or may become subject to rapidly evolving data protection laws, rules and regulations in foreign jurisdictions. Any clinical trial programs and research collaborations that we engage in outside the United States may implicate international data protection laws, including, in the European Economic Area (EEA), the General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Data Protection Regulation (GDPR), which became effective in 2018. The GDPR imposes stringent operational requirements for processors and controllers of the personal data of individuals within the EEA. Among other things, the GDPR requires detailed notices for clinical trial subjects and investigators, as well as requirements regarding the security of personal data and notification of data processing obligations or security incidents to appropriate data protection authorities or data subjects. If our privacy or data security measures fail to comply with the GDPR requirements, we may be subject to litigation, regulatory investigations, enforcement notices, and/or enforcement actions requiring us to change the way we use personal data and/or fines. In addition to statutory enforcement, a personal data breach can lead to adverse publicity and a potential loss of business. Further, from January 1, 2021, companies have had to comply with both the GDPR and the United Kingdom GDPR (UK GDPR), which, together with the amended UK Data Protection Act 2018, imposes separate but similar obligations to those under the GDPR. The UK GDPR mirrors the fines under the GDPR, imposing fines up to the greater of €20 million (£17.5 million) or 4% of global turnover.</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President Biden signed an Executive Order on October 7, 2022 on ‘Enhancing Safeguards for United States Signals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These laws and regulations may apply, not only to us, but also to vendors that store or otherwise process data on our behalf, such as information technology vendors. If such a vendor misuses data we have provided to it, or fails to safeguard such data, we may be subject to litigation, regulatory investigations, enforcement notices, and/or enforcement actions, as well as adverse publicity and a potential loss of business.</w:t>
      </w:r>
    </w:p>
    <w:p>
      <w:pPr>
        <w:spacing w:after="0" w:line="17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are likely to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regulatory requirements, we could be subject to a hack or data breach, which could subject us to fines and penalties, as well as reputational damage.</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If we fail to comply with applicable federal, state, local, or foreign regulatory requirements, we could be subject to a range of regulatory actions, including penalties and fines, that may also impact our compliance with contracts entered into with our partners, and that could affect our or any collaborators’ ability to seek to commercialize our clinical candidates. Any threatened or actual government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enforcement action could also generate adverse publicity and require that we devote substantial resources that could otherwise be used in other aspects of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while the raw materials for our product candidates are sourced from multiple suppliers, in some cases, the drug product is sourced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7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1080" w:right="380" w:hanging="532"/>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study drug or placebo not being properly identified;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a comparable foreign regulatory authority, they will not be able to secure and/or maintain marketing approval for their manufacturing facilities. In addition, we do not have control over the ability of our contract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7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Supply sources could be interrupted from time to time and, if interrupted, there is no guarantee that supplies could be resumed within a reasonable time frame and at an acceptable cost or at all.</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rely on our manufacturers to purchase from third-party suppliers the materials necessary to produce our product candidates for our preclinical studies and intend to continue to rely on these third parties for any clinical trials that we undertake. There are a limited number of suppliers for raw materials that we use to manufacture our drugs and there may be a need to assess alternate suppliers to prevent a possible disruption of the manufacture of the materials necessary to produce our product candidates for our preclinical studies, clinical trials, and if approved, ultimately for commercial sale. We do not have any control over the process or timing of the acquisition of these raw materials by our manufacturers. Moreover, we currently do not have any agreements for the commercial production of these raw materials.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a new supplier must be used. The time and effort to qualify a new supplier could result in additional costs, diversion of resources, or reduced manufacturing yields, any of which would negatively impact our operating results. Although we generally do not begin a clinical trial unless we believe we have a sufficient supply of a product candidate to complete the clinical trial,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67"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8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do not currently have the ability to independently conduct any clinical trials. We have relied upon and plan to continue to rely upon third parties, including independent clinical investigators and third-party CROs, to conduct our preclinical studies and clinical trials and to monitor and manage data for our clinical and preclinical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Further, these investigators and CROs are not our employees and we will not be able to control, other than by contract, the amount of resources, including time, that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may require us to disclose our proprietary information to these parties, which could increase the risk that this information will be misappropriated. Additionally, disruptions caused by the COVID-19 pandemic may increase the likelihood that our CROs encounter difficulties or delays in initiating, enrolling, conducting, or completing our planned clinical trials. In particular, as a result of the pandemic, we have experienced difficulty in accessing animal models, specifically non-human primate models, for the preclinical evaluation of our product candidates. Delays caused by the inability to access these models may cause our development timeline to be extended beyond what we anticipate.</w:t>
      </w:r>
    </w:p>
    <w:p>
      <w:pPr>
        <w:spacing w:after="0" w:line="18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Further, some of these agreements may also be terminated by such third parties on short notice, or under certain circumstances, including our insolvency.</w:t>
      </w:r>
    </w:p>
    <w:p>
      <w:pPr>
        <w:spacing w:after="0" w:line="17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There is a limited number of third-party service providers that specialize or have the expertise required to achieve our business objectives. Many of the third parties with whom we contract may also have relationships with other commercial entities, including our competitors, for whom they may also be conducting clinical trials or other drug development activities that could harm our competitive position.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prospects.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We may not realize the benefits of any collaborative or licensing arrangement, and if we fail to enter into new strategic relationships our business, financial condition, commercialization prospects, and results of operations may be materially adversely affected.</w:t>
      </w:r>
    </w:p>
    <w:p>
      <w:pPr>
        <w:spacing w:after="0" w:line="14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Therefore, for some of our product candidates, we may in the future decide to enter into collaborations with pharmaceutical or biopharmaceutical companies for the development and potential commercialization of those product candidates.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face significant competition in seeking appropriate collaborators. Collaborations are complex and time-consuming to negotiate and document. We may also be restricted under existing and future collaboration agreements from entering into agreements on certain terms with other potential collaborators. We may not be able to negotiate collaborations on acceptable terms, or at all. If our strategic collaborations do not result in the successful development and commercialization of product candidates, or if one of our collaborators terminates its agreement with us, we may not receive any future research funding or milestone or royalty payments under the collaboration. Moreover, our estimates of the potential revenue we are eligible to receive under any strategic collaborations we may enter into may include potential payments related to therapeutic programs for which our collaborators may discontinue development in the future. If that were to occur, we may have to curtail the development of a particular product candidate, reduce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w:t>
      </w:r>
    </w:p>
    <w:p>
      <w:pPr>
        <w:spacing w:after="0" w:line="17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instances where we have or do enter into collaborations, we could be subject to the following risks, each of which may materially harm our business, commercialization prospects, and financial condition:</w:t>
      </w:r>
    </w:p>
    <w:p>
      <w:pPr>
        <w:spacing w:after="0" w:line="76" w:lineRule="exact"/>
        <w:rPr>
          <w:sz w:val="20"/>
          <w:szCs w:val="20"/>
          <w:color w:val="auto"/>
        </w:rPr>
      </w:pPr>
    </w:p>
    <w:p>
      <w:pPr>
        <w:ind w:left="1080" w:right="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is required of us to complete our development obligations or that the collaboration partner devotes to the product development or marketing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142" w:lineRule="exact"/>
        <w:rPr>
          <w:rFonts w:ascii="Arial" w:cs="Arial" w:eastAsia="Arial" w:hAnsi="Arial"/>
          <w:sz w:val="17"/>
          <w:szCs w:val="17"/>
          <w:color w:val="auto"/>
        </w:rPr>
      </w:pPr>
    </w:p>
    <w:p>
      <w:pPr>
        <w:ind w:left="1080" w:right="64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75" w:lineRule="exact"/>
        <w:rPr>
          <w:rFonts w:ascii="Arial" w:cs="Arial" w:eastAsia="Arial" w:hAnsi="Arial"/>
          <w:sz w:val="18"/>
          <w:szCs w:val="18"/>
          <w:color w:val="auto"/>
        </w:rPr>
      </w:pPr>
    </w:p>
    <w:p>
      <w:pPr>
        <w:ind w:left="1080" w:right="520" w:hanging="532"/>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and our collaboration partner may disagree regarding the development plan for research and development projects or product candidates on which we are collaborating (for example, we may disagree with a collaboration partner regarding target indications or inclusion or exclusion criteria for a clinical trial); or</w:t>
      </w:r>
    </w:p>
    <w:p>
      <w:pPr>
        <w:spacing w:after="0" w:line="89"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results, revenue, or specific net income that justifies such transaction.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We depend on intellectual property licensed or acquired from third parties and we are currently party to in-license agreements under which we acquired rights to use, develop, manufacture and/or commercialize certain of our proprietary technologies and product candidates. If we breach our obligations under these agreements or if any of these agreements is terminated, or otherwise experience disruptions to our business relationships with our licensors, we may be required to pay damages, lose our rights to such intellectual property and technology, or both, which would harm our business.</w:t>
      </w:r>
    </w:p>
    <w:p>
      <w:pPr>
        <w:spacing w:after="0" w:line="18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We are a party to intellectual property license agreements and in the future, we may enter into additional license agreements. For example, with respect to developing our product candidates, we have licensed or acquired, as the case may be, certain intellectual property from Amgen, Blackthorn, TSRI and Vanderbilt. These license and acquisition agreements impose, and we expect that future license and acquisition agreements will impose, various diligence, milestone payment, royalty and other obligations on us. If we fail to comply with our obligations under these agreements, we may be required to pay damages and the licensor may have the right to terminate the license. Any termination of these licenses could result in the loss of significant rights and could harm our ability to develop, manufacture and/or commercialize our product candidates. See the section titled “Business—Intellectual Property—In-Licensing and Collaboration Agreements” for additional information regarding these key agreements.</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the agreements under which we license or acquire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or acquired prevent or impair our ability to maintain our current licensing arrangements on commercially acceptable terms, we may be unable to successfully develop and commercialize the affected product candidates. 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6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the relevant research programs or product candidates and our business, financial condition, results of operations and prospects could suffer.</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is complicated by the rapid pace of scientific discovery in our industry.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Disputes may also arise between us and our current and future licensors regarding intellectual property subject to a license or collaboration agreement, including those relating to:</w:t>
      </w:r>
    </w:p>
    <w:p>
      <w:pPr>
        <w:spacing w:after="0" w:line="76"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or collaboration agreement and other interpretation-related issues;</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license agreement;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we are complying with our diligence obligations with respect to the use of the licensed technology in relation to our development and commercialization of our product candidates, and what activities satisfy those diligence obligations;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rights upon termination of the license agreements;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license agreements;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and timing of payments owed under license agreements; and</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allocation of ownership of inventions and know-how resulting from the joint creation or use of intellectual property by our licensors or collaborators and by us and our partners.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resolution of any contractual interpretation dispute that may arise, if unfavorable to us, could have a material adverse effect on our business, financial condition, results of operations and prospects.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Furthermore,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our products could suffer.</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depend, in part, on our licensors to file, prosecute, maintain, defend, and enforce certain patents and patent applications that are material to our business.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patents and patent applications relating to our product candidates are owned or controlled by certain of our licensors. In some circumstances, we may not have the right to control the preparation, filing, prosecution, maintenance, and defense of patent applications or patents covering technology that we license from third parties. In such circumstances, our licensors generally have rights to file, prosecute, maintain, and defend the licensed patents in their name, generally with our right to comment on such filing, prosecution, maintenance, and defense, with some obligation for the licensor to consider or incorporate our comments. We generally have the first right to enforce our exclusively licensed patent rights against third parties, although our ability to settle such claims often requires the consent of the licensor. If our licensors or any future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in the circumstances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where we have the right to pursue such enforcement or defense, we cannot ensure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w:t>
      </w:r>
    </w:p>
    <w:p>
      <w:pPr>
        <w:spacing w:after="0" w:line="196"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b w:val="1"/>
          <w:bCs w:val="1"/>
          <w:i w:val="1"/>
          <w:iCs w:val="1"/>
          <w:color w:val="auto"/>
        </w:rPr>
        <w:t>Given the breadth of the application of our precision neuroscience approach, in order to increase our ability to exploit our technologies, we may enter into collaborations and/or strategic partnerships in the future, and we may not realize the anticipated benefits of such collaborations or partnerships. We may not be able to do so or to realize the potential benefits of such transactions, which may cause us to alter or delay our development and commercialization plans.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Research and development collaborations and strategic partnerships are prevalent in the biopharmaceutical industry. The breadth of the application of our precision neuroscience approach is an attractive technology for potential collaborations and/or strategic partnerships. These transactions are subject to numerous risks, which may include the following:</w:t>
      </w:r>
    </w:p>
    <w:p>
      <w:pPr>
        <w:spacing w:after="0" w:line="89" w:lineRule="exact"/>
        <w:rPr>
          <w:sz w:val="20"/>
          <w:szCs w:val="20"/>
          <w:color w:val="auto"/>
        </w:rPr>
      </w:pPr>
    </w:p>
    <w:p>
      <w:pPr>
        <w:ind w:left="1080" w:right="52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 and may not commit sufficient efforts and resources, or may misapply those efforts and resources;</w:t>
      </w:r>
    </w:p>
    <w:p>
      <w:pPr>
        <w:spacing w:after="0" w:line="75" w:lineRule="exact"/>
        <w:rPr>
          <w:rFonts w:ascii="Arial" w:cs="Arial" w:eastAsia="Arial" w:hAnsi="Arial"/>
          <w:sz w:val="18"/>
          <w:szCs w:val="18"/>
          <w:color w:val="auto"/>
        </w:rPr>
      </w:pPr>
    </w:p>
    <w:p>
      <w:pPr>
        <w:ind w:left="1080" w:right="440" w:hanging="532"/>
        <w:spacing w:after="0" w:line="308"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collaboration product candidates or may elect not to continue or renew development or commercialization programs based on clinical trial results or changes in their strategic focus;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delay, provide insufficient resources to, or modify or stop clinical trials for collaboration product candidates;</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develop or acquire products outside of the collaboration that compete directly or indirectly with our products or product candidates;</w:t>
      </w:r>
    </w:p>
    <w:p>
      <w:pPr>
        <w:spacing w:after="0" w:line="75" w:lineRule="exact"/>
        <w:rPr>
          <w:rFonts w:ascii="Arial" w:cs="Arial" w:eastAsia="Arial" w:hAnsi="Arial"/>
          <w:sz w:val="18"/>
          <w:szCs w:val="18"/>
          <w:color w:val="auto"/>
        </w:rPr>
      </w:pPr>
    </w:p>
    <w:p>
      <w:pPr>
        <w:ind w:left="1080" w:right="500" w:hanging="532"/>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9"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29" w:lineRule="exact"/>
        <w:rPr>
          <w:rFonts w:ascii="Arial" w:cs="Arial" w:eastAsia="Arial" w:hAnsi="Arial"/>
          <w:sz w:val="16"/>
          <w:szCs w:val="16"/>
          <w:color w:val="auto"/>
        </w:rPr>
      </w:pPr>
    </w:p>
    <w:p>
      <w:pPr>
        <w:ind w:left="1080" w:right="94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and personnel to pursue further development or commercialization of the applicable product candidates; and</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may not have the exclusive right to commercialize such intellectual property.</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development and potential commercialization of our product candidates will require substantial additional capital to fund expenses. We may form or seek further strategic alliances, create joint ventures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collaborations, or enter into additional licensing arrangements with third parties that we believe will complement or augment our development and commercialization efforts with respect to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in-license agreements or strategic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or such other benefits that led us to enter into the arrangement.</w:t>
      </w:r>
    </w:p>
    <w:p>
      <w:pPr>
        <w:spacing w:after="0" w:line="16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we face significant competition in seeking appropriate strategic partners and the negotiation process is time-consuming and complex.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spacing w:after="0" w:line="168"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As a result of these risks, we may not be able to realize the benefit of our existing collaboration or any future collaborations or licensing agreements we may enter into.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product candidates may also require specific components to work effectively and efficiently, and rights to those components may be held by others. We may be unable to in-license any compositions, methods of use, processes or other third-party intellectual property rights from third parties that we identify. We may fail to obtain any of these licenses at a reasonable cost or on reasonable terms, which would harm our business. In that event, we may be required to expend significant time and resources to develop or license replacement technology. Even if we are able to obtain a license, it may be non-exclusive, thereby giving our competitors access to the same technologies licensed to us. Any delays in entering into new collaborations or strategic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partnership agreements related to our product candidates could delay the development and commercialization of our product candidates in certain geographies, which could harm our business prospects, financial condition and results of operations.</w:t>
      </w:r>
    </w:p>
    <w:p>
      <w:pPr>
        <w:spacing w:after="0" w:line="17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Moreover, some of our owned and in-licensed patents or patent applications or future patents are or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Furthermore, our owned and in-licensed patents may be subject to a reservation of rights by one or more third parties. Any of the foregoing could have a material adverse effect on our competitive position, business, financial condition, results of operations and prospects.</w:t>
      </w:r>
    </w:p>
    <w:p>
      <w:pPr>
        <w:spacing w:after="0" w:line="16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for our product pipeline which may cause us to operate our business in a more costly or otherwise adverse manner that was not anticipated.</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own or license from third parties certain intellectual property rights necessary to develop our product candidates. The growth of our business will likely depend in part on our ability to acquire or in-license additional proprietary rights, including to expand our product pipeline.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companies and academic institutions may also have filed or are planning to file patent applications potentially relevant to our business. Our product candidates may also require specific formulations or other technology to work effectively and efficiently. These formulations or technology may be covered by intellectual property rights held by others. From time to time, in order to avoid infringing these third-party rights,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16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There can be no assurance that we will be able to successfully complete such negotiations and ultimately acquire the rights to the intellectual property surrounding the additional product candidates that we may seek to acquire.</w:t>
      </w:r>
    </w:p>
    <w:p>
      <w:pPr>
        <w:spacing w:after="0" w:line="170"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b w:val="1"/>
          <w:bCs w:val="1"/>
          <w:i w:val="1"/>
          <w:iCs w:val="1"/>
          <w:color w:val="auto"/>
        </w:rPr>
        <w:t>We may be dependent on intellectual property licensed or sublicensed to us from, or for which development was funded or otherwise assisted by, the U.S. government and/or government agencies, such as the National Institutes of Health, for development of our technology and product candidates. Failure to meet our own obligations to our licensors or upstream licensors, including such government agencies, may result in the loss of our rights to such intellectual property, which could harm our business.</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U.S. government and/or government agencies have provided, and in the future may provide, funding, facilities, personnel or other assistance in connection with the development of the intellectual property rights owned by or licensed to us. The U.S. government and/or government agencies may have retained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For example, the research resulting in certain of our in-licensed patent rights and technology was funded in part by the U.S. government. As a result, the government may have certain rights, or march-in rights, to such patent rights and technology. These rights may permit the government to disclose our confidential information to third parties and to exercise march-in rights to use or allow third parties to use our licensed technology.</w:t>
      </w:r>
    </w:p>
    <w:p>
      <w:pPr>
        <w:spacing w:after="0" w:line="18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 candidates and approach, or if the scope of the intellectual property protection is not sufficiently broad, our competitors could develop and commercialize products similar or identical to ours, and our ability to successfully commercialize our products may be adversely affected. We cannot ensure that patent rights relating to inventions described and claimed in our pending patent applications will issue or that patents based on our patent applications will not be challenged and rendered invalid and/or unenforceable.</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or our licensors have filed, and we anticipate that in the future we will file additional patent applications both in the United States and in other countries, as appropriate. However, we cannot predict:</w:t>
      </w:r>
    </w:p>
    <w:p>
      <w:pPr>
        <w:spacing w:after="0" w:line="76"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and when any patents will issue;</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degree and range of protection any issued patents will afford us against competitors, including whether third parties will find ways to invalidate or otherwise circumvent our patents;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others will apply for or obtain patents claiming aspects similar to those covered by our patents and patent applications;</w:t>
      </w:r>
    </w:p>
    <w:p>
      <w:pPr>
        <w:spacing w:after="0" w:line="142"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defend our patent rights, which may be costly whether we win or lose; 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patent applications that we own or in-license will result in issued patents with claims that cover our product candidates or uses thereof in the United States or in other foreign countries.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product candidates and approach. We seek to protect our proprietary position by filing patent applications in the United States and abroad related to our novel discoveries and technologies that are important to our business.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Obtaining and enforcing patents is expensive and time-consuming, and we may not be able to file and prosecute all necessary or desirable patent applications or maintain and/or enforce patents that may issue based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on our patent applications, at a reasonable cost or in a timely manner.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ability to enforce patent rights also depends on our ability to detect infringement. It may be difficult to detect infringers who do not advertise the components or methods that are used in connection with their products and services. Such proceedings could also provoke third parties to assert claims against us, including that some or all of the claims in one or more of our patents are invalid or otherwise unenforceable.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 If we initiate lawsuits to protect or enforce our patents, or litigate against third-party claims, such proceedings would be expensive and would divert the attention of our management and technical personnel.</w:t>
      </w:r>
    </w:p>
    <w:p>
      <w:pPr>
        <w:spacing w:after="0" w:line="19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Composition of matter patents for biopharmaceutical products often provide a strong form of intellectual property protection for those types of products, as such patents provide protection without regard to any method of use. We cannot be certain, however, that the claims in our pending patent applications covering the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can be difficult to prevent or prosecute.</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strength of patents in the biotechnology, biopharmaceutical and data science fields can be uncertain, and evaluating the scope of such patents involves complex legal, factual and scientific analyses and has in recent years been the subject of much litigation, resulting in court decisions, including Supreme Court decisions, which have increased uncertainties as to the ability to enforce patent rights in the future.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In the event of litigation or administrative proceedings, we cannot be certain that the claims in any of our issued patents will be considered valid by courts in the United States or foreign countries.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 applications we hold with respect to our product candidates is threatened, this could dissuade companies from collaborating with us to develop, and could threaten our ability to commercialize, our product candidates. In addition, the laws of foreign countries may not protect our rights to the same extent as the laws of the United States, or vice versa. Further, if we encounter delays in our clinical trials, the period of time during which we could market our product candidates under patent protection would be reduced.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failure to identify and correctly interpret relevant patents may negatively impact our ability to develop and market our products.</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highly uncertain.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claim not entitled to priority before March 16, 2013, there is a greater level of uncertainty in the patent law in view of the passage of the America Invents Act, which brought into effect significant changes to the U.S. patent laws, including new procedures for challenging pending patent applications and issued patents.</w:t>
      </w:r>
    </w:p>
    <w:p>
      <w:pPr>
        <w:spacing w:after="0" w:line="18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reexaminations,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failure to obtain or maintain patent protection with respect to our product candidates could have a material adverse effect on our business, financial condition, results of operations and prospects.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80" w:right="10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 or have exclusively licensed;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file patent applications covering certain of our inventions;</w:t>
      </w:r>
    </w:p>
    <w:p>
      <w:pPr>
        <w:spacing w:after="0" w:line="142" w:lineRule="exact"/>
        <w:rPr>
          <w:rFonts w:ascii="Arial" w:cs="Arial" w:eastAsia="Arial" w:hAnsi="Arial"/>
          <w:sz w:val="17"/>
          <w:szCs w:val="17"/>
          <w:color w:val="auto"/>
        </w:rPr>
      </w:pPr>
    </w:p>
    <w:p>
      <w:pPr>
        <w:ind w:left="1080" w:right="7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75" w:lineRule="exact"/>
        <w:rPr>
          <w:rFonts w:ascii="Arial" w:cs="Arial" w:eastAsia="Arial" w:hAnsi="Arial"/>
          <w:sz w:val="18"/>
          <w:szCs w:val="18"/>
          <w:color w:val="auto"/>
        </w:rPr>
      </w:pPr>
    </w:p>
    <w:p>
      <w:pPr>
        <w:ind w:left="1080" w:right="500" w:hanging="532"/>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jc w:val="both"/>
        <w:ind w:left="1080" w:right="6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89"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claims of any patent issuing based on our patent applications may not provide protection against competitors or any competitive advantages, or may be challenged by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enforced, a court may not hold that our patents are valid, enforceable and infringed;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need to initiate litigation or administrative proceedings to enforce and/or defend our patent rights which will be costly whether we win or lose;</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ind w:left="120" w:right="660"/>
        <w:spacing w:after="0" w:line="381" w:lineRule="auto"/>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 If we are unable to protect the confidentiality of our trade secrets, our business and competitive position would be harmed.</w:t>
      </w:r>
    </w:p>
    <w:p>
      <w:pPr>
        <w:spacing w:after="0" w:line="10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We require our employees to enter into written employment agreements containing provisions of confidentiality and obligations to assign to us any inventions generated in the course of their employment.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against us or our collaborators may prevent or delay our product discovery and development efforts.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Our commercial success depends in part on our avoiding infringement of the patents and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reexamination proceedings before the USPTO or oppositions and other comparable proceedings in foreign jurisdictions. Furthermore, patent reform and changes to patent laws add uncertainty to the possibility of challenge to our patents in the future. We cannot assure you that our product candidates and other proprietary technologies we may develop will not infringe existing or future patents owned by third parties.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Numerous U.S. and foreign issued patents and pending patent applications owned by third parties exist in the fields in which we are developing our product candidates. We cannot provide any assurances that third-party patents do not exist which might be enforced against our current product candidates or future products, resulting in either an injunction prohibiting our sales, or, with respect to our sales, an obligation on our part to pay royalties and/or other forms of compensation to third parties. As the biotechnology and biopharmaceutical industries expand and more patents are issued, the risk increases that our product candidates may give rise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claims of infringement of the patent rights of others. Third parties may assert that we infringe their patents or other intellectual property, or that we are otherwise employing their proprietary technology without authorization, and may sue us. There may be third-party patents of which we are currently unaware with claims to compositions, formulations, methods of manufacture, or methods of use or treatment that cover our product candidates. It is also possible that patents owned by third parties of which we are aware, but which we do not believe are relevant to our product candidates and other proprietary technologies we may develop, could be found to be infringed by our product candidate. Because patent applications can take many years to issue, there may be currently pending patent applications that may later result in issued patents that our product candidates may infringe. In addition, third parties, our competitors in both the United States and abroad, many of which have substantially greater resources and have made substantial investments in patent portfolios and competing technologies, may obtain patents in the future that may prevent, limit or otherwise interfere with our ability to make, use and sell our product candidates, and may claim that use of our technologies or the manufacture, use, or sale of our product candidates infringes upon these patents. If any such third-party patents were held by a court of competent jurisdiction to cover our technologies or product candidates, or if we are found to otherwise infringe a third party’s intellectual property rights, the holders of any such patents may be able to block, including by court order, our ability to develop, manufacture or commercialize the applicable product candidate unless we obtain a license under the applicable patents or other intellectual property, or until such patents expire or are finally determined to be held invalid or unenforceable. Such a license may not be available on commercially reasonable terms or at all. Even if we were able to obtain a license, it could be non-exclusive, thereby giving our competitors access to the same technologies licensed to us. If we are unable to obtain a necessary license to a third-party patent on commercially reasonable terms, our ability to commercialize our product candidates may be impaired or delayed, which could in turn significantly harm our business.</w:t>
      </w:r>
    </w:p>
    <w:p>
      <w:pPr>
        <w:spacing w:after="0" w:line="19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biopharmaceutical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and there is no assurance that a court of competent jurisdiction would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6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Patents are of national or regional effect, and filing, prosecuting, maintaining and defending patents on product candidates in all countries throughout the world would be prohibitively expensive, and our intellectual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property rights in some countries outside the United States can have a different scope and strength than do those in the United States. In addition, the laws of some foreign countries, particularly certain developing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products and our patents or other intellectual property rights may not be effective or adequate to prevent them from competing.</w:t>
      </w:r>
    </w:p>
    <w:p>
      <w:pPr>
        <w:spacing w:after="0" w:line="16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9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Finally, Europe’s planned Unified Patent Court may, in particular, present uncertainties for our ability to protect and enforce our patent rights against competitors in Europe. In 2012, the European Patent Package, or the EU Patent Package, regulations were passed with the goal of providing a single pan-European Unitary Patent system and a new European Unified Patent Court, or the UPC, for litigation involving European patents.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9" w:right="5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Unitary Patent system and UPC successfully launched on June 1, 2023. Under the UPC, all European patents, including those issued prior to ratification of the European Patent Package, now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over the first seven years of the court’s existence, but doing so may preclude us from realizing the benefits of the new unified court.</w:t>
      </w:r>
    </w:p>
    <w:p>
      <w:pPr>
        <w:spacing w:after="0" w:line="19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patents, any patents that may be issued as a result of our pending or future patent applications or other intellectual property rights, the risk-adjusted cost of bringing and enforcing such a claim or action, which typically last for years before they are concluded,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monetary cost of such litigation and the diversion of the attention of our management and scientific personnel could outweigh any benefit we receive as a result of the proceedings and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w:t>
      </w:r>
    </w:p>
    <w:p>
      <w:pPr>
        <w:spacing w:after="0" w:line="18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other intellectual property or the intellectual property of our licensors, which could be expensive, time-consuming, and unsuccessful.</w:t>
      </w:r>
    </w:p>
    <w:p>
      <w:pPr>
        <w:spacing w:after="0" w:line="170"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Competitors may infringe our patents or other intellectual property or the intellectual property of our licensors. To cease such infringement or unauthorized use, we may be required to file patent infringement claims, which can be expensive and time-consuming and divert the time and attention of our management and scientific personnel. Our pending patent applications cannot be enforced against third parties practicing the technology claimed in such applications unless and until a patent issues from such applications. In addition, in an infringement proceeding or a declaratory judgment action,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1"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before the USPTO or comparable foreign authority.</w:t>
      </w:r>
    </w:p>
    <w:p>
      <w:pPr>
        <w:spacing w:after="0" w:line="170"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 xml:space="preserve">If we or one of our licensing partners initiate legal proceedings against a third party to enforce a patent covering one of our product candidates, the defendant could counterclaim we infringe their patents or that the patent covering our product candidate is invalid or unenforceable, or both. In patent litigation in the United States, defendant counterclaims alleging invalidity or unenforceability are commonplace, and there are numerous grounds upon which a third party can assert invalidity or unenforceability of a patent, including lack of novelty, obviousness, non-enablement or insufficient written description or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 271I(1). With respect to the validity of our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and such an outcome may limit our ability to assert our patents against those parties or other competitors and may curtail or preclude our ability to exclude third parties from making and selling similar or competitive products. Such a loss of patent protection could have a material adverse impact on our business.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Recent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(1) file any patent application related to our product candidates and other proprietary technologies we may develop or (2)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a series of cases, the U.S. Supreme Court held that certain claims do not present patentable subject matter (</w:t>
      </w:r>
      <w:r>
        <w:rPr>
          <w:rFonts w:ascii="Arial" w:cs="Arial" w:eastAsia="Arial" w:hAnsi="Arial"/>
          <w:sz w:val="17"/>
          <w:szCs w:val="17"/>
          <w:i w:val="1"/>
          <w:iCs w:val="1"/>
          <w:color w:val="auto"/>
        </w:rPr>
        <w:t>Mayo Collaborative Services v. Prometheus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Laboratories, Inc. </w:t>
      </w:r>
      <w:r>
        <w:rPr>
          <w:rFonts w:ascii="Arial" w:cs="Arial" w:eastAsia="Arial" w:hAnsi="Arial"/>
          <w:sz w:val="17"/>
          <w:szCs w:val="17"/>
          <w:color w:val="auto"/>
        </w:rPr>
        <w:t>(2012);</w:t>
      </w:r>
      <w:r>
        <w:rPr>
          <w:rFonts w:ascii="Arial" w:cs="Arial" w:eastAsia="Arial" w:hAnsi="Arial"/>
          <w:sz w:val="17"/>
          <w:szCs w:val="17"/>
          <w:i w:val="1"/>
          <w:iCs w:val="1"/>
          <w:color w:val="auto"/>
        </w:rPr>
        <w:t xml:space="preserve"> Assoc. for Molecular Pathology v. Myriad Genetics, Inc. </w:t>
      </w:r>
      <w:r>
        <w:rPr>
          <w:rFonts w:ascii="Arial" w:cs="Arial" w:eastAsia="Arial" w:hAnsi="Arial"/>
          <w:sz w:val="17"/>
          <w:szCs w:val="17"/>
          <w:color w:val="auto"/>
        </w:rPr>
        <w:t>(2013);</w:t>
      </w:r>
      <w:r>
        <w:rPr>
          <w:rFonts w:ascii="Arial" w:cs="Arial" w:eastAsia="Arial" w:hAnsi="Arial"/>
          <w:sz w:val="17"/>
          <w:szCs w:val="17"/>
          <w:i w:val="1"/>
          <w:iCs w:val="1"/>
          <w:color w:val="auto"/>
        </w:rPr>
        <w:t xml:space="preserve"> Alice Corp. v. CLS Bank International </w:t>
      </w:r>
      <w:r>
        <w:rPr>
          <w:rFonts w:ascii="Arial" w:cs="Arial" w:eastAsia="Arial" w:hAnsi="Arial"/>
          <w:sz w:val="17"/>
          <w:szCs w:val="17"/>
          <w:color w:val="auto"/>
        </w:rPr>
        <w:t>(2014)). Although we</w:t>
      </w:r>
      <w:r>
        <w:rPr>
          <w:rFonts w:ascii="Arial" w:cs="Arial" w:eastAsia="Arial" w:hAnsi="Arial"/>
          <w:sz w:val="17"/>
          <w:szCs w:val="17"/>
          <w:i w:val="1"/>
          <w:iCs w:val="1"/>
          <w:color w:val="auto"/>
        </w:rPr>
        <w:t xml:space="preserve"> </w:t>
      </w:r>
      <w:r>
        <w:rPr>
          <w:rFonts w:ascii="Arial" w:cs="Arial" w:eastAsia="Arial" w:hAnsi="Arial"/>
          <w:sz w:val="17"/>
          <w:szCs w:val="17"/>
          <w:color w:val="auto"/>
        </w:rPr>
        <w:t>do not believe that any of the patents owned or licensed by us will be found invalid based on these decisions, we cannot predict how future decisions by Congress, the federal courts or the USPTO may impact the value of our patents.</w:t>
      </w:r>
    </w:p>
    <w:p>
      <w:pPr>
        <w:spacing w:after="0" w:line="181"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including due to the effect of the COVID-19 pandemic on us or our patent maintenance vendors,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Patents have a limited lifespan. In the United States, if all maintenance fees are paid timely, the natural expiration of a patent is generally 20 years after its first effective filing date. Although various extensions may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available, the life of a patent, and the protection it affords, is limited.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medications.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 As a result, our patent portfolio may not provide us with sufficient rights to exclude others from commercializing product candidates similar or identical to ours. In addition, although upon issuance in the United States a patent’s life can be increased based on certain delays caused by the USPTO, this increase can be reduced or eliminated based on certain delays caused by the patent applicant during patent prosecution.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If we do not have sufficient patent life to protect our products, our business and results of operations will be adversely affected.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or our licensors may have relied on third-party consultants or collaborators or on funds from third parties, such as the U.S. government, such that we or our licensors are not the sole and exclusive owners of the patents we in-licensed. If other third parties have ownership rights or other rights to our patents, including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7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stock price may be volatile or may decline regardless of our operating performance, resulting in substantial losses for investors.</w:t>
      </w:r>
    </w:p>
    <w:p>
      <w:pPr>
        <w:spacing w:after="0" w:line="23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market price of our common stock may be highly volatile and may fluctuate substantially as a result of a variety of factors, some of which are related in complex ways. The market price of our common stock may fluctuate significantly in response to numerous factors, many of which are beyond our control, including the factors listed below and other factors described in this “Risk Factors” section:</w:t>
      </w:r>
    </w:p>
    <w:p>
      <w:pPr>
        <w:spacing w:after="0" w:line="89" w:lineRule="exact"/>
        <w:rPr>
          <w:sz w:val="20"/>
          <w:szCs w:val="20"/>
          <w:color w:val="auto"/>
        </w:rPr>
      </w:pPr>
    </w:p>
    <w:p>
      <w:pPr>
        <w:ind w:left="1080" w:right="30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enrollment, or results of current and future preclinical studies and clinical trials we may conduct, or changes in the development status of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30"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issuance by the FDA of a “refusal to file” letter or a request for additional information;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laws or regulations, including, but not limited to, preclinical study or clinical trial requirements for approvals;</w:t>
      </w:r>
    </w:p>
    <w:p>
      <w:pPr>
        <w:spacing w:after="0" w:line="23"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negative clinical outcomes or other adverse events related to product candidates being developed by others in the CNS field;</w:t>
      </w:r>
    </w:p>
    <w:p>
      <w:pPr>
        <w:spacing w:after="0" w:line="116"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CNS programs in particular,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manufacturing, supply or distribution shortages;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30" w:lineRule="exact"/>
        <w:rPr>
          <w:rFonts w:ascii="Arial" w:cs="Arial" w:eastAsia="Arial" w:hAnsi="Arial"/>
          <w:sz w:val="18"/>
          <w:szCs w:val="18"/>
          <w:color w:val="auto"/>
        </w:rPr>
      </w:pPr>
    </w:p>
    <w:p>
      <w:pPr>
        <w:ind w:left="1080" w:right="360" w:hanging="532"/>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 political conditions, including but not limited to, disruptions in U.S. government operations and funding, geopolitical conflicts such as the war between Russia and the Ukraine and any sanctions or other repercussions that may result therefrom;</w:t>
      </w:r>
    </w:p>
    <w:p>
      <w:pPr>
        <w:spacing w:after="0" w:line="51" w:lineRule="exact"/>
        <w:rPr>
          <w:rFonts w:ascii="Arial" w:cs="Arial" w:eastAsia="Arial" w:hAnsi="Arial"/>
          <w:sz w:val="17"/>
          <w:szCs w:val="17"/>
          <w:color w:val="auto"/>
        </w:rPr>
      </w:pPr>
    </w:p>
    <w:p>
      <w:pPr>
        <w:ind w:left="1080" w:right="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conditions, including but not limited to, rising inflation, recession risk, low consumer confidence and increasing interest rates;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results of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made by us or our competitors of new product and service offerings, acquisitions, strategic relationships, joint ventures, or capital commitments;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press reports, whether or not true, about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or perceived potential sales of our common stock by us or our stockholders in the future;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overall fluctuations in the equity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developments in the global regulatory environment;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impact from the COVID-19 pandemic on us or third parties with which we engage;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stock market in general and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initial public offering price, you may not realize any return on, and may lose some or all of, your investment.</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76" w:lineRule="exact"/>
        <w:rPr>
          <w:sz w:val="20"/>
          <w:szCs w:val="20"/>
          <w:color w:val="auto"/>
        </w:rPr>
      </w:pPr>
    </w:p>
    <w:p>
      <w:pPr>
        <w:ind w:left="1080" w:right="2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timing and variations in the level of expense related to the current or future development of our programs, including but not limited to, the timing of the milestone payments;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timing and status of enrollment for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potential future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competition from products that compete with our product candidates, and changes in the competitive landscape of our industry, including consolidation among our competitors or partners;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stock-based compensation estimates;</w:t>
      </w:r>
    </w:p>
    <w:p>
      <w:pPr>
        <w:spacing w:after="0" w:line="130"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general political conditions, including but not limited to, disruptions in U.S. government operations and funding, geopolitical conflicts such as the war between Russia and the Ukraine and any sanctions or other repercussions that may result therefrom;</w:t>
      </w:r>
    </w:p>
    <w:p>
      <w:pPr>
        <w:spacing w:after="0" w:line="29" w:lineRule="exact"/>
        <w:rPr>
          <w:rFonts w:ascii="Arial" w:cs="Arial" w:eastAsia="Arial" w:hAnsi="Arial"/>
          <w:sz w:val="16"/>
          <w:szCs w:val="16"/>
          <w:color w:val="auto"/>
        </w:rPr>
      </w:pPr>
    </w:p>
    <w:p>
      <w:pPr>
        <w:ind w:left="1080" w:right="56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economic conditions, including but not limited to, rising inflation, recession risk, low consumer confidence and increasing interest rates;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product candidate we may develop receive regulatory approval, the timing and terms of such approval and market acceptance and demand for such product candidates;</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9" w:right="5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developments affecting current or future product candidates or those of our competitors;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impact from the COVID-19 pandemic, or any future pandemic, on us or third parties with which we engage.</w:t>
      </w:r>
    </w:p>
    <w:p>
      <w:pPr>
        <w:spacing w:after="0" w:line="225"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Prior to this offering, as of September 8, 2023, our executive officers, directors, holders of 5% or more of our capital stock and their respective affiliates owned approximately 63.1% of our outstanding voting stock and, upon the closing of this offering, that same group will own approximately 57.1% of our outstanding voting stock (assuming no exercise of the underwriters’ option to purchase additional shares). Therefore, even after this offering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In addition, certain of our principal stockholders, including Amgen, ARCH Venture Partners and Mubadala Capital, have designated certain of our directors for election to the Board. This may prevent or discourage unsolicited acquisition proposals or offers for our common stock that you may feel are in your best interest as one of our stockholders.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common stock price to fall.</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Upon the completion of this offering, 151,949,096 shares of common stock will be outstanding (or 154,155,596 shares if the underwriters exercise their option to purchase additional shares from us in full), based on the number of shares outstanding as of June 30, 2023.</w:t>
      </w:r>
    </w:p>
    <w:p>
      <w:pPr>
        <w:spacing w:after="0" w:line="14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All shares of common stock expected to be sold in this offering will be freely tradable without restriction or further registration under the Securities Act unless held by our “affiliates” as defined in Rule 144 under the Securities Act. The resale of the remaining 137,239,096 shares, or 90.3% of our outstanding shares of common stock following this offering, is currently prohibited or otherwise restricted, subject to certain limited exceptions, as a result of securities law provisions, market standoff agreements entered into by certain of our stockholders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with us or lock-up agreements entered into by our stockholders with the underwriters in connection with this offering. However, subject to applicable securities law restrictions, these shares will be able to be sold in the public market beginning on the 181st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Upon the completion of this offering, the holders of approximately 123.8 million shares, or 86% of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“Underwriting.”</w:t>
      </w:r>
    </w:p>
    <w:p>
      <w:pPr>
        <w:spacing w:after="0" w:line="17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management team has broad discretion to use the net proceeds from this offering and its investment of these proceeds may not yield a favorable return. They may invest the net proceeds from this offering in ways with which investors disagree.</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management will have broad discretion over the use of net proceeds from this offering, and could spend the net proceeds in ways our stockholders may not agree with or that do not yield a favorable return, if at all. If we do not invest or apply the net proceeds from this offering in ways that improve our operating results, we may fail to achieve expected financial results, which could cause our stock price to decline. For additional details see the section titled “Use of Proceeds.”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shares of our common stock in our initial public offering, you will experience substantial and immediate dilution.</w:t>
      </w:r>
    </w:p>
    <w:p>
      <w:pPr>
        <w:spacing w:after="0" w:line="23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assumed initial public offering price of $17.00 per share, which is the midpoint of the price range set forth on the cover page of this prospectus, is substantially higher than the net tangible book value per share of our outstanding common stock immediately following the completion of this offering. If you purchase shares of common stock in this offering, you will experience substantial and immediate dilution in the pro forma as adjusted net tangible book value per share of $13.33 per share as of June 30, 2023. That is because the price that you pay will be substantially greater than the pro forma net tangible book value per share of the common stock that you acquire. This dilution is due in large part to the fact that our earlier investors paid substantially less than the assumed initial public offering price when they purchased their shares of our capital stock. You will experience additional dilution when those holding stock options exercise their right to purchase common stock under our equity incentive plans or when we otherwise issue additional shares of common stock. For additional details see the section titled “Dilution.”</w:t>
      </w:r>
    </w:p>
    <w:p>
      <w:pPr>
        <w:spacing w:after="0" w:line="178"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170" w:lineRule="exact"/>
        <w:rPr>
          <w:sz w:val="20"/>
          <w:szCs w:val="20"/>
          <w:color w:val="auto"/>
        </w:rPr>
      </w:pPr>
    </w:p>
    <w:p>
      <w:pPr>
        <w:ind w:left="120" w:right="20"/>
        <w:spacing w:after="0" w:line="381"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our amended and restated bylaws and Delaware law might discourage, delay or prevent a change in control of our company or changes in our management and, therefore, depress the market price of our common stock.</w:t>
      </w:r>
    </w:p>
    <w:p>
      <w:pPr>
        <w:spacing w:after="0" w:line="100"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each to be in effect immediately prior to the completion of this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92" w:lineRule="exact"/>
        <w:rPr>
          <w:sz w:val="20"/>
          <w:szCs w:val="20"/>
          <w:color w:val="auto"/>
        </w:rPr>
      </w:pPr>
    </w:p>
    <w:p>
      <w:pPr>
        <w:ind w:left="1080" w:right="36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staggered board of directors divided into three classes serving staggered three-year terms, such that not all members of the board of directors will be elected at one time;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our board of directors to issue new series of preferred stock without stockholder approval and create, subject to applicable law, a series of preferred stock with preferential rights to dividends or our assets upon liquidation, or with superior voting rights to our existing common stock;</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eliminate the ability of our stockholders to fill vacancies on our board of directors;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our annual stockholder meetings;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amended and restated bylaws;</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stockholders can remove directors only for cause and only upon the approval of not less than 66-2/3% of all outstanding shares of our voting stock;</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the approval of not less than 66-2/3% of all outstanding shares of our voting stock to amend our amended and restated bylaws and specific provisions of our certificate of incorporation;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jurisdictions in which certain stockholder litigation may be brought.</w:t>
      </w:r>
    </w:p>
    <w:p>
      <w:pPr>
        <w:spacing w:after="0" w:line="22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As a Delaware corporation, we will be subject to the anti-takeover provisions of Section 203 of the Delaware General Corporation Law,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Delaware General Corporation Law could also have the effect of delaying or preventing a change of control of our company.</w:t>
      </w:r>
    </w:p>
    <w:p>
      <w:pPr>
        <w:spacing w:after="0" w:line="1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Our amended and restated certificate of incorporation to be in effect upon the completion of this offering will provide that, unless we consent in writing to the selection of an alternative forum, the sole and exclusive forum, to the fullest extent permitted by law, for (1) any derivative action or proceeding brought on our behalf, (2) any action asserting a breach of a fiduciary duty owed by any director, officer or other employee to us or our</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59" w:right="5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stockholders, (3) any action asserting a claim against us or any director, officer, or other employee arising pursuant to the Delaware General Corporation Law, (4) any action to interpret, apply, enforce, or determine the validity of our second amended and restated certificate of incorporation or amended and restated bylaws or (5)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w:t>
      </w:r>
    </w:p>
    <w:p>
      <w:pPr>
        <w:spacing w:after="0" w:line="17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22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(NOLs) and other pre-change tax attributes (such as research and development tax credits) to offset its post-change income or taxes may be limited. We may have experienced ownership changes in the past and may experience ownership changes as a result of our acquisitions of assets and as a result of this offering and/or subsequent shifts in our stock ownership (some of which are outside our control).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Participation in this offering by our existing stockholders and/or their affiliated entities may reduce the public float for our common stock.</w:t>
      </w:r>
    </w:p>
    <w:p>
      <w:pPr>
        <w:spacing w:after="0" w:line="248" w:lineRule="exact"/>
        <w:rPr>
          <w:sz w:val="20"/>
          <w:szCs w:val="20"/>
          <w:color w:val="auto"/>
        </w:rPr>
      </w:pPr>
    </w:p>
    <w:p>
      <w:pPr>
        <w:ind w:left="120" w:right="500" w:firstLine="440"/>
        <w:spacing w:after="0" w:line="257"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84"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Unstable market and economic conditions may have serious adverse consequences on our business, financial condition and stock price.</w:t>
      </w:r>
    </w:p>
    <w:p>
      <w:pPr>
        <w:spacing w:after="0" w:line="24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widely reported, global credit and financial markets have experienced extreme volatility and disruptions over the past several months, including concerns about declines in consumer confidence, declines in economic growth, increases in the rate of inflation, increases in borrowing rates and changes in liquidity and credit availability, and uncertainty about economic stability, including most recently in connection with actions undertaken by the U.S. Federal Reserve Board to address inflation, the failure of banks, the military conflict in Ukraine, the continuing effects of the COVID-19 pandemic and supply chain disruptions. There can be no assurance that future deterioration in global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if at all possible.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trading market may not develop or be sustained.</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was determined through negotiations among the underwriters and us and may vary from the market price of our common stock following this offering. An active or liquid market in our common stock may not develop upon closing of this offering or, if it does develop, it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continuing impact of “Brexit” may have a negative effect on our business.</w:t>
      </w:r>
    </w:p>
    <w:p>
      <w:pPr>
        <w:spacing w:after="0" w:line="22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between the United Kingdom and the European Union, significant uncertainty remains about how the precise terms of the relationship between the parties will differ from the terms before withdrawal.</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spacing w:after="0" w:line="170"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4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89" w:lineRule="exact"/>
        <w:rPr>
          <w:sz w:val="20"/>
          <w:szCs w:val="20"/>
          <w:color w:val="auto"/>
        </w:rPr>
      </w:pPr>
    </w:p>
    <w:p>
      <w:pPr>
        <w:ind w:left="1080" w:right="48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completion of our initial public offering. Our status as an emerging growth company will end as soon as any of the following takes place:</w:t>
      </w:r>
    </w:p>
    <w:p>
      <w:pPr>
        <w:spacing w:after="0" w:line="76"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$1.235 billion in annual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our initial public offering.</w:t>
      </w:r>
    </w:p>
    <w:p>
      <w:pPr>
        <w:spacing w:after="0" w:line="225"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6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any new or revised accounting standards during the period in which we remain an emerging growth company; however, we may adopt certain new or revised accounting standards early. As a result, these financial statements may not be comparable to companies that comply with the new or revised accounting pronouncements as of public company effective dates.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more litigation, and divert management’s attention.</w:t>
      </w:r>
    </w:p>
    <w:p>
      <w:pPr>
        <w:spacing w:after="0" w:line="23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As a public company, we will be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16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Section 404 of the Sarbanes-Oxley Act, our management will be required to report upon the effectiveness of our internal control over financial reporting when we lose our status as an “emerging growth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company” and become an “accelerated filer” or a “large accelerated filer.” At that point, we will be required to have an independent registered public accounting firm attest to the effectiveness of our internal control over financial reporting. The rules governing the standards that must be met for management to assess our internal control over financial reporting are complex, judgmental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76"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we and/or our independent registered public accounting firm determines we have a material weakness or significant deficiency in our internal control over financial reporting, investors may lose confidence in the accuracy and completeness of our consolidated financial statements,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but are not limited to stock-based compensation and evaluation of acquisitions of assets and other similar transactions as well as clinical trial accruals.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6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audited consolidated financial statements, unaudited condensed consolidated financial statements and related notes. Such changes to existing standards or changes in their interpretation may also have an adverse effect on our reputation, business, financial position, and profit.</w:t>
      </w:r>
    </w:p>
    <w:p>
      <w:pPr>
        <w:spacing w:after="0" w:line="17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or those used by our third-party research institution collaborators, CROs, CDMOs, or other contractors or consultants, may fail or suffer cyberattacks or security breaches.</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of our customers, employees, and contractors).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Despite the implementation of security measures, our information technology systems and those of our future CROs and CDMOs, and other contractors and consultants are vulnerable to attack, damage, or interruption from hacking, cyberattacks, “phishing” attacks and other social engineering schemes, computer viruses and malware (e.g., ransomware), malicious code, denial or degradation of service attacks, sophisticated nation-state and nation-state supported actors, unauthorized access or use by persons within our organization, natural disasters, terrorism, war and telecommunication and electrical failures, employee theft or misuse, human error, and fraud.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and continued hybrid working environment, we may also face increased cybersecurity risks due to our reliance on internet technology and the number of our employees who are working remotely, which may create additional opportunities for cybercriminals to exploit vulnerabilities.</w:t>
      </w:r>
    </w:p>
    <w:p>
      <w:pPr>
        <w:spacing w:after="0" w:line="18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and certain of our service providers are from time to time subject to cyberattacks and security incidents, including social engineering and phishing attacks.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Although to our knowledge we have not experienced any such material system failure, accident, or security breach to date, if such an event were to occur and negatively affect,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Further, we cannot assure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w:t>
      </w:r>
    </w:p>
    <w:p>
      <w:pPr>
        <w:spacing w:after="0" w:line="172"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Likewise, we rely on our third-party research institution collaborators for research and development of our product candidates and other third parties for the manufacture of our product candidates and to conduct clinical trials, and similar events relating to their information technology systems could also have a material adverse effect on our business. To the extent that any disruption or security incident were to result in an actual or perceived loss of, or damage to, our data or applications, or inappropriate disclosure of confidential or proprietary information or patient information, we could incur liability and the further development and commercialization of our product candidates could be delayed. Furthermore, significant disruptions of our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Further, our insurance coverage may not be sufficient to cover the financial, legal, business or reputational losses that may result from an interruption or breach of our systems.</w:t>
      </w:r>
    </w:p>
    <w:p>
      <w:pPr>
        <w:spacing w:after="0" w:line="196"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We have and will enter into collaboration, license, contract research and/or manufacturing relationships with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 the proprietary nature of our intellectual property.</w:t>
      </w:r>
    </w:p>
    <w:p>
      <w:pPr>
        <w:spacing w:after="0" w:line="1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received confidential and proprietary information from third parties. In addition, we employ individuals who were previously employed at other biotechnology or biopharmaceutical companies. Although we try to ensure that individuals working for or collaborating with us do not use the proprietary information or know-how of others in their work for us, we may be subject to claims that we or our employees, consultants, or independent contractors have inadvertently or otherwise used or disclosed confidential information proprietary to these third parties or our employees’ former employers, or that we caused an employee to breach the terms of his or her non-competition or non-solicitation agreement. We may be subject to claims that patents and applications we have filed to protect inventions of our employees, consultants, advisors or other third parties,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This prospectus contains forward-looking statements, particularly in the sections titled “Prospectus Summary,” “Risk Factors,” “Management’s Discussion and Analysis of Financial Condition and Results of Operations” and “Business.”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include, but are not limited to, statements about:</w:t>
      </w:r>
    </w:p>
    <w:p>
      <w:pPr>
        <w:spacing w:after="0" w:line="93" w:lineRule="exact"/>
        <w:rPr>
          <w:sz w:val="20"/>
          <w:szCs w:val="20"/>
          <w:color w:val="auto"/>
        </w:rPr>
      </w:pPr>
    </w:p>
    <w:p>
      <w:pPr>
        <w:ind w:left="1080" w:right="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our product candidates and any future product candidates, if approved for commercial use;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clinical and regulatory development plans including any anticipated program milestones related thereto;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expectations with regard to the results of our clinical studies, preclinical studies and research and development programs, including the timing and availability of data from such studies;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 and the timing of their enrollment;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of commencement of future preclinical studies and clinical trials and research and development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acquire, discover, develop and advance product candidates into, and successfully complete, clinical trials;</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reduce the time or increase the likelihood of success of our research and development relative to the traditional drug discovery paradigm using our precision neuroscience approach;</w:t>
      </w:r>
    </w:p>
    <w:p>
      <w:pPr>
        <w:spacing w:after="0" w:line="75" w:lineRule="exact"/>
        <w:rPr>
          <w:rFonts w:ascii="Arial" w:cs="Arial" w:eastAsia="Arial" w:hAnsi="Arial"/>
          <w:sz w:val="18"/>
          <w:szCs w:val="18"/>
          <w:color w:val="auto"/>
        </w:rPr>
      </w:pPr>
    </w:p>
    <w:p>
      <w:pPr>
        <w:ind w:left="1080" w:right="104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improve, and the rate of improvement in, our precision neuroscience approach, or to realize benefits from such improvements;</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expectations related to our precision neuroscience approach, including but not limited to whether it will have the same impact as data-driven precision medicine has had on the oncology field;</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achieve our mission to redefine neuroscience drug development by bringing forward the next generation of novel therapies that offer improved treatment outcomes and quality of life for patients suffering from brain diseases;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scale our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of milestone payments;</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intentions and our ability to establish collaborations and/or partnerships, and whether such collaborations and/or partnerships are successful;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including any capabilities and expectations related thereto;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keep pace with new technological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impact from future regulatory, judicial, and legislative changes or developments in the United States and foreign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intentions with respect to the commercialization of our product candidates, if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 including additional indications for which we may pursue;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maintain our technical operations infrastructure to avoid errors, delays, or cybersecurity breaches;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our ability to retain and recruit personnel, and maintain our culture;</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including the projected terms of patent protection;</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expected use of proceeds from this offering and our existing cash, cash equivalents and marketable securities;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marketable securities and the net proceeds from this offering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30"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to our business from general political conditions, including but not limited to, disruptions in U.S. government operations and funding, geopolitical conflicts such as the war between Russia and Ukraine and any sanctions or other repercussions that may result therefrom;</w:t>
      </w:r>
    </w:p>
    <w:p>
      <w:pPr>
        <w:spacing w:after="0" w:line="89"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to our business from general economic conditions, including but not limited to, rising inflation, recession risk, low consumer confidence and increasing interest rates;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potential effects of the COVID-19 pandemic, or other public health crises, on our clinical and preclinical programs and business;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 in this prospectus.</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do not protect any forward-looking statements that we make in connection with this offering.</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such information and other, similar sources and on our knowledge of, and expectations about, the markets for our products. In some cases, we do not expressly refer to the sources from which this data is derived. This information involves a number of assumptions and limitations,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but not limited to those described in the section titled “Risk Factors” and elsewhere in this prospectus. These and other factors could cause results to differ materially from those expressed in the estimates made by independent third parties and by us.</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9" w:right="51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We estimate that the net proceeds from this offering will be approximately $227.5 million (or approximately $262.3 million if the underwriters exercise their option to purchase additional shares in full), assuming an initial public offering price of $17.00 per share, which is the midpoint of the price range set forth on the cover page of this prospectus, after deducting estimated underwriting discounts and commissions and estimated offering expenses payable by us.</w:t>
      </w:r>
    </w:p>
    <w:p>
      <w:pPr>
        <w:spacing w:after="0" w:line="18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Each $1.00 increase or decrease in the initial public offering price per share would increase or decrease, as applicable, our net proceeds, after deducting estimated underwriting discounts and commissions, by $13.7 million (assuming no exercise of the underwriters’ option to purchase additional shares). Each increase or decrease of 1.0 million shares in the number of shares offered by us would increase or decrease, as applicable, our net proceeds by $15.8 million, assuming an initial public offering price of $17.00 per share, which is the midpoint of the price range set forth on the cover page of this prospectus, and after deducting estimated underwriting discounts and commissions and estimated offering expenses payable by us.</w:t>
      </w:r>
    </w:p>
    <w:p>
      <w:pPr>
        <w:spacing w:after="0" w:line="161"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The principal purposes of this offering are to obtain additional capital to fund our operations, create a public market for our common stock, facilitate our future access to the public equity markets, and increase awareness of our company among potential partners.</w:t>
      </w:r>
    </w:p>
    <w:p>
      <w:pPr>
        <w:spacing w:after="0" w:line="14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currently intend to use the net proceeds from this offering, together with our existing cash, cash equivalents and marketable securities, as follows:</w:t>
      </w:r>
    </w:p>
    <w:p>
      <w:pPr>
        <w:spacing w:after="0" w:line="76"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$395.0 million to fund the clinical and preclinical development of our current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$30.0 million to fund research and development activities for additional programs;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may also use a portion of the net proceeds to in-license, acquire, or invest in, complementary technologies, assets, or intellectual property. We regularly evaluate strategic opportunities; however, we have no current commitments to enter into any such license arrangements or acquisition agreements or to make any such investments.</w:t>
      </w:r>
    </w:p>
    <w:p>
      <w:pPr>
        <w:spacing w:after="0" w:line="184"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Based on our current operating plan, we believe that our existing cash, cash equivalents and marketable securities, together with the net proceeds from this offering, will be sufficient to meet our working capital and capital expenditure needs for at least the next 30 months. Our expected use of net proceeds from this offering represents our current intentions based upon present plans and business conditions.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net proceeds from this offering, together with our existing cash, cash equivalents and marketable securities, will not be sufficient to fund any of our product candidates through regulatory approval, and we anticipate needing to raise additional capital to complete the development of and commercialize our product candidates. As of the date of this prospectus, we cannot predict with certainty all of the particular uses for the net proceeds to be received upon the completion of this offering, or the amounts that we will actually spend on the uses set forth above. The amounts and timing of any expenditures will vary depending on numerous factors, including the progress of our planned clinical studies, the amount of cash used by our operations, the amount and timing of any milestone payments we may be required to make, competitive, scientific and data science developments, the rate of growth, if any, of our business, and other factors described in the section titled “Risk Factors.” Accordingly, our management will have significant discretion and flexibility in applying the net proceeds from this offering, and investors will be relying on the judgment of our management regarding the application of these net proceeds. Due to the many inherent uncertainties in the development of our product candidates, the amounts and timing of our actual expenditures may vary significantly depending 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numerous factors, including the progress of our research and development, our ability to obtain additional financing, the cost and results of our preclinical activities, the timing of clinical studies we may commence in the future, the timing of regulatory submissions, any collaborations that we may enter into with third parties for our product candidates or strategic opportunities that become available to us, and any unforeseen cash needs.</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Pending the uses described above, we intend to invest the net proceeds from this offering in interest-bearing obligations, investment-grade instruments, certificates of deposit, or direct or guaranteed obligations of the U.S. government.</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780"/>
          </w:cols>
          <w:pgMar w:left="320" w:top="459" w:right="7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in the foreseeable future. We currently anticipate that we will retain all available funds for use in the operation and expansion of our business. Any future determination as to the declaration or payment of dividends on our common stock will be made at the discretion of our board of directors and will depend upon, among other factors, our financial condition, results from operations, current and anticipated cash needs, plans for expansion and other factors that our board of directors may deem relevant.</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9" w:right="5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cash equivalents and marketable securities and total capitalization as of June 30, 2023:</w:t>
      </w:r>
    </w:p>
    <w:p>
      <w:pPr>
        <w:spacing w:after="0" w:line="131"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a pro forma basis to reflect the following immediately prior to the completion of this offering: (i) the conversion of all of our outstanding convertible preferred stock into an aggregate of 104,417,415 shares of our common stock, (ii) the related reclassification of our convertible preferred stock aggregate carrying value to permanent equity, and (iii) the filing and effectiveness of our amended and restated certificate of incorporation, which will be effective immediately prior to the completion of this offering; and</w:t>
      </w:r>
    </w:p>
    <w:p>
      <w:pPr>
        <w:spacing w:after="0" w:line="76" w:lineRule="exact"/>
        <w:rPr>
          <w:rFonts w:ascii="Arial" w:cs="Arial" w:eastAsia="Arial" w:hAnsi="Arial"/>
          <w:sz w:val="17"/>
          <w:szCs w:val="17"/>
          <w:color w:val="auto"/>
        </w:rPr>
      </w:pPr>
    </w:p>
    <w:p>
      <w:pPr>
        <w:ind w:left="1080" w:right="40" w:hanging="532"/>
        <w:spacing w:after="0" w:line="25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 pro forma as adjusted basis to reflect: (i) the pro forma adjustments set forth above, and (ii) the issuance and sale of 14,710,000 shares of common stock by us in this offering at the assumed initial public offering price of $17.00 per share, which is the midpoint of the price range set forth on the cover page of this prospectus, after deducting estimated underwriting discounts and commissions and estimated offering expenses payable by us, of which $2.4 million had been paid as of June 30, 2023 and $1.2 million had been accrued as of June 30, 2023.</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pro forma as adjusted information discussed below is illustrative only and will be adjusted based on the actual initial public offering price and other terms of this offering determined at pricing. This table should be read in conjunction with the section titled “Management’s Discussion and Analysis of Financial Condition and Results of Operations” and our unaudited condensed consolidated financial statements and related notes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June 30, 2023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2"/>
                <w:szCs w:val="12"/>
                <w:color w:val="auto"/>
              </w:rPr>
            </w:pPr>
          </w:p>
        </w:tc>
        <w:tc>
          <w:tcPr>
            <w:tcW w:w="11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9"/>
              </w:rPr>
              <w:t>Pro Forma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Forma as</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Adjusted</w:t>
            </w:r>
            <w:r>
              <w:rPr>
                <w:rFonts w:ascii="Arial" w:cs="Arial" w:eastAsia="Arial" w:hAnsi="Arial"/>
                <w:sz w:val="10"/>
                <w:szCs w:val="10"/>
                <w:b w:val="1"/>
                <w:bCs w:val="1"/>
                <w:color w:val="auto"/>
                <w:w w:val="97"/>
              </w:rPr>
              <w:t>(1)</w:t>
            </w:r>
          </w:p>
        </w:tc>
        <w:tc>
          <w:tcPr>
            <w:tcW w:w="0" w:type="dxa"/>
            <w:vAlign w:val="bottom"/>
          </w:tcPr>
          <w:p>
            <w:pPr>
              <w:spacing w:after="0"/>
              <w:rPr>
                <w:sz w:val="1"/>
                <w:szCs w:val="1"/>
                <w:color w:val="auto"/>
              </w:rPr>
            </w:pPr>
          </w:p>
        </w:tc>
      </w:tr>
      <w:tr>
        <w:trPr>
          <w:trHeight w:val="119"/>
        </w:trPr>
        <w:tc>
          <w:tcPr>
            <w:tcW w:w="7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(unaudited)</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(in thousands, except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share amounts)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$ 334,089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334,089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563,914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Convertible preferred stock, $0.0001 par value per share; 820,348,942 shares authorized,</w:t>
            </w: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w w:val="93"/>
              </w:rPr>
              <w:t>104,417,415 shares issued and outstanding, actual; no shares authorized, issued or outstanding, pro</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180"/>
              <w:spacing w:after="0"/>
              <w:rPr>
                <w:sz w:val="20"/>
                <w:szCs w:val="20"/>
                <w:color w:val="auto"/>
              </w:rPr>
            </w:pPr>
            <w:r>
              <w:rPr>
                <w:rFonts w:ascii="Arial" w:cs="Arial" w:eastAsia="Arial" w:hAnsi="Arial"/>
                <w:sz w:val="18"/>
                <w:szCs w:val="18"/>
                <w:color w:val="auto"/>
              </w:rPr>
              <w:t>forma and pro forma as adjusted</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$ 843,687</w:t>
            </w:r>
          </w:p>
        </w:tc>
        <w:tc>
          <w:tcPr>
            <w:tcW w:w="1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360"/>
              <w:spacing w:after="0" w:line="201" w:lineRule="exact"/>
              <w:rPr>
                <w:sz w:val="20"/>
                <w:szCs w:val="20"/>
                <w:color w:val="auto"/>
              </w:rPr>
            </w:pPr>
            <w:r>
              <w:rPr>
                <w:rFonts w:ascii="Arial" w:cs="Arial" w:eastAsia="Arial" w:hAnsi="Arial"/>
                <w:sz w:val="18"/>
                <w:szCs w:val="18"/>
                <w:color w:val="auto"/>
                <w:w w:val="94"/>
              </w:rPr>
              <w:t>Preferred stock, $0.0001 par value per share; no shares authorized, issued or outstanding, actual;</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540"/>
              <w:spacing w:after="0"/>
              <w:rPr>
                <w:sz w:val="20"/>
                <w:szCs w:val="20"/>
                <w:color w:val="auto"/>
              </w:rPr>
            </w:pPr>
            <w:r>
              <w:rPr>
                <w:rFonts w:ascii="Arial" w:cs="Arial" w:eastAsia="Arial" w:hAnsi="Arial"/>
                <w:sz w:val="18"/>
                <w:szCs w:val="18"/>
                <w:color w:val="auto"/>
                <w:w w:val="98"/>
              </w:rPr>
              <w:t>50,000,000 shares authorized, no shares issued or outstanding, pro forma and pro forma as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40"/>
              <w:spacing w:after="0"/>
              <w:rPr>
                <w:sz w:val="20"/>
                <w:szCs w:val="20"/>
                <w:color w:val="auto"/>
              </w:rPr>
            </w:pPr>
            <w:r>
              <w:rPr>
                <w:rFonts w:ascii="Arial" w:cs="Arial" w:eastAsia="Arial" w:hAnsi="Arial"/>
                <w:sz w:val="18"/>
                <w:szCs w:val="18"/>
                <w:color w:val="auto"/>
              </w:rPr>
              <w:t>adjusted</w:t>
            </w:r>
          </w:p>
        </w:tc>
        <w:tc>
          <w:tcPr>
            <w:tcW w:w="2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stock, $0.0001 par value per share; 1,210,000,000 shares authorized, 32,821,681 shares</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issued and outstanding, actual; 700,000,000 shares authorized and 137,239,096 shares issued</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and outstanding, pro forma; 700,000,000 shares authorized and 151,949,096 shares issued and</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pro forma as adjusted</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28,581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872,257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1,099,721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(541,677)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(541,677)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(541,677)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(513,541)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330,146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557,611</w:t>
            </w:r>
          </w:p>
        </w:tc>
        <w:tc>
          <w:tcPr>
            <w:tcW w:w="0" w:type="dxa"/>
            <w:vAlign w:val="bottom"/>
          </w:tcPr>
          <w:p>
            <w:pPr>
              <w:spacing w:after="0"/>
              <w:rPr>
                <w:sz w:val="1"/>
                <w:szCs w:val="1"/>
                <w:color w:val="auto"/>
              </w:rPr>
            </w:pPr>
          </w:p>
        </w:tc>
      </w:tr>
      <w:tr>
        <w:trPr>
          <w:trHeight w:val="223"/>
        </w:trPr>
        <w:tc>
          <w:tcPr>
            <w:tcW w:w="774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$ 330,146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330,146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6" w:lineRule="exact"/>
        <w:rPr>
          <w:sz w:val="20"/>
          <w:szCs w:val="20"/>
          <w:color w:val="auto"/>
        </w:rPr>
      </w:pPr>
    </w:p>
    <w:p>
      <w:pPr>
        <w:ind w:left="540" w:right="460" w:hanging="424"/>
        <w:spacing w:after="0" w:line="293"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pro forma as adjusted information discussed above is illustrative only and will depend on the actual initial offering price and other terms of this offering determined at pricing. Each $1.00 increase or decrease in the assumed initial public</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40"/>
        <w:spacing w:after="0" w:line="288" w:lineRule="auto"/>
        <w:rPr>
          <w:sz w:val="20"/>
          <w:szCs w:val="20"/>
          <w:color w:val="auto"/>
        </w:rPr>
      </w:pPr>
      <w:r>
        <w:rPr>
          <w:rFonts w:ascii="Arial" w:cs="Arial" w:eastAsia="Arial" w:hAnsi="Arial"/>
          <w:sz w:val="15"/>
          <w:szCs w:val="15"/>
          <w:color w:val="auto"/>
        </w:rPr>
        <w:t>offering price of $17.00 per share, which is the midpoint of the price range set forth on the cover page of this prospectus, would increase or decrease, as applicable, each of pro forma as adjusted cash, cash equivalents and marketable securities, additional paid-in capital, total stockholders’ equity and total capitalization by approximately $13.7 million, assuming that the number of shares of common stock offered by us, as set forth on the cover page of this prospectus, remains the same, and after deducting estimated underwriting discounts and commissions and estimated offering expenses payable by us. Similarly, each increase or decrease of 1.0 million shares of common stock offered by us would increase or decrease, as applicable, each of pro forma as adjusted cash, cash equivalents and marketable securities, additional paid-in capital, total stockholders’ equity and total capitalization by approximately $15.8 million, assuming that the assumed initial public offering price of $17.00 per share, which is the midpoint of the price range set forth on the cover page of this prospectus, remains the same, and after deducting estimated underwriting discounts and commissions and estimated offering expenses payable by us.</w:t>
      </w:r>
    </w:p>
    <w:p>
      <w:pPr>
        <w:spacing w:after="0" w:line="176"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If the underwriters exercise their option to purchase additional shares of our common stock in full, pro forma as adjusted cash, cash equivalents and marketable securities, additional paid-in capital, total stockholders’ equity, total capitalization and shares of common stock outstanding as of June 30, 2023 would be $598.8 million, $1,134.6 million, $592.5 million, $592.5 million, and 154,155,596 shares, respectively.</w:t>
      </w:r>
    </w:p>
    <w:p>
      <w:pPr>
        <w:spacing w:after="0" w:line="14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on a pro forma and pro forma as adjusted basis is based on 137,239,096 shares of common stock outstanding as of June 30, 2023 (after giving effect to the conversion of all of our shares of convertible preferred stock outstanding as of June 30, 2023 into an aggregate of 104,417,415 shares of our common stock immediately prior to the completion of this offering) and excludes:</w:t>
      </w:r>
    </w:p>
    <w:p>
      <w:pPr>
        <w:spacing w:after="0" w:line="92" w:lineRule="exact"/>
        <w:rPr>
          <w:sz w:val="20"/>
          <w:szCs w:val="20"/>
          <w:color w:val="auto"/>
        </w:rPr>
      </w:pPr>
    </w:p>
    <w:p>
      <w:pPr>
        <w:ind w:left="1080" w:right="1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11,251,230 shares of our common stock issuable upon the exercise of stock options outstanding as of June 30, 2023 under our 2020 Plan, with a weighted-average exercise price of $4.69 per share;</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192,681 shares of our common stock issuable upon the exercise of stock options outstanding as of June 30, 2023 under the 2015 Plan, with a weighted-average exercise price of $9.83 per share;</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841,157 shares of our common stock issuable upon the exercise of stock options outstanding as of June 30, 2023, subject to market and performance vesting conditions, with a weighted-average exercise price of $2.58 per share;</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2,414,750 shares of our common stock issuable upon the exercise of stock options granted subsequent to June 30, 2023, with a weighted-average exercise price of $6.86 per share;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3,149,287 shares of our common stock reserved for future issuance under our 2020 Plan as of June 30, 2023;</w:t>
      </w:r>
    </w:p>
    <w:p>
      <w:pPr>
        <w:spacing w:after="0" w:line="130"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our common stock we expect to issue to BlackThorn stockholders equal to and in satisfaction of the $90.0 million milestone payment in connection with the dosing of the first patient in the Phase 3 clinical trial for navacaprant, which we expect to occur as part of the KOASTAL-1 study, the issuance of which we expect to occur in the second half of 2023, with such amount of our common stock to be issued to be based on the 30 day trailing average of the open and close price of our common stock on the Nasdaq from the date the milestone was satisfied, which will occur after the completion of this offering;</w:t>
      </w:r>
    </w:p>
    <w:p>
      <w:pPr>
        <w:spacing w:after="0" w:line="93" w:lineRule="exact"/>
        <w:rPr>
          <w:rFonts w:ascii="Arial" w:cs="Arial" w:eastAsia="Arial" w:hAnsi="Arial"/>
          <w:sz w:val="18"/>
          <w:szCs w:val="18"/>
          <w:color w:val="auto"/>
        </w:rPr>
      </w:pPr>
    </w:p>
    <w:p>
      <w:pPr>
        <w:ind w:left="1080" w:right="100" w:hanging="532"/>
        <w:spacing w:after="0" w:line="296"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number of shares of our common stock equal to 10% of our outstanding common stock after this offering (without giving effect to the underwriters option to purchase additional shares in this offering) plus any shares of our common stock reserved for future issuance under our 2020 Plan that have not been issued pursuant to any outstanding equity grants reserved for future issuance under our 2023 Plan, which will become effective on the date immediately prior to the date our registration statement relating to this offering becomes effective, as well as any future increases in the number of shares of common stock reserved for issuance under the 2023 Plan; and</w:t>
      </w:r>
    </w:p>
    <w:p>
      <w:pPr>
        <w:spacing w:after="0" w:line="66" w:lineRule="exact"/>
        <w:rPr>
          <w:rFonts w:ascii="Arial" w:cs="Arial" w:eastAsia="Arial" w:hAnsi="Arial"/>
          <w:sz w:val="16"/>
          <w:szCs w:val="16"/>
          <w:color w:val="auto"/>
        </w:rPr>
      </w:pPr>
    </w:p>
    <w:p>
      <w:pPr>
        <w:ind w:left="1080" w:right="380" w:hanging="532"/>
        <w:spacing w:after="0" w:line="279"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number of shares of our common stock equal to 1% of our outstanding common stock after this offering (without giving effect to the underwriters option to purchase additional shares in this offering) reserved for future issuance under our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If you purchase shares of our common stock in this offering, your ownership interest will be diluted to the extent of the difference between the initial public offering price per share of our common stock in this offering and the pro forma as adjusted net tangible book value per share of our common stock immediately after this offering.</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June 30, 2023, we had a historical net tangible book value (deficit) of $(517.1) million, or $(15.75) per share of common stock. Our historical net tangible book value (deficit) represents our total tangible assets excluding deferred offering costs, less our total liabilities and convertible preferred stock, which is not included within stockholders’ equity (deficit), divided by the total number of shares of our common stock outstanding as of June 30, 2023.</w:t>
      </w:r>
    </w:p>
    <w:p>
      <w:pPr>
        <w:spacing w:after="0" w:line="18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Our pro forma net tangible book value as of June 30, 2023, was $326.6 million, or $2.38 per share. Pro forma net tangible book value represents our total tangible assets excluding deferred offering costs, less our total liabilities, after giving effect to the automatic conversion of all outstanding shares of our convertible preferred stock as of June 30, 2023 into an aggregate of 104,417,415 shares of our common stock as if such conversion had occurred on June 30, 2023. Pro forma net tangible book value per share represents pro forma net tangible book value divided by the total number of shares of common stock outstanding as of June 30, 2023, after giving effect to the conversion of our convertible preferred stock.</w:t>
      </w:r>
    </w:p>
    <w:p>
      <w:pPr>
        <w:spacing w:after="0" w:line="16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6"/>
          <w:szCs w:val="16"/>
          <w:color w:val="auto"/>
        </w:rPr>
        <w:t>After giving further effect to the issuance and sale by us of the 14,710,000 shares of our common stock in this offering at the assumed initial public offering price of $17.00 per share, which is the midpoint of the price range set forth on the cover page of this prospectus, and after deducting estimated underwriting discounts and commissions and estimated offering expenses payable by us, of which $2.4 million had been paid as of June 30, 2023 and $1.2 million had been accrued as of June 30, 2023, our pro forma as adjusted net tangible book value as of June 30, 2023 would be</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$557.6 million, or $3.67 per share. This represents an immediate increase in pro forma net tangible book value to our existing stockholders of $1.29 per share and an immediate dilution to new investors of $13.33 per share. Dilution per share to new investors represents the difference between the price per share to be paid by new investors for the shares of common stock sold in this offering and the pro forma as adjusted net tangible book value per share immediately after this offering.</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8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0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June 30, 2023</w:t>
            </w:r>
          </w:p>
        </w:tc>
        <w:tc>
          <w:tcPr>
            <w:tcW w:w="1080" w:type="dxa"/>
            <w:vAlign w:val="bottom"/>
            <w:gridSpan w:val="2"/>
          </w:tcPr>
          <w:p>
            <w:pPr>
              <w:jc w:val="right"/>
              <w:ind w:right="370"/>
              <w:spacing w:after="0"/>
              <w:rPr>
                <w:sz w:val="20"/>
                <w:szCs w:val="20"/>
                <w:color w:val="auto"/>
              </w:rPr>
            </w:pPr>
            <w:r>
              <w:rPr>
                <w:rFonts w:ascii="Arial" w:cs="Arial" w:eastAsia="Arial" w:hAnsi="Arial"/>
                <w:sz w:val="18"/>
                <w:szCs w:val="18"/>
                <w:color w:val="auto"/>
                <w:w w:val="89"/>
              </w:rPr>
              <w:t>$(15.75)</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8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Pro forma increase in historical net tangible book value (deficit) per share as of June 30, 2023 attributable</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 the pro forma transactions described above</w:t>
            </w:r>
          </w:p>
        </w:tc>
        <w:tc>
          <w:tcPr>
            <w:tcW w:w="10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18.13</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50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June 30, 2023</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8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Increase in pro forma net tangible book value per share attributable to new investors participating in this</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10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1.29</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60" w:type="dxa"/>
            <w:vAlign w:val="bottom"/>
            <w:tcBorders>
              <w:top w:val="single" w:sz="8" w:color="auto"/>
            </w:tcBorders>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 in pro forma as adjusted net tangible book value per share to new investors participating in this</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1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dilution information discussed above is illustrative only and will change based on the actual initial public offering price and other terms of this offering determined at pricing. Each $1.00 increase or decrease in the assumed initial public offering price of $17.00 per share, which is the midpoint of the price range set forth on the cover page of this prospectus, would increase or decrease, as applicable, pro forma as adjusted net tangible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book value per share to new investors by $0.09, and would increase or decrease, as applicable, dilution per share to new investors in this offering by $0.91,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offered by us would increase or decrease, as applicable, our pro forma as adjusted net tangible book value by approximately $0.08 per share and increase or decrease, as applicable, the dilution to new investors by $0.08 per share, assuming the assumed initial public offering price remains the same, and after deducting estimated underwriting discounts and commissions and estimated offering expenses payable by us.</w:t>
      </w:r>
    </w:p>
    <w:p>
      <w:pPr>
        <w:spacing w:after="0" w:line="195"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If the underwriters’ option to purchase additional shares is exercised in full, the pro forma as adjusted net tangible book value per share of our common stock would be $3.84 per share, and the dilution in pro forma net tangible book value per share to new investors in this offering would be $13.16 per share, in each case assuming an initial public offering price of $17.00 per share, which is the midpoint of the price range set forth on the cover page of this prospectus.</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following table summarizes, as of June 30, 2023, on a pro forma as adjusted basis, the number of shares of common stock purchased from us, the total consideration paid, or to be paid, and the average price per share paid, or to be paid, by existing stockholders and by the new investors, at the assumed initial public offering price of $17.00 per share, the midpoint of the price range set forth on the cover page of this prospectus, before deducting estimated underwriting discounts and commissions and offering expenses payable by us: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7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Shares Purchased</w:t>
            </w:r>
          </w:p>
        </w:tc>
        <w:tc>
          <w:tcPr>
            <w:tcW w:w="500" w:type="dxa"/>
            <w:vAlign w:val="bottom"/>
            <w:vMerge w:val="restart"/>
          </w:tcPr>
          <w:p>
            <w:pPr>
              <w:spacing w:after="0"/>
              <w:rPr>
                <w:sz w:val="14"/>
                <w:szCs w:val="14"/>
                <w:color w:val="auto"/>
              </w:rPr>
            </w:pPr>
          </w:p>
        </w:tc>
        <w:tc>
          <w:tcPr>
            <w:tcW w:w="1540" w:type="dxa"/>
            <w:vAlign w:val="bottom"/>
            <w:gridSpan w:val="3"/>
            <w:vMerge w:val="restart"/>
          </w:tcPr>
          <w:p>
            <w:pPr>
              <w:jc w:val="right"/>
              <w:ind w:right="75"/>
              <w:spacing w:after="0"/>
              <w:rPr>
                <w:sz w:val="20"/>
                <w:szCs w:val="20"/>
                <w:color w:val="auto"/>
              </w:rPr>
            </w:pPr>
            <w:r>
              <w:rPr>
                <w:rFonts w:ascii="Arial" w:cs="Arial" w:eastAsia="Arial" w:hAnsi="Arial"/>
                <w:sz w:val="14"/>
                <w:szCs w:val="14"/>
                <w:b w:val="1"/>
                <w:bCs w:val="1"/>
                <w:color w:val="auto"/>
              </w:rPr>
              <w:t>Total Consideration</w:t>
            </w:r>
          </w:p>
        </w:tc>
        <w:tc>
          <w:tcPr>
            <w:tcW w:w="4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82"/>
        </w:trPr>
        <w:tc>
          <w:tcPr>
            <w:tcW w:w="5780" w:type="dxa"/>
            <w:vAlign w:val="bottom"/>
          </w:tcPr>
          <w:p>
            <w:pPr>
              <w:spacing w:after="0"/>
              <w:rPr>
                <w:sz w:val="6"/>
                <w:szCs w:val="6"/>
                <w:color w:val="auto"/>
              </w:rPr>
            </w:pPr>
          </w:p>
        </w:tc>
        <w:tc>
          <w:tcPr>
            <w:tcW w:w="178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540" w:type="dxa"/>
            <w:vAlign w:val="bottom"/>
            <w:tcBorders>
              <w:bottom w:val="single" w:sz="8" w:color="auto"/>
            </w:tcBorders>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9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6"/>
              </w:rPr>
              <w:t>Average Price</w:t>
            </w:r>
          </w:p>
        </w:tc>
        <w:tc>
          <w:tcPr>
            <w:tcW w:w="0" w:type="dxa"/>
            <w:vAlign w:val="bottom"/>
          </w:tcPr>
          <w:p>
            <w:pPr>
              <w:spacing w:after="0"/>
              <w:rPr>
                <w:sz w:val="1"/>
                <w:szCs w:val="1"/>
                <w:color w:val="auto"/>
              </w:rPr>
            </w:pPr>
          </w:p>
        </w:tc>
      </w:tr>
      <w:tr>
        <w:trPr>
          <w:trHeight w:val="52"/>
        </w:trPr>
        <w:tc>
          <w:tcPr>
            <w:tcW w:w="5780" w:type="dxa"/>
            <w:vAlign w:val="bottom"/>
          </w:tcPr>
          <w:p>
            <w:pPr>
              <w:spacing w:after="0"/>
              <w:rPr>
                <w:sz w:val="4"/>
                <w:szCs w:val="4"/>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5"/>
              </w:rPr>
              <w:t>Percent</w:t>
            </w: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9"/>
              </w:rPr>
              <w:t>Percent</w:t>
            </w: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4300" w:type="dxa"/>
            <w:vAlign w:val="bottom"/>
            <w:tcBorders>
              <w:top w:val="single" w:sz="8" w:color="auto"/>
            </w:tcBorders>
            <w:gridSpan w:val="8"/>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per share and percent data)</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137,239,096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$616,625</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New investors</w:t>
            </w:r>
          </w:p>
        </w:tc>
        <w:tc>
          <w:tcPr>
            <w:tcW w:w="960" w:type="dxa"/>
            <w:vAlign w:val="bottom"/>
          </w:tcPr>
          <w:p>
            <w:pPr>
              <w:jc w:val="right"/>
              <w:spacing w:after="0"/>
              <w:rPr>
                <w:sz w:val="20"/>
                <w:szCs w:val="20"/>
                <w:color w:val="auto"/>
              </w:rPr>
            </w:pPr>
            <w:r>
              <w:rPr>
                <w:rFonts w:ascii="Arial" w:cs="Arial" w:eastAsia="Arial" w:hAnsi="Arial"/>
                <w:sz w:val="18"/>
                <w:szCs w:val="18"/>
                <w:color w:val="auto"/>
              </w:rPr>
              <w:t>14,710,000</w:t>
            </w:r>
          </w:p>
        </w:tc>
        <w:tc>
          <w:tcPr>
            <w:tcW w:w="3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9.7</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250,070</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28.9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151,949,096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100.0%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866,695</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Each $1.00 increase or decrease in the assumed initial public offering price of $17.00 per share, which is the midpoint of the price range set forth on the cover page of this prospectus, would increase or decrease, as applicable, the total consideration paid by new investors and total consideration paid by all stockholders by approximately $13.7 million, assuming that the number of shares offered by us, as set forth on the cover page of this prospectus, remains the same, and after deducting estimated underwriting discounts and commissions and estimated offering expenses payable by us.</w:t>
      </w:r>
    </w:p>
    <w:p>
      <w:pPr>
        <w:spacing w:after="0" w:line="15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above table assumes no exercise of the underwriters’ option to purchase additional shares. If the underwriters’ option to purchase additional shares were exercised in full, our existing stockholders would own 89.0% and our new investors would own 11.0% of the total number of shares of our common stock outstanding upon completion of this offering.</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foregoing tables and calculations (other than historical net tangible book value) are based on 137,239,096 shares of common stock outstanding as of June 30, 2023 (after giving effect to the conversion of all of our shares of convertible preferred stock outstanding as of June 30, 2023 into an aggregate of 104,417,415 shares of our common stock immediately prior to the completion of this offering) and excludes:</w:t>
      </w:r>
    </w:p>
    <w:p>
      <w:pPr>
        <w:spacing w:after="0" w:line="71" w:lineRule="exact"/>
        <w:rPr>
          <w:sz w:val="20"/>
          <w:szCs w:val="20"/>
          <w:color w:val="auto"/>
        </w:rPr>
      </w:pPr>
    </w:p>
    <w:p>
      <w:pPr>
        <w:ind w:left="1080" w:right="14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11,251,230 shares of our common stock issuable upon the exercise of stock options outstanding as of June 30, 2023 under our 2020 Plan, with a weighted-average exercise price of $4.69 per share;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192,681 shares of our common stock issuable upon the exercise of stock options outstanding as of June 30, 2023 under the 2015 Plan, with a weighted-average exercise price of $9.83 per share;</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841,157 shares of our common stock issuable upon the exercise of stock options outstanding as of June 30, 2023, subject to market and performance vesting conditions, with a weighted-average exercise price of $2.58 per share;</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2,414,750 shares of our common stock issuable upon the exercise of stock options granted subsequent to June 30, 2023, with a weighted-average exercise price of $6.86 per share;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3,149,287 shares of our common stock reserved for future issuance under our 2020 Plan as of June 30, 2023;</w:t>
      </w:r>
    </w:p>
    <w:p>
      <w:pPr>
        <w:spacing w:after="0" w:line="130"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of our common stock we expect to issue to BlackThorn stockholders equal to and in satisfaction of the $90.0 million milestone payment in connection with the dosing of the first patient in the Phase 3 clinical trial for navacaprant, which we expect to occur as part of the KOASTAL-1 study, the issuance of which we expect to occur in the second half of 2023, with such amount of our common stock to be issued to be based on the 30 day trailing average of the open and close price of our common stock on the Nasdaq from the date the milestone was satisfied, which will occur after the completion of this offering;</w:t>
      </w:r>
    </w:p>
    <w:p>
      <w:pPr>
        <w:spacing w:after="0" w:line="93" w:lineRule="exact"/>
        <w:rPr>
          <w:rFonts w:ascii="Arial" w:cs="Arial" w:eastAsia="Arial" w:hAnsi="Arial"/>
          <w:sz w:val="18"/>
          <w:szCs w:val="18"/>
          <w:color w:val="auto"/>
        </w:rPr>
      </w:pPr>
    </w:p>
    <w:p>
      <w:pPr>
        <w:ind w:left="1080" w:right="60" w:hanging="532"/>
        <w:spacing w:after="0" w:line="29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number of shares of our common stock equal to 10% of our outstanding common stock after this offering (without giving effect to the underwriters option to purchase additional shares in this offering) plus any shares of our common stock reserved for future issuance under our 2020 Plan that have not been issued pursuant to any outstanding equity grants reserved for future issuance under our 2023 Plan, which will become effective on the date immediately prior to the date our registration statement relating to this offering becomes effective, as well as any future increases in the number of shares of common stock reserved for issuance under the 2023 Plan; and</w:t>
      </w:r>
    </w:p>
    <w:p>
      <w:pPr>
        <w:spacing w:after="0" w:line="66" w:lineRule="exact"/>
        <w:rPr>
          <w:rFonts w:ascii="Arial" w:cs="Arial" w:eastAsia="Arial" w:hAnsi="Arial"/>
          <w:sz w:val="16"/>
          <w:szCs w:val="16"/>
          <w:color w:val="auto"/>
        </w:rPr>
      </w:pPr>
    </w:p>
    <w:p>
      <w:pPr>
        <w:ind w:left="1080" w:right="340" w:hanging="532"/>
        <w:spacing w:after="0" w:line="279"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number of shares of our common stock equal to 1% of our outstanding common stock after this offering (without giving effect to the underwriters option to purchase additional shares in this offering) reserved for future issuance under our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section titled “Summary Consolidated Financial Data,” and our audited consolidated financial statements, unaudited condensed consolidated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discussed in the forward-looking statements as a result of several factors including those set forth in the section titled “Risk Factors.” See also the section titled “Special Note Regarding Forward-Looking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We are a clinical-stage biopharmaceutical company founded to confront the global brain disease crisis by taking a fundamentally different approach to the way treatments for brain diseases are developed. We have rapidly scaled our therapeutic pipeline, which currently consists of seven clinical and preclinical neuroscience programs that target novel mechanisms of action for a broad range of underserved neuropsychiatric disorders and neurodegenerative diseases. We expect to continue to progress the development of our pipeline with the planned initiation of multiple clinical trials across our programs over the next 12 to 18 months, which supports numerous anticipated data readouts. Our most advanced product candidate, navacaprant (NMRA-140), is a novel once-daily oral kappa opioid receptor (KOR) antagonist that is being developed for the treatment of major depressive disorder (MDD), which we believe has the potential to provide significant advantages relative to the standard of care, if approved. We are initiating a pivotal Phase 3 program for navacaprant monotherapy in patients with moderate to severe MDD and anticipate releasing topline results for the KOASTAL-1 study in the second half of 2024.</w:t>
      </w:r>
    </w:p>
    <w:p>
      <w:pPr>
        <w:spacing w:after="0" w:line="18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rapidly scaled our therapeutic pipeline through both business development activities and internal discovery capabilities. Our therapeutic pipeline is comprised of programs for neuropsychiatric disorders and neurodegenerative diseases, each targeting a novel mechanism of action that, where beneficial, can leverage our precision neuroscience approach.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9" w:right="49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shown in the table below, our current pipeline comprises seven programs, three of which are expected to be in clinical development by year-end 2023 and four of which are in preclinical development. We expect to continue to progress the development of our pipeline with the planned initiation of multiple clinical trials across our programs over the next 12 to 18 months, which supports numerous anticipated data readouts, including receipt of topline data from our KOASTAL-1 study for navacaprant expected in the second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1920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Figure 2: Neumora Pipeline</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were incorporated in November 2019 and commenced operations thereafter. To date, we have focused primarily on building our organization, acquiring technologies and companies, developing our precision neuroscience approach, identifying and developing potential product candidates, executing clinical and preclinical studies, organizing and staffing our company, business planning, establishing our intellectual property portfolio, raising capital and providing general and administrative support for these operations. We do not have any products approved for sale, we have not generated any revenue from the sale of products, and we do not expect to generate revenue from the sale of our product candidates until we complete clinical development, submit regulatory filings, and receive approvals from the applicable regulatory bodies for such product candidates, if ever.</w:t>
      </w:r>
    </w:p>
    <w:p>
      <w:pPr>
        <w:spacing w:after="0" w:line="16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Since our inception, we have incurred significant net losses, which are primarily attributable to acquired intangible in-process research and development intangible asset (IPR&amp;D) costs pursuant to our acquisitions of BlackThorn Therapeutics, Inc. (BlackThorn), Syllable Life Sciences, Inc. (Syllable), Propellex Bio, Inc. (Propellex) and Alairion, Inc. (Alairion), each of which occurred in 2020 and has been accounted for as an acquisition of assets. We expect to continue to incur significant losses for the foreseeable future as we continue to advance the development of our precision neuroscience product candidates and approach, and as we transition to operating as a public company. Our net losses were $237.3 million and $130.9 million for the years ended December 31, 2021 and 2022, respectively, and $74.2 million for the six months ended June 30, 2023. As of December 31, 2022 and June 30, 2023, we had accumulated deficit of $467.5 million and $541.7 million, respectively. Our primary use of our capital resources is to fund our operating expenses, which consist primarily of expenditures related to identifying, acquiring, developing, and in-licensing our precision neuroscience approach and product candidates, and conducting preclinical studies and clinical trials, and to a lesser extent, general and administrative expenditures.</w:t>
      </w:r>
    </w:p>
    <w:p>
      <w:pPr>
        <w:spacing w:after="0" w:line="18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expect to continue to incur net operating losses for the foreseeable future. In particular, we expect our expenses and losses to increase substantially as we continue our research and development efforts, advance our product candidates through clinical and preclinical development, enhance our precision neuroscience approach and programs, expand our product pipeline, seek regulatory approval, prepare for commercialization, as well as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40"/>
          </w:cols>
          <w:pgMar w:left="320" w:top="459" w:right="5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hire additional personnel, protect our intellectual property, and incur additional costs associated with being a public company. We also expect to increase the size of our administrative function to support the growth of our business. Our net losses may fluctuate significantly from period to period, depending on the timing of our clinical trials and our expenditures on research and development activities.</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have primarily funded our operations to date from the sale and issuance of our convertible preferred stock and convertible promissory notes. From our inception through June 30, 2023, we have raised aggregate gross cash proceeds of over $600 million, including from the sale of convertible preferred stock and cash acquired in our acquisitions of assets. As of June 30, 2023, we had $334.1 million in cash, cash equivalents and marketable securities. Based upon our current operating plan, we believe that the net proceeds from this offering, together with our existing cash, cash equivalents and marketable securities, will enable us to fund our operating expenses and capital expenditure requirements through at least the next 30 months from the date of this offering.</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will need substantial additional funding in addition to the net proceeds of this offering to support our continuing operations and pursue our long-term business plan, including to complete the development and commercialization of our product candidates, if approved.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If we are unable to raise additional capital on acceptable terms when needed, our business, results of operations, and financial condition would be adversely affected. The amount and timing of our future funding requirements will depend on many factors including the successful advancement of our precision neuroscience approach, programs, and product candidates. Our ability to raise additional funds may also be adversely impacted by potential worsening global economic conditions and disruptions to, and volatility in, the credit and financial markets in the United States and worldwide, such as those resulting from the ongoing COVID-19 pandemic.</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Acquisitions of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BlackThorn Therapeutics, Inc.</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September 2020, we acquired all of the outstanding equity of BlackThorn Therapeutics, Inc. (BlackThorn), a privately held company that was utilizing novel technology-based approaches integrated with data and translational science to link behavioral deficits with brain physiology to discover and develop targeted treatments for neurobehavioral disorders. In connection with our acquisition of BlackThorn, we primarily acquired a group of similar IPR&amp;D assets, comprising two clinical-stage research and development programs involving a Kappa Opioid Receptor Antagonist (navacaprant or NMRA-140) and a Vasopressin Receptor Antagonist (V1a or NMRA-511), as well as a cloud-based computational psychiatry and data platform being developed to support drug target identification, patient stratification and objective clinical trial endpoints (collectively, the BlackThorn IPR&amp;D).</w:t>
      </w:r>
    </w:p>
    <w:p>
      <w:pPr>
        <w:spacing w:after="0" w:line="164"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color w:val="auto"/>
        </w:rPr>
        <w:t>The transaction was accounted for as an acquisition of assets. The total upfront consideration transferred to stockholders of BlackThorn consisted of (i) an aggregate of 5,757,901 shares of our Series A-1 convertible preferred stock, with an acquisition date fair value of $36.6 million, (ii) warrants to purchase 292,193 shares of our Series A-1 convertible preferred stock, with an acquisition date fair value of $0.7 million, plus (iii) cash of $0.1 million. We also agreed to settle $11.0 million in principal and accrued interest due from BlackThorn related to promissory notes that were issued between April and August 2020. As part of the acquisition, we incurred transaction costs of $1.6 million.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consideration transferred was allocated between the acquired BlackThorn IPR&amp;D in the amount of $48.3 million, which was included in acquired in-process research and development expenses in our consolidated statement of operations and comprehensive loss for the year ended December 31, 2020, and other net assets of $1.7 million.</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former BlackThorn stockholders are entitled to contingent consideration in the form of development, regulatory approval and sales-based milestones of up to an aggregate amount of (i) with respect to navacaprant, in the form of development and regulatory approval milestones of up to an aggregate amount of $365.0 million, which includes a milestone payment of $90.0 million that will become due upon dosing the first patient in the Phase 3 clinical trial for navacaprant, which we expect to pay by issuing an amount of our common stock equal to $90.0 million in the second half of 2023,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(BlackThorn Milestones). With the exception of one development milestone in the amount of $10.0 million that is required to be settled in cash, the remaining BlackThorn Milestone payments may be settled in cash or shares of our equity, or a combination of both, at our sole discretion. None of the BlackThorn Milestones had been achieved as of June 30, 2023, and no amounts were recognized relating to the BlackThorn contingent consideration during the years ended December 31, 2021, 2022 or the six months ended June 30, 2023.</w:t>
      </w:r>
    </w:p>
    <w:p>
      <w:pPr>
        <w:spacing w:after="0" w:line="18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also established a carveout plan, pursuant to which each former holder of BlackThorn stock options as of immediately prior to the BlackThorn acquisition closing date was allocated a certain number of units (the BlackThorn Carveout Units) each of which represents a right to receive a portion of the BlackThorn Milestones upon the later of (i) the achievement of a BlackThorn Milestone and (ii) the vesting of the unit. As of June 30, 2023, none of the BlackThorn Milestones had been achieved, no related amounts were recognized as contingent consideration, and we recognized $1.8 million of compensation related to the BlackThorn Carveout Units that had vested based on service.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Syllable Life Sciences, Inc.</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September 2020, we acquired all of the outstanding equity of Syllable, a privately held company focused on the development of advanced machine learning and computer vision technologies to automatically decipher body language in humans and laboratory animals. We primarily acquired proprietary rights and IPR&amp;D of a behavior analysis machine learning and computer vision software tool, which was being developed to identify and quantify behavior as an indicator of neurological conditions (the Syllable IPR&amp;D).</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Syllable transaction was accounted for as an acquisition of assets. The total upfront consideration transferred to the former stockholders of Syllable consisted of 623,837 shares of our Series A-2 convertible preferred stock, with an estimated acquisition date fair value of $4.9 million. As part of the acquisition, we also incurred transaction costs of $0.4 million.</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consideration transferred was allocated between the acquired Syllable IPR&amp;D in the amount of $5.9 million, which was included in acquired in-process research and development expenses in our consolidated statement of operations and comprehensive loss for the year ended December 31, 2020, and net liabilities we assumed of $0.7 million.</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former Syllable stockholders are entitled to contingent consideration in the form of future milestone payments of up to $5.0 million upon the achievement of specified development milestones (the Syllable Milestones). At our sole discretion, the payment of such contingent consideration may be settled in cash or in shares of our equity, or a combination of both. None of the Syllable Milestones had been achieved as of June 30, 2023, and no related amounts were recognized relating to the Syllable contingent consideration during the years ended December 31, 2021, 2022 or the six months ended June 30, 2023.</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Alairion, Inc.</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November 2020, we acquired all of the outstanding equity of Alairion, a privately held company focused on the treatment of sleep disorders. We primarily acquired a group of similar IPR&amp;D assets comprised of two preclinical research and development programs involving a H1 receptor antagonist (H1) and a GABA receptor positive allosteric modulator (GABA), as well as a drug discovery and optimization technology platform (collectively, the Alairion IPR&amp;D).</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Alairion transaction was accounted for as an acquisition of assets. The total upfront consideration transferred to the former stockholders of Alairion consisted of the settlement of a senior secured promissory note of $1.8 million due from Alairion related to a promissory note that was issued in September 2020. As part of the acquisition, we incurred transaction costs of $0.3 million.</w:t>
      </w:r>
    </w:p>
    <w:p>
      <w:pPr>
        <w:spacing w:after="0" w:line="18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consideration transferred was allocated to the acquired Alairion IPR&amp;D in the amount of $4.3 million, which was included in acquired in-process research and development expenses in our consolidated statement of operations and comprehensive loss for the year ended December 31, 2020, and net liabilities we assumed of $2.1 million.</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former Alairion stockholders are entitled to contingent consideration in the form of future milestone payments of up to $33.5 million upon the achievement of specified development events related to the Alairion IPR&amp;D and $135.0 million upon the achievement of specified commercialization events related to the Alairion IPR&amp;D (Alairion Milestones). At our sole discretion, the payment of such contingent consideration may be settled in cash or shares of our equity, or a combination of both. None of the Alairion Milestones had been achieved as of June 30, 2023, and no related amounts were recognized relating to the Alairion contingent consideration during the years ended December 31, 2021, 2022 or the six months ended June 30, 2023. We have ceased the development of our NMRA-094 product candidate for the treatment of OSA, that we acquired from Alairion based on pre-IND feedback we received from the FDA.</w:t>
      </w:r>
    </w:p>
    <w:p>
      <w:pPr>
        <w:spacing w:after="0" w:line="19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additional details regarding our acquisitions of assets, see Note 7 to our audited consolidated financial statements and Note 6 to our unaudited condensed consolidated financial statements included elsewhere in this prospectus.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License and Research and Collaboration Agreements</w:t>
      </w:r>
    </w:p>
    <w:p>
      <w:pPr>
        <w:spacing w:after="0" w:line="11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We have assumed license arrangements with certain third parties as a result of our acquisitions, and have entered into several additional agreements with Amgen. Our significant agreements are summarized below. For additional details, see Note 10 to our audited consolidated financial statements and Note 8 to our unaudited condensed consolidated financial statements included elsewhere in this prospectus.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2015 TSRI License Agreement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the acquisition of BlackThorn in September 2020, we gained rights under a license agreement between BlackThorn and The Scripps Research Institute (TSRI) originally entered into in November 2015, as amended in November 2017 and April 2019 (the 2015 TSRI License Agreement). Pursuant to the 2015 TSRI License Agreement, TSRI granted BlackThorn a worldwide, exclusive license under certain patent rights and a worldwide, non-exclusive license under certain know-how relating to TSRI’s Kappa Opioid Receptor (KOR or navacaprant) program, vasopressin 1a receptor (V1aR or NMRA-511) Antagonist program and oxytocin receptors (OTR) positive allosteric modulator program (collectively, the TSRI Programs). In each case, the license agreement grants rights to use, manufacture and commercialize products (i) that are covered by the relevant licensed patents, (ii) that involve the use or incorporation of the licensed know-how or (iii) that are KOR, V1aR or OTR modulators discovered by BlackThorn within two years of the effective date of the 2015 TSRI License Agreement, for diagnostic, prophylactic and/or therapeutic treatment of humans and animals. The license is sublicensable under certain conditions. The technology licensed under the 2015 TSRI License Agreement is used in our navacaprant and NMRA-511 research and development programs.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exchange for the exclusive rights above, we are obligated, among other things, to pay TSRI (i) a nominal annual license fee due and payable on the first day of each calendar year and after the fourth anniversary creditable against any royalties due for such calendar year, (ii) development and regulatory milestone payments of up to $1.5 million in aggregate for the first product from each TSRI Program, which are contingent upon achieving specific development and regulatory milestone events and (iii) commercial milestone payments of up to $3.5 million in aggregate for each occurrence, which are contingent upon achieving specified commercialization milestone events. We are also obligated to pay tiered low-single digit royalties on future net sales of each royalty-bearing product and a percentage ranging from the mid-single digits to sub teen double digits of any sublicensing revenues we receive. The royalties are payable on a product-by-product and country-by-country basis until the later of expiration of the last to expire valid claim in the licensed patents production in the world and ten years after the first commercial sale of such product in such country. We also paid a change of control success fee to TSRI in shares of our Series A-1 convertible preferred stock with a fair value of $0.3 million. As of June 30, 2023, we had not recorded any milestone or royalty payments under the 2015 TSRI License Agreement.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Harvard License Agreement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connection with the acquisition of Syllable, we gained rights to a license agreement between Syllable and Harvard (the Harvard License Agreement) entered into in June 2020. Pursuant to the Harvard License Agreement, Syllable obtained an exclusive, worldwide, royalty-bearing, sublicensable license under certain patent rights and copyrights covering certain behavior imagining and behavioral tracking software, to develop and commercialize products and services based thereon.</w:t>
      </w:r>
    </w:p>
    <w:p>
      <w:pPr>
        <w:spacing w:after="0" w:line="18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Under the Harvard License Agreement, Syllable was required to pay Harvard a change of control payment, which we agreed to pay on Syllable’s behalf as part of the acquisition and which was part of the net liabilities we assumed in the transaction. In addition, we are obligated, among other things, to pay Harvard (i) nominal specified annual license maintenance fees that are creditable against any royalty amounts payable for licensed products sold in the same year, (ii) mid-single digit royalties on future net sales of each royalty-bearing product and (iii) a percentage, ranging from the high-teens to low-double-digits, of any sublicensing revenues we receive. The royalties are payable on a product-by-product and country-by-country basis until the later of expiration of the last to expire valid claim in the licensed patents covering such product and the fifteenth anniversary of the first commercial sale of such product in such country.</w:t>
      </w:r>
    </w:p>
    <w:p>
      <w:pPr>
        <w:spacing w:after="0" w:line="19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March 2021, we entered into an amendment to the Harvard License Agreement to, among other things, extend the timeline for us to meet our development and commercial milestones. Under the Harvard License Agreement, as amended, we are obligated to meet certain development and commercial milestones between December 2021 and January 2024. Failure to meet such milestones would constitute a material breach of contract and would provide Harvard with the right to terminate the agreement subject to the notification and cure periods. We and Harvard agreed to terminate the agreement, effective as of March 31, 2023. Prior to the agreement’s termination, we had not met any of the development or sales-based milestones.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Amgen Licenses and Research and Collaboration Agreement</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September 2021, we entered into two license agreements with Amgen (the Amgen Licenses) pursuant to which we obtained exclusive, worldwide licenses under specified patents and know-how to develop, manufacture, use, commercialize and distribute products containing compounds that are directed to, in one case, CK1d (the CK1d License), and in the other case, GCase (the GCase License), both for the treatment of neurodegenerative diseases and related know-how and clinical material (collectively, the Amgen IPR&amp;D Assets). The acquisition of the Amgen IPR&amp;D Assets became effective on September 30, 2021, the date the Amgen Licenses were executed.</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Amgen Licenses were accounted for as acquisitions of assets. The total upfront consideration transferred to Amgen of 20.0 million shares of our Series A-2 convertible preferred stock, with an estimated acquisition date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fair value of $157.0 million, was allocated to the Amgen IPR&amp;D Assets. The consideration transferred for the Amgen IPR&amp;D Assets was included in acquired in-process research and development expenses in our consolidated statement of operations and comprehensive loss for the year ended December 31, 2021.</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Under the Amgen Licenses, we agreed to pay Amgen contingent consideration payable in cash up to an aggregate of $360.0 million in commercial milestone payments upon the achievement of certain sales thresholds per licensed product under the CK1d License and up to an aggregate $360.0 million in commercial milestone payments upon the achievement of certain sales thresholds per licensed product under the GCase License. We also agreed to pay tiered royalties at percentages ranging from the low to high-single-digits on annual worldwide net sales of licensed products under the CK1d License, and royalties at a low-single-digit percentage on annual worldwide net sales of licensed products under the GCase License, payable on a licensed product-by-licensed product and country-by-country basis until the later of the expiration of the last to expire licensed patent or Neumora patent claiming the composition of matter of such licensed product and the tenth anniversary of the first commercial sale of such licensed product in such country. Under each Amgen License, the royalty payments are subject to reductions on a country-by-country basis for lack of patent coverage, generic entry, and payment obligations for third-party licenses. As of June 30, 2023, none of the milestones pursuant to the Amgen Licenses have been achieved, and no amounts were recognized related to the contingent consideration milestones.</w:t>
      </w:r>
    </w:p>
    <w:p>
      <w:pPr>
        <w:spacing w:after="0" w:line="16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until a specified period of time following the achievement of the first successful Phase 2 clinical trial for any licensed product, if we choose to sell, transfer, sublicense or divest rights to a licensed product in certain major markets, Amgen has a time-limited, exclusive right of first negotiation to enter into an agreement with us for such rights.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Concurrently with the Amgen Licenses, we entered into a research collaboration agreement with Amgen (the Amgen Collaboration Agreement) to collectively discover drug targets, biomarkers, and other insights associated with central nervous system (CNS) diseases utilizing Amgen’s deCODE genetics and human data research capabilities. Under the Amgen Collaboration Agreement, Amgen grants us an exclusive license under intellectual property generated in the collaboration to exploit therapeutic compounds and diagnostics for use with therapeutics in the CNS field and we grant Amgen an exclusive license under intellectual property generated in the collaboration to exploit therapeutic compounds and diagnostics for use with therapeutics outside of the CNS field.</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return for Amgen performing research activities under the agreement, we are committed to making non-refundable, non-creditable quarterly payments to Amgen over the first two years totaling $50.0 million and for the third year between $12.5 million and $25.0 million depending on whether certain progress milestones are achieved. The term of the Amgen Collaboration Agreement is up to five years, although it will terminate after three years if we and Amgen do not mutually agree upon a compensation structure for years four and five. If we and Amgen do not reach such agreement at least</w:t>
      </w:r>
    </w:p>
    <w:p>
      <w:pPr>
        <w:spacing w:after="0" w:line="1"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30 days prior to the end of year three, the Amgen Collaboration Agreement will automatically terminate upon its third anniversary. Further, either we or Amgen can terminate the Amgen Collaboration Agreement upon a material uncured breach or bankruptcy declaration by the other party, in which case all amounts that have become due through the date of termination will be non-refundable.</w:t>
      </w:r>
    </w:p>
    <w:p>
      <w:pPr>
        <w:spacing w:after="0" w:line="19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Amgen also has an exclusive option to negotiate, and the right of first negotiation, to obtain exclusive, worldwide licenses to research, develop, commercialize and otherwise exploit up to two therapeutic compounds or any pharmaceutical product containing such therapeutic compound arising from the collaboration. That right exists with respect to each compound for a certain period of time following positive Phase 2 results for the compound.</w:t>
      </w:r>
    </w:p>
    <w:p>
      <w:pPr>
        <w:spacing w:after="0" w:line="14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Upon execution of the Amgen Collaboration Agreement, we were obligated to start paying Amgen non-refundable quarterly payments of $6.3 million. The eighth non-refundable quarterly payment of $6.3 million became due as of June 30, 2023 and has been recorded within current liabilities, with related amounts recorded within prepaid expenses and other current assets on our condensed consolidated balance sheet as of June 30, 2023.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Additionally, Amgen purchased 12.7 million shares of our Series A-2 convertible preferred stock at a purchase price of $7.85 per share, for total consideration of $100.0 million. Subject to certain conditions, Amgen is also obligated to provide us additional financing of up to $100.0 million. This obligation will terminate upon the completion of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Vanderbilt License Agreement</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and Vanderbilt University (Vanderbilt) entered into a license agreement in February 2022, as amended in July 2023 (Vanderbilt License Agreement). Pursuant to the Vanderbilt License Agreement, we obtained an exclusive, worldwide, royalty-bearing, sublicensable (subject to certain restrictions) license under certain patent rights and a non- exclusive, worldwide, royalty-bearing, sublicensable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all uses. We also have an exclusive option, exercisable for a specified period of time, to obtain an exclusive license to certain patent rights conceived or developed by Vanderbilt in the course of carrying out the sponsored research pursuant to a sponsored research agreement between Neumora and Vanderbilt. The last patent expiration date for the licensed patents that are issued or expected to issue, from currently pending or provisional applications, pursuant to the Vanderbilt License Agreement is 2041, excluding any patent term adjustment or patent term extension. The licensed patent rights are subject to Vanderbilt’s right to use the patent rights for research, internal non-commercial use and educational purposes.</w:t>
      </w:r>
    </w:p>
    <w:p>
      <w:pPr>
        <w:spacing w:after="0" w:line="168"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have agreed to use commercially reasonable efforts to develop and commercialize licensed products, and to achieve certain development milestones, the first within a specified period following the effective date and the other on or before June 2024. Failure to meet our obligations in accordance with the Vanderbilt License Agreement to achieve such milestones may constitute a material breach of contract that entitles Vanderbilt to terminate the Vanderbilt License Agreement.</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Under the Vanderbilt License Agreement, we paid an upfront fee of $13.0 million. We are also obligated to pay Vanderbilt tiered royalties at mid-single-digit percentages on net sales of royalty-bearing products, which are payable on a country-by-country and product-by-product basis until the later of expiration of the last to expire valid claim covering composition of matter in the licensed patents and the tenth anniversary of the first commercial sale of such product in such country. Under the Vanderbilt License Agreement, the royalty payments are subject to reductions on a country-by-country basis for the lack of patent coverage, generic entry and payment obligations for third-party licenses. In addition, we are obligated to pay Vanderbilt a low-double-digit percentage of sublicense income we receive for sublicenses entered into before the achievement of a specified event. We also agreed to pay Vanderbilt payments of up to $42.4 million upon achievement of specified development milestone events for NMRA 266, up to $42.0 million upon achievement of specified development milestone events for products other than NMRA-266, and up to $380.0 million upon achievement of specified commercial milestone events, but in no event will our total milestone payments to Vanderbilt exceed $422.4 million. As of June 30, 2023, no contingent consideration related to the milestones, royalty or other payment (other than the upfront payment described above) has become payable to Vanderbilt pursuant to the Vanderbilt License Agreement.</w:t>
      </w:r>
    </w:p>
    <w:p>
      <w:pPr>
        <w:spacing w:after="0" w:line="18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Vanderbilt License Agreement will remain in force, on a country-by-country basis, until the expiration of all royalty payment obligations to Vanderbilt in such country. If we bring a patent challenge against any licensed patents, in addition to paying certain costs associated with the proceeding, Vanderbilt may convert the exclusive licenses to non-exclusive licenses or terminate the Vanderbilt License Agreement. If the licensed patents survive the patent challenge, all payments under the agreement will be increased by a specified amount. We have the right to terminate the Vanderbilt License Agreement at any time by providing Vanderbilt with 90 days’ prior notice. Vanderbilt has the right to terminate the Vanderbilt License Agreement if we file for bankruptcy. The Vanderbilt License Agreement will automatically terminate if our insurance coverage lapses and is not cured within 90 days. Vanderbilt also has the right to terminate if we fail to make payments, breach our diligence obligations or breach any other material term upon 60 days’ prior notice.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Impact</w:t>
      </w:r>
    </w:p>
    <w:p>
      <w:pPr>
        <w:spacing w:after="0" w:line="117"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Although the World Health Organization has declared that COVID-19 no longer represents a global health emergency, the actual and perceived impact of COVID-19 and any effect on our business cannot be predicted. As a result, there can be no assurance that we will not experience additional negative impacts associated with COVID-19, which could be significant and may delay our initiation of preclinical studies and clinical trials, interrupt our supply chain, disrupt regulatory activities or have other adverse effects on our business and operations.</w:t>
      </w:r>
    </w:p>
    <w:p>
      <w:pPr>
        <w:spacing w:after="0" w:line="171" w:lineRule="exact"/>
        <w:rPr>
          <w:sz w:val="20"/>
          <w:szCs w:val="20"/>
          <w:color w:val="auto"/>
        </w:rPr>
      </w:pPr>
    </w:p>
    <w:p>
      <w:pPr>
        <w:jc w:val="both"/>
        <w:ind w:left="120" w:right="200" w:firstLine="440"/>
        <w:spacing w:after="0" w:line="277" w:lineRule="auto"/>
        <w:rPr>
          <w:sz w:val="20"/>
          <w:szCs w:val="20"/>
          <w:color w:val="auto"/>
        </w:rPr>
      </w:pPr>
      <w:r>
        <w:rPr>
          <w:rFonts w:ascii="Arial" w:cs="Arial" w:eastAsia="Arial" w:hAnsi="Arial"/>
          <w:sz w:val="18"/>
          <w:szCs w:val="18"/>
          <w:color w:val="auto"/>
        </w:rPr>
        <w:t>Our focus remains on promoting measures intended to help minimize our risk of exposure to the virus for our employees, including policies that allow our employees to work remotely.</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COVID-19 pandemic has also caused significant volatility in public equity markets and disruptions globally that could adversely affect the economies and financial markets, resulting in an economic downturn that could affect our financing prospects.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additional details regarding the COVID-19 pandemic’s impact on our business, operations and prospects, see the section titled “Risk Factors.”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Research and development expenses consist of external and internal expenses, and primarily relate to our discovery efforts and development of our precision neuroscience approach, programs, and product candidates. We account for acquired in-process research and development expenses from our strategic acquisitions, which accounts for a significant portion of our operating expenses, separately from research and development expenses.</w:t>
      </w:r>
    </w:p>
    <w:p>
      <w:pPr>
        <w:spacing w:after="0" w:line="14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External research and development expenses include, among others, amounts incurred with contract research organizations (CROs), contract manufacturing organizations (CMOs), preclinical testing organizations and other vendors that conduct research and development activities on our behalf. Internal research and development expenses include, among others, personnel-related costs, including salaries, benefits and stock-based compensation for employees engaged in research and development functions, laboratory supplies and other non-capital equipment utilized for in-house research, software development costs and allocated expenses including facilities costs and depreciation and amortization.</w:t>
      </w:r>
    </w:p>
    <w:p>
      <w:pPr>
        <w:spacing w:after="0" w:line="16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Because we are working on multiple research and development programs at any one time, we track our external expenses by the stage of program, clinical or preclinical. However, our internal expenses, including unallocated costs, employees and infrastructure are not directly tied to any one program and are deployed across multiple programs. As such, we do not track internal expenses on a specific program basis.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expense research and development costs as incurred. Amounts recorded for external goods or services incurred for research and development activities that have not yet been invoiced are included in accrued liabilities in our consolidated balance sheets and often represent estimates. We estimate accrued expenses and the related research and development expense based on the level of services performed but not yet invoiced pursuant to agreements established with our service providers, according to the progress of preclinical studies, clinical trials or related activities, and discussions with applicable personnel and service providers as to the progress or state of consummation of goods and service. Payments for these activities are based on the terms of the individual agreements, which may differ from the pattern of costs incurred, and are reflected in our consolidated financial statements as prepaid expenses or other current assets or accrued liabilities. Nonrefundable advance payments that we make for goods or services to be received in the future for use in research and development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incur costs to further develop our precision neuroscience approach and advance our programs and product candidates through clinical development and pursue regulatory approval of our product candidates. The process of conducting the necessary clinical and preclinical research to obtain regulatory approval is costly and time-consuming, and the successful development of our product candidates is highly uncertain. As a result of the uncertainties discussed below, we are unable to determine the duration and completion costs of our research and development projects or when and to what extent we will generate revenue from the commercialization and sale of our product candidates.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may vary significantly based on factors such as:</w:t>
      </w:r>
    </w:p>
    <w:p>
      <w:pPr>
        <w:spacing w:after="0" w:line="131"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effectiveness of our precision neuroscience approach at identifying target patient populations and utilizing the approach to enrich our patient population in our clinical trials;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employee-related costs for personnel engaged in the design, development, testing and enhancement of our precision neuroscience related technology;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or license agreements;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we choose to partner any of our product candidates and the terms of such partnership;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 of general economic conditions, such as rising inflation and increasing interest rates.</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 change in the outcome of any of these variables with respect to the development of any of our product candidates could significantly change the costs and timing associated with the development of that product candidate. We may never succeed in obtaining regulatory approval for any of our product candidates. We may obtain unexpected results from our preclinical studies and future clinical trials.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Acquired in-process research and development expenses consist of existing research and development projects at the time of the acquisition. Projects that qualify as IPR&amp;D assets represent those that have not yet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reached technological feasibility and have no alternative future use. Our acquisitions of assets have all included IPR&amp;D assets that had not yet reached technological feasibility and had no alternative future use, which resulted in a write-off of these IPR&amp;D assets to acquired in-process research and development expenses in our consolidated statement of operations and comprehensive loss.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General and administrative expenses include, among others, personnel-related costs, including salaries, benefits, and stock-based compensation for our employees in executive, finance, and other administrative functions, legal fees, professional fees incurred for accounting, audit, and tax services, recruiting costs, and other allocated expenses, including facilities costs and depreciation and amortization not included in research and development expenses. Legal fees are included within general and administrative expenses and are related to corporate and intellectual property related matters.</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expect our general and administrative expenses to increase substantially in the foreseeable future as we continue to support our research and development activities, grow our business and, if any of our product candidates receive marketing approval, commence commercialization activities. We also anticipate incurring additional expenses associated with operating as a public company, including increased expenses related to audit, legal, regulatory,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consists of interest earned on our cash equivalents and marketable securities.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Other income (expense), net consists primarily of changes in the fair value of our convertible preferred stock warrant liability prior to settlement in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 the Six Months Ended June 30, 2022 and 2023</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 of operations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480" w:type="dxa"/>
            <w:vAlign w:val="bottom"/>
            <w:gridSpan w:val="3"/>
          </w:tcPr>
          <w:p>
            <w:pPr>
              <w:jc w:val="right"/>
              <w:ind w:right="140"/>
              <w:spacing w:after="0"/>
              <w:rPr>
                <w:sz w:val="20"/>
                <w:szCs w:val="20"/>
                <w:color w:val="auto"/>
              </w:rPr>
            </w:pPr>
            <w:r>
              <w:rPr>
                <w:rFonts w:ascii="Arial" w:cs="Arial" w:eastAsia="Arial" w:hAnsi="Arial"/>
                <w:sz w:val="18"/>
                <w:szCs w:val="18"/>
                <w:color w:val="auto"/>
              </w:rPr>
              <w:t>$ 45,677</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$ 62,254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16,577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4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13,000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(13,000)</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15,873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18,976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74,550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(74,550)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(81,230)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4480" w:type="dxa"/>
            <w:vAlign w:val="bottom"/>
            <w:gridSpan w:val="3"/>
          </w:tcPr>
          <w:p>
            <w:pPr>
              <w:jc w:val="right"/>
              <w:ind w:right="140"/>
              <w:spacing w:after="0"/>
              <w:rPr>
                <w:sz w:val="20"/>
                <w:szCs w:val="20"/>
                <w:color w:val="auto"/>
              </w:rPr>
            </w:pPr>
            <w:r>
              <w:rPr>
                <w:rFonts w:ascii="Arial" w:cs="Arial" w:eastAsia="Arial" w:hAnsi="Arial"/>
                <w:sz w:val="18"/>
                <w:szCs w:val="18"/>
                <w:color w:val="auto"/>
              </w:rPr>
              <w:t>870</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4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4560" w:type="dxa"/>
            <w:vAlign w:val="bottom"/>
          </w:tcPr>
          <w:p>
            <w:pPr>
              <w:ind w:left="720"/>
              <w:spacing w:after="0"/>
              <w:rPr>
                <w:sz w:val="20"/>
                <w:szCs w:val="20"/>
                <w:color w:val="auto"/>
              </w:rPr>
            </w:pPr>
            <w:r>
              <w:rPr>
                <w:rFonts w:ascii="Arial" w:cs="Arial" w:eastAsia="Arial" w:hAnsi="Arial"/>
                <w:sz w:val="18"/>
                <w:szCs w:val="18"/>
                <w:color w:val="auto"/>
              </w:rPr>
              <w:t>Total other income</w:t>
            </w:r>
          </w:p>
        </w:tc>
        <w:tc>
          <w:tcPr>
            <w:tcW w:w="36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(73,414)</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680" w:type="dxa"/>
            <w:vAlign w:val="bottom"/>
            <w:vMerge w:val="restart"/>
          </w:tcPr>
          <w:p>
            <w:pPr>
              <w:jc w:val="right"/>
              <w:ind w:right="2510"/>
              <w:spacing w:after="0"/>
              <w:rPr>
                <w:sz w:val="20"/>
                <w:szCs w:val="20"/>
                <w:color w:val="auto"/>
              </w:rPr>
            </w:pPr>
            <w:r>
              <w:rPr>
                <w:rFonts w:ascii="Arial" w:cs="Arial" w:eastAsia="Arial" w:hAnsi="Arial"/>
                <w:sz w:val="18"/>
                <w:szCs w:val="18"/>
                <w:color w:val="auto"/>
              </w:rPr>
              <w:t>100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research and development expenses by program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Six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program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Navacaprant (NMRA-140) program</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5,160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8,859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NMRA-511 program</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Preclinical programs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8,932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9,489</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Internal and unallocated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Personnel-related costs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16,844</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costs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18,555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23,418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23"/>
        </w:trPr>
        <w:tc>
          <w:tcPr>
            <w:tcW w:w="858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45,677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62,254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expenses increased by $16.6 million, or 36%, from $45.7 million for the six months ended June 30, 2022 to</w:t>
      </w:r>
    </w:p>
    <w:p>
      <w:pPr>
        <w:spacing w:after="0" w:line="35"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$62.3 million for six months ended June 30, 2023 as we ramped up our clinical and preclinical programs and related activities. Direct external program expenses increased by $7.6 million, of which $3.7 million was related to navacaprant primarily due to start-up activities for our Phase 3 clinical trials, $3.3 million was attributable to NMRA-511 primarily driven by our Phase 1 clinical trial and $0.5 million was attributable to increased research and development activities related to our NMRA-M4R preclinical program. Internal and unallocated expenses increased by $9.0 million, of which</w:t>
      </w:r>
    </w:p>
    <w:p>
      <w:pPr>
        <w:spacing w:after="0" w:line="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$3.3 million related to an increase in contracted research and consulting activities, mainly due to higher activities under the research and collaboration agreements with Amgen and with other vendors. The remaining increase of $5.7 million was mainly driven by $4.1 million in increased personnel-related costs as we grew our headcount and a $1.4 million increase in facilities-related costs mainly due to the sublease of additional premises in August 2022.</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Acquired in-process research and development expenses were $13.0 million for six months ended June 30, 2022, which consisted of costs to acquire rights to IPR&amp;D assets upon the execution of our in-license from Vanderbilt in 2022, as these assets had not yet reached technological feasibility and had no alternative future use. There were no in-process research and development expenses for the six months ended June 30, 2023.</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and administrative expenses increased by $3.1 million, or 20%, from $15.9 million for the six months ended June 30 2022 to</w:t>
      </w:r>
    </w:p>
    <w:p>
      <w:pPr>
        <w:spacing w:after="0" w:line="23"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$19.0 million for the six months ended June 30, 2023 as we continued to expand our administrative functions to support our business. The increase was primarily attributable to $1.3 million higher legal and other professional services, $0.8 million higher personnel-related costs, an increase of $0.5 million in external services mainly related to medical affairs and an increase of $0.2 million in business taxes.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Interest income increased by $6.3 million from $0.9 million for the six months ended June 30, 2022 to $7.1 million for the six months ended June 30 2023, which was attributable to increased interest earned on our cash equivalents and marketable securities.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Other income (expense), net was $0.3 million income for the six months ended June 30, 2022, which was primarily attributable to the change in fair value of our convertible preferred stock warrant liability. Other income (expense), net was not material for the six months ended June 30, 2023.</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 the Years Ended December 31, 2021 and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 of operations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55,776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91,749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157,000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(144,000)</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237,323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(101,453)</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(237,323)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(135,870)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101,453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4,561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5880" w:type="dxa"/>
            <w:vAlign w:val="bottom"/>
          </w:tcPr>
          <w:p>
            <w:pPr>
              <w:ind w:left="720"/>
              <w:spacing w:after="0"/>
              <w:rPr>
                <w:sz w:val="20"/>
                <w:szCs w:val="20"/>
                <w:color w:val="auto"/>
              </w:rPr>
            </w:pPr>
            <w:r>
              <w:rPr>
                <w:rFonts w:ascii="Arial" w:cs="Arial" w:eastAsia="Arial" w:hAnsi="Arial"/>
                <w:sz w:val="18"/>
                <w:szCs w:val="18"/>
                <w:color w:val="auto"/>
              </w:rPr>
              <w:t>Total other income</w:t>
            </w:r>
          </w:p>
        </w:tc>
        <w:tc>
          <w:tcPr>
            <w:tcW w:w="2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(237,312)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(130,904)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106,408</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research and development expenses by program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program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Navacaprant program</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$13,583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9,685</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 (3,898)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NMRA-511 program</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Preclinical programs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13,100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16,198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Internal and unallocated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Personnel-related costs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19,452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27,445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7,993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costs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37,561</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29,814</w:t>
            </w:r>
          </w:p>
        </w:tc>
        <w:tc>
          <w:tcPr>
            <w:tcW w:w="0" w:type="dxa"/>
            <w:vAlign w:val="bottom"/>
          </w:tcPr>
          <w:p>
            <w:pPr>
              <w:spacing w:after="0"/>
              <w:rPr>
                <w:sz w:val="1"/>
                <w:szCs w:val="1"/>
                <w:color w:val="auto"/>
              </w:rPr>
            </w:pPr>
          </w:p>
        </w:tc>
      </w:tr>
      <w:tr>
        <w:trPr>
          <w:trHeight w:val="223"/>
        </w:trPr>
        <w:tc>
          <w:tcPr>
            <w:tcW w:w="836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55,776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91,749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expenses increased by $36.0 million, or 64%, from $55.8 million for the year ended December 31, 2021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$91.7 million for the year ended December 31, 2022 as we ramped up our preclinical programs and discovery activities. Direct external program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expenses decreased by $1.8 million which was attributable to lower CRO costs of $3.3 million mainly due to the completion of our Phase 2 trial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navacaprant in June 2022, partially offset by an increase in other external research and development costs of $1.5 million. Internal and unallocated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expenses increased by $37.8 million, of which $8.0 million was attributable to personnel-related costs as we grew our headcount and $29.8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attributable to other costs,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which was driven by a $26.1 million increase in contracted research and consulting activities, mainly due to higher activities under the research and collaboration agreements with Amgen and Vanderbilt, a $1.9 million increase in facilities-related costs mainly due to the sublease of additional premises in 2022, a $0.8 million increase in professional services and a $0.4 million increase in laboratory supplies.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Acquired in-process research and development expenses were $157.0 million and $13.0 million for the years ended December 31, 2021 and 2022, respectively, which consisted of costs to acquire rights to IPR&amp;D assets upon the execution of our in-licenses from Amgen in 2021 and our in-license from Vanderbilt in 2022, as these assets had not yet reached technological feasibility and had no alternative future use.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and administrative expenses increased by $6.6 million, or 27%, from $24.5 million for the year ended December 31, 2021 to</w:t>
      </w:r>
    </w:p>
    <w:p>
      <w:pPr>
        <w:spacing w:after="0" w:line="23"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8"/>
          <w:szCs w:val="18"/>
          <w:color w:val="auto"/>
        </w:rPr>
        <w:t>$31.1 million for the year ended December 31, 2022 as we continued to expand our administrative functions to support our business. The increase was primarily attributable to an increase of $6.6 million in personnel-related costs, including an increase of $2.2 million in stock-based compensation, as we grew our headcount.</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Interest income was $4.6 million for the year ended December 31, 2022, which was attributable to interest earned on our cash equivalents and marketable securities.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Other income (expense), net was $11 thousand and $0.4 million for the year ended December 31, 2021 and 2022, respectively, which was primarily attributable to fluctuations in the fair value of our convertible preferred stock warrant liability resulting from changes to the underlying assumptions with respect to expected term and volatility.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Net Loss Per Share Information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Immediately prior to the completion of this offering, all outstanding shares of our convertible preferred stock will convert into 104,417,415 shares of our common stock. The unaudited pro forma basic and diluted net loss per common share for the year ended December 31, 2022 and six months ended June 30, 2023 was computed using the weighted-average number of shares of common stock outstanding, including the pro forma effect of the conversion of all outstanding shares of convertible preferred stock into shares of common stock, as if such conversion had occurred at January 1, 2022 and 2023, respectively, irrespective of when the convertible preferred stock was issued. Pro forma net loss per share does not include the shares expected to be sold in this offering.</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the computation of unaudited pro forma basic and diluted net loss per share for the period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December 31, 2022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2023</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5"/>
          </w:tcPr>
          <w:p>
            <w:pPr>
              <w:jc w:val="right"/>
              <w:ind w:right="174"/>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(130,904)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(74,168)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Weighted-average shares outstanding</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27,207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29,703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5"/>
              </w:rPr>
              <w:t>Pro forma weighted-average shares outstanding, basic and diluted</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131,624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134,120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Pro forma net loss per share basic and diluted</w:t>
            </w:r>
          </w:p>
        </w:tc>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60" w:type="dxa"/>
            <w:vAlign w:val="bottom"/>
            <w:vMerge w:val="restart"/>
          </w:tcPr>
          <w:p>
            <w:pPr>
              <w:jc w:val="right"/>
              <w:ind w:right="2190"/>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As of June 30, 2023, we had $334.1 million of cash, cash equivalents and marketable securities. We have primarily funded our operations with the net proceeds from the sale and issuance of our convertible preferred stock and convertible promissory notes. From inception through June 30, 2023, we have raised aggregate cash proceeds of over $600 million, including from the sale of convertible preferred stock and borrowings pursuant to convertible promissory notes and cash acquired in our acquisitions of assets.</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During the year ended December 31, 2021, we issued and sold 24,374,542 shares of our Series A-2 convertible preferred stock in additional closings, resulting in aggregate cash proceeds of $191.3 million. We also issued and sold 12,744,860 shares of our Series A-2 convertible preferred stock in connection with the collaboration and license agreements with Amgen, resulting in cash proceeds of $100.0 million.</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During the year ended December 31, 2022, we issued and sold 9,549,715 shares of our Series B convertible preferred stock, resulting in aggregate cash proceeds of $112.4 million.</w:t>
      </w:r>
    </w:p>
    <w:p>
      <w:pPr>
        <w:spacing w:after="0" w:line="17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Since our inception, we have not generated any revenue from the sale of products and we have incurred significant net losses and negative cash flows from operations. Our primary use of our capital resources is to fund our operating expenses, which consist primarily of expenditures related to identifying, acquiring, developing, and in-licensing our precision neuroscience approach, programs, and product candidates, and conducting preclinical studies and clinical trials, and to a lesser extent, general and administrative expenditures. We have not yet commercialized any products and we do not expect to generate revenue from sales of any product candidates for a number of years, if ever. We had accumulated deficits of $467.5 million and $541.7 million as of December 31, 2022 and June 30, 2023, respectively.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expect our expenses and operating losses will increase substantially over the foreseeable future as we continue our research and development efforts, advance our product candidates through clinical and preclinical development, enhance our precision neuroscience approach and programs, expand our product pipeline, seek regulatory approval, prepare for commercialization, as well as hire additional personnel, protect our intellectual property and incur additional costs associated with being a public company. We also expect to increase the size of our administrative function to support the growth of our business. Our net losses may fluctuate significantly from period to period, depending on the factors described below. We are subject to the risks typically related to the development of new products, and we may encounter unforeseen expenses, difficulties, complications, delays, and other unknown factors that may adversely affect our business. The expected increase in expenses will be driven in large part by our ongoing activities, and our future capital requirements will depend on many factors, including:</w:t>
      </w:r>
    </w:p>
    <w:p>
      <w:pPr>
        <w:spacing w:after="0" w:line="84" w:lineRule="exact"/>
        <w:rPr>
          <w:sz w:val="20"/>
          <w:szCs w:val="20"/>
          <w:color w:val="auto"/>
        </w:rPr>
      </w:pPr>
    </w:p>
    <w:p>
      <w:pPr>
        <w:ind w:left="1080" w:right="44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or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or future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or future product candidates;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or future product candidates;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effectiveness of our precision neuroscience approach at identifying target patient populations and utilizing our approach to enrich our patient population in our clinical trials;</w:t>
      </w:r>
    </w:p>
    <w:p>
      <w:pPr>
        <w:spacing w:after="0" w:line="75" w:lineRule="exact"/>
        <w:rPr>
          <w:rFonts w:ascii="Arial" w:cs="Arial" w:eastAsia="Arial" w:hAnsi="Arial"/>
          <w:sz w:val="18"/>
          <w:szCs w:val="18"/>
          <w:color w:val="auto"/>
        </w:rPr>
      </w:pPr>
    </w:p>
    <w:p>
      <w:pPr>
        <w:ind w:left="1080" w:right="460" w:hanging="532"/>
        <w:spacing w:after="0" w:line="34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access additional multimodal patient datasets;</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macroeconomic trends including inflation and rising interest rates;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addressing any potential supply chain interruptions or delays, including those related to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 products and technologies.</w:t>
      </w:r>
    </w:p>
    <w:p>
      <w:pPr>
        <w:spacing w:after="0" w:line="22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Based upon our current operating plan, we believe that our existing cash, cash equivalents and marketable securities will enable us to fund our operating expenses and capital expenditure requirements through at least the next 12 months from the date of this offering. In addition, based upon our current operating plan, we believe that the net proceeds from this offering together with our existing cash, cash equivalents and marketable securities, will enable us to fund our operating expenses and capital expenditure requirements through at least the next 30 months from the date of this offering. However, we anticipate that we will need to raise additional financing in the future to fund our operations, including the commercialization of any approved product candidates.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complete the development and commercialization of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jc w:val="center"/>
        <w:ind w:left="87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8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2"/>
                <w:szCs w:val="12"/>
                <w:color w:val="auto"/>
              </w:rPr>
            </w:pPr>
          </w:p>
        </w:tc>
      </w:tr>
      <w:tr>
        <w:trPr>
          <w:trHeight w:val="142"/>
        </w:trPr>
        <w:tc>
          <w:tcPr>
            <w:tcW w:w="8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(58,766)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(64,063)</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(176,676)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26,895</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r>
      <w:tr>
        <w:trPr>
          <w:trHeight w:val="27"/>
        </w:trPr>
        <w:tc>
          <w:tcPr>
            <w:tcW w:w="8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decrease in cash and cash equivalents and 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(233,710)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(36,775)</w:t>
            </w: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Net cash used in operating activities for the six months ended June 30, 2022 was $58.8 million, which consisted of a net loss of $73.4 million and a change in net operating assets and liabilities of $2.3 million, which was partially offset by $17.0 million in noncash charges. Changes in our net operating assets and liabilities primarily resulted from a decrease of $8.9 million in accounts payable and accrued liabilities due to the payment of annual bonuses and timing of our accounts payable and a decrease of $0.4 million in operating lease liabilities, partially offset by a decrease of</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$7.0 million in prepaid expenses and other current assets and other assets primarily related to our collaboration with Amgen. The noncash charges primarily consisted of $13.0 million of IPR&amp;D assets acquired from Vanderbilt that were expensed to acquired in-process research and development upon acquisition because the assets had not yet reached technological feasibility and had no alternative future use, $3.4 million of stock-based compensation, $0.5 million of noncash operating lease expense and $0.3 million of depreciation and amortization, partially offset by $0.2 million change in fair value of convertible preferred stock warrants.</w:t>
      </w:r>
    </w:p>
    <w:p>
      <w:pPr>
        <w:spacing w:after="0" w:line="191" w:lineRule="exact"/>
        <w:rPr>
          <w:sz w:val="20"/>
          <w:szCs w:val="20"/>
          <w:color w:val="auto"/>
        </w:rPr>
      </w:pPr>
    </w:p>
    <w:p>
      <w:pPr>
        <w:ind w:left="120" w:right="320" w:firstLine="440"/>
        <w:spacing w:after="0" w:line="272" w:lineRule="auto"/>
        <w:rPr>
          <w:sz w:val="20"/>
          <w:szCs w:val="20"/>
          <w:color w:val="auto"/>
        </w:rPr>
      </w:pPr>
      <w:r>
        <w:rPr>
          <w:rFonts w:ascii="Arial" w:cs="Arial" w:eastAsia="Arial" w:hAnsi="Arial"/>
          <w:sz w:val="17"/>
          <w:szCs w:val="17"/>
          <w:color w:val="auto"/>
        </w:rPr>
        <w:t>Net cash used in operating activities for the six months ended June 30, 2023 was $64.1 million, which consisted of a net loss of $74.2 million, which was partially offset by $4.7 million in noncash charges and a change in our net operating assets and liabilities of $5.4 million. The noncash charges primarily consisted of $4.7 million of stock-based compensation, $1.6 million of noncash operating lease expense and $0.3 million of depreciation and amortization, partially offset by $2.0 million of net accretion of discounts on marketable securities. The change in our net operating assets and liabilities primarily resulted from a decrease of $3.6 million in prepaid expenses and other current assets related to our collaboration with Amgen and an increase of $3.4 million in accounts payable and accrued liabilities due to the timing of our accounts payable, partially offset by a decrease of $1.6 million in operating lease liabilities.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2022 was $176.7 million, which consisted of $165.8 million of purchases of marketable securities, $13.0 million of cash used to acquire IPR&amp;D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assets from Vanderbilt and $0.4 million of purchases of property and equipment primarily to support our research and development activities, partially offset by proceeds of $2.5 million from maturities of marketable securities.</w:t>
      </w:r>
    </w:p>
    <w:p>
      <w:pPr>
        <w:spacing w:after="0" w:line="170"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Net cash provided by investing activities for the six months ended June 30, 2023 was $26.9 million, which primarily consisted of $103.1 million of proceeds from sales and maturities of marketable securities, partially offset by $76.1 million of purchases of marketable securities.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2022 was $1.7 million, which consisted of $2.5 million of proceeds from exercise of stock options, partially offset by $0.7 million of payments for deferred offering costs.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2023 was $0.4 million, which primarily consisted of $1.0 million of proceeds from exercise of stock options, partially offset by $0.5 million of repurchase of unvested early exercised stock options and $0.1 million of payments for deferred offering costs.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-3175</wp:posOffset>
            </wp:positionV>
            <wp:extent cx="1499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(75,420)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(114,896)</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(168,013)</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293,507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115,743</w:t>
            </w:r>
          </w:p>
        </w:tc>
      </w:tr>
      <w:tr>
        <w:trPr>
          <w:trHeight w:val="27"/>
        </w:trPr>
        <w:tc>
          <w:tcPr>
            <w:tcW w:w="8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change in cash and cash equivalents and restricted 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217,270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(167,166)</w:t>
            </w:r>
          </w:p>
        </w:tc>
      </w:tr>
      <w:tr>
        <w:trPr>
          <w:trHeight w:val="20"/>
        </w:trPr>
        <w:tc>
          <w:tcPr>
            <w:tcW w:w="8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Net cash used in operating activities for the year ended December 31, 2021 was $75.4 million, which consisted of a net loss of $237.3 million and a change in our net operating assets and liabilities of $1.0 million, partially offset by $162.9 million in noncash charges. Changes in our net operating assets and liabilities primarily resulted from an increase of $3.7 million in other assets and an increase of $2.3 million in prepaid expense and other current assets related to our quarterly collaboration payment to Amgen and a decrease $0.8 million in operating lease liabilities, partially offset by an increase of $5.8 million in accounts payable and accrued liabilities as we grew our operations. The noncash charges primarily consisted of $157.0 million IPR&amp;D assets acquired from Amgen that were expensed to acquired in-process research and development upon acquisition because the assets had not yet reached technological feasibility and had no alternative future use, $4.3 million of stock-based compensation, $1.0 million of noncash operating lease expense and $0.5 million of depreciation and amortization.</w:t>
      </w:r>
    </w:p>
    <w:p>
      <w:pPr>
        <w:spacing w:after="0" w:line="178"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Net cash used in operating activities for the year ended December 31, 2022 was $114.9 million, which consisted of a net loss of $130.9 million and a change in our net operating assets and liabilities of $6.9 million, partially offset by $10.0 million in noncash charges and $13.0 million IPR&amp;D assets acquired from Vanderbilt that were expensed to acquired in-process research and development upon acquisition because the assets had not yet reached technological feasibility and had no alternative future use. Our net operating assets and liabilities primarily resulted from a decrease of $2.9 million in accounts payable and accrued liabilities due to the timing of our accounts payable, an increase of $2.3 million in prepaid expenses and other current assets and other assets primarily related to our collaboration with Amgen and a decrease of $1.8 million in operating lease liabilities.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noncash charges primarily consisted of $8.3 million of stock-based compensation, $2.1 million of noncash operating lease expense and $0.6 million of depreciation and amortization, partially offset by $0.7 million of net accretion of discounts on marketable securities and $0.6 million in change in fair value of convertible preferred stock warrants.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Net cash used in investing activities for the year ended December 31, 2021 was $0.8 million, which consisted of purchases of property and equipment primarily to support our research and development activities.</w:t>
      </w:r>
    </w:p>
    <w:p>
      <w:pPr>
        <w:spacing w:after="0" w:line="170"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Net cash used in investing activities for the year ended December 31, 2022 was $168.0 million, which consisted of $226.4 million of purchases of marketable securities, $13.0 million of cash used to acquire IPR&amp;D assets from Vanderbilt and $0.5 million of purchases of property and equipment primarily to support our research and development activities, partially offset by $71.9 million in proceeds from maturities of marketable securities.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2021 was $293.5 million, which consisted of $291.2 million of net proceeds from the issuance and sale of shares of our Series A-2 convertible preferred stock, $2.5 million of proceeds from exercise of stock options and $1.0 million of proceeds from the issuance and sale of shares of our common stock, partially offset by $1.1 million of payments for deferred offering costs.</w:t>
      </w:r>
    </w:p>
    <w:p>
      <w:pPr>
        <w:spacing w:after="0" w:line="18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Net cash provided by financing activities for the year ended December 31, 2022 was $115.7 million, which consisted of $112.2 million of net proceeds from the issuance and sale of shares of our Series B convertible preferred stock, $2.7 million of proceeds from exercise of stock options and $1.6 million of proceeds from exercise of warrants, partially offset by $0.7 million of payments for deferred offering costs.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and other commitments as of December 31,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Less</w:t>
            </w:r>
          </w:p>
        </w:tc>
        <w:tc>
          <w:tcPr>
            <w:tcW w:w="120" w:type="dxa"/>
            <w:vAlign w:val="bottom"/>
          </w:tcPr>
          <w:p>
            <w:pPr>
              <w:spacing w:after="0"/>
              <w:rPr>
                <w:sz w:val="10"/>
                <w:szCs w:val="10"/>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1 to 3</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 to 5</w:t>
            </w:r>
          </w:p>
        </w:tc>
        <w:tc>
          <w:tcPr>
            <w:tcW w:w="120" w:type="dxa"/>
            <w:vAlign w:val="bottom"/>
          </w:tcPr>
          <w:p>
            <w:pPr>
              <w:spacing w:after="0"/>
              <w:rPr>
                <w:sz w:val="10"/>
                <w:szCs w:val="10"/>
                <w:color w:val="auto"/>
              </w:rPr>
            </w:pPr>
          </w:p>
        </w:tc>
        <w:tc>
          <w:tcPr>
            <w:tcW w:w="60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rPr>
              <w:t>More</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than 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than 1 Year</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Years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0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Years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center"/>
              <w:ind w:left="1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Amgen research and collaboration obligations</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25,000</w:t>
            </w:r>
          </w:p>
        </w:tc>
        <w:tc>
          <w:tcPr>
            <w:tcW w:w="12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29,030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34,470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operating lease obligations relate to our office and laboratory facilities located in Massachusetts and California with noncancelable lease terms expiring between 2023 and 2025.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 includes amounts due to Amgen under our September 2021 research and collaboration arrangement over the next year totaling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$25.0 million. Such amount will increase to $37.5 million in the aggregate if certain progress milestones are achieved before the end of next year.</w:t>
      </w:r>
    </w:p>
    <w:p>
      <w:pPr>
        <w:spacing w:after="0" w:line="22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have entered in a number of acquisitions of assets that are summarized in the subsection titled “Recent Acquisitions of Assets” above. As part of these acquisitions of assets, we are obligated to pay cash and/or stock for future contingent payments that are dependent upon future events, and in some cases, vesting by the recipient of the contingent payment, such as our achievement of certain development, regulatory, and commercial milestones. We have also assumed license arrangements with various third parties, primarily as a result of our acquisitions, and have entered into additional agreements that are summarized in the subsection titled “Strategic License and Research and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Collaboration Agreements” above. In accordance with these agreements, we are obligated to pay, among other items, future contingent payments that are dependent upon future events such as our achievement of certain development, regulatory, and commercial milestones royalties, and sublicensing revenue in the future, as applicable. As of June 30, 2023, in connection with our acquisition of BlackThorn, we expect that a milestone payment of $90.0 million will become due upon dosing the first patient in the Phase 3 clinical trial for navacaprant, which we expect to pay by issuing an amount of our common stock equal to $90.0 million in the second half of 2023. As of June 30, 2023, there are no additional milestones that are expected to be achieved and generating future product sales are uncertain.</w:t>
      </w:r>
    </w:p>
    <w:p>
      <w:pPr>
        <w:spacing w:after="0" w:line="19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we enter into agreements in the normal course of business with CROs, CMOs and other vendors for research and development services. Such agreements generally provide for termination upon limited written notice. These payments are therefore not included in our contractual obligations table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Since our inception, we did not have, and we do not currently have, any off-balance sheet arrangements as defined in the rules and regulations of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management’s discussion and analysis of the financial condition and results of operations is based on our consolidated financial statements, which have been prepared in accordance with the U.S. generally accepted accounting principles, or GAAP. The preparation of our consolidated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While our significant accounting policies are described in Note 2 to our audited consolidated financial statements and our unaudited condensed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evaluate mergers, acquisitions and other similar transactions to assess whether the transaction should be accounted for as a business combination or an acquisition of assets. We first identify who is the acquiring entity by determining if the target is a legal entity or a group of assets or liabilities. If control over a legal entity is being evaluated, we also evaluate if the target is a variable interest or voting interest entity. For acquisitions of voting interest entities, we apply a screen test to determine if substantially all of the fair value of the gross assets acquired is concentrated in a single identifiable asset or group of similar identifiable assets. If the screen is met, the transaction is accounted for as an acquisition of assets. If the screen is not met, further determination is required as to whether we have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9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For an acquisition of assets, a cost accumulation model is used to determine the cost of the acquisition. Common stock and convertible preferred stock issued as consideration in an acquisition of assets are generally measured based on the acquisition date fair value of the equity interests issued. We also determine if any components of a transaction should be accounted for as a part of an acquisition of assets and which should be accounted for separately. Direct transaction costs are recognized as part of the cost of an acquisition of assets. We also evaluate which elements of a transaction should be accounted for as a part of an acquisition of assets and which should be accounted for separately.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cost of an acquisition of assets, including transaction costs, are allocated to identifiable assets acquired and liabilities assumed based on a relative fair value basis. Goodwill is not recognized in an acquisition of assets. Any difference between the cost of an acquisition of assets and the fair value of the net assets acquired is allocated to the non-monetary identifiable assets based on their relative fair values. Assets acquired as part of an acquisition of assets that are considered to be IPR&amp;D are immediately expensed unless there is an alternative future use in other research and development projects.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to upfront consideration, our acquisition of assets may also include contingent consideration payments to be made for future milestone events or royalties on net sales of future products. We assess whether such contingent consideration is subject to liability classification and fair value measurement or meets the definition of a derivative. Contingent consideration payments in an acquisition of assets not required to be classified as a liability, or are accounted for as derivatives that qualify for a scope exception from derivative accounting, are recognized when the contingency is resolved, and the consideration is paid or becomes payable. Contingent consideration payments required to be classified as a liability, or accounted for as derivatives and do not qualify for a scope exception from derivative accounting, are recorded at fair value on the date of the acquisition and are subsequently remeasured to fair value at each reporting date. At the time a contingent consideration payment is made, we will determine whether the payment should be expensed or capitalized as an intangible asset based on the status of the IPR&amp;D project. Further, any future payments that are contingent upon continued services to us are treated as compensation and are recognized beginning when it is probable such amounts will become payable through the date that the contingency is met.</w:t>
      </w:r>
    </w:p>
    <w:p>
      <w:pPr>
        <w:spacing w:after="0" w:line="18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We classify cash payments related to purchased intangibles in an acquisition of assets, including IPR&amp;D assets, as a cash outflow from investing activities because we expect to generate future income and cash flows from these assets if they can be developed into commercially successful products.</w:t>
      </w:r>
    </w:p>
    <w:p>
      <w:pPr>
        <w:spacing w:after="0" w:line="12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If the target legal entity is determined to be a variable interest entity and not a business, all tangible and intangible assets acquired, including any IPR&amp;D assets but excluding goodwill, and liabilities assumed, including contingent consideration, are recorded at their fair values. If the acquisition is determined to be a business combination, all tangible and intangible assets acquired, including any IPR&amp;D asset, and liabilities assumed, including contingent consideration, are recorded at their fair value. Goodwill is recognized for any difference between the consideration transferred and our fair value determination. In addition, direct transaction costs in connection with business combinations are expensed as incurred, rather than capitalized.</w:t>
      </w:r>
    </w:p>
    <w:p>
      <w:pPr>
        <w:spacing w:after="0" w:line="161"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To date, we have obtained control over, and are considered the accounting acquiror of, all of the entities we have acquired. None of the legal entities we acquired were considered to be variable interest entities, had ever generated revenue, have significant continuing physical facilities or an employee base that will not be integrated into working to support our combined operations, nor did they have any market distribution system, sales force, customers base, long term operating rights or material production techniques or trade names of significance.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 and Related Accrued Expenses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record research and development expenses to operations as incurred. Research and development expenses represent costs incurred by us for the discovery and development of our product candidates and the development of our precision neuroscience technology and include: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vendors conducting research and development services on our behalf, such as CROs, preclinical testing organizations, or CMOs. Costs to develop our technologies are recorded as research and development expense unless the criteria to be capitalized as internal-use software costs is met.</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entered into various agreements with CROs and other vendors for clinical, non-clinical and manufacturing services. Payments made prior to the receipt of goods or services to be used in research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development are capitalized and recognized as expense in the period in which the related goods are received or services are realized or consumed. If the costs have been prepaid, this expense reduces the prepaid expenses in the consolidated balance sheets, and if not yet invoiced, the costs are included in accrued liabilities in the consolidated balance sheets. These costs are a significant component of our research and development expenses. We record amortization of prepaid expenses for these costs based on the estimated amount of work completed and in accordance with agreements established with these third parties. Such payments are evaluated for current or noncurrent classification based on when they will be realized. We estimate and record accrued research and development expenses based on the level of services performed but not yet invoiced pursuant to agreements established with our service providers, according to the progress of preclinical studies, clinical trials or related activities, and discussions with applicable personnel and service providers as to the progress or state of consummation of goods and services.</w:t>
      </w:r>
    </w:p>
    <w:p>
      <w:pPr>
        <w:spacing w:after="0" w:line="165"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color w:val="auto"/>
        </w:rPr>
        <w:t>During the course of a clinical trial, the rate of expense recognition is adjusted if actual results differ from our estimates. We make judgments and estimates of accrued expenses as of each balance sheet date in our consolidated financial statements based on the facts and circumstances known at that time. The clinical trial accrual is dependent in part upon the timely and accurate reporting of CROs, CMOs and other third-party vendors. Although we do not expect our estimates to be materially different from amounts actually incurred, our estimates may vary from the actual results. To date, we have not experienced material differences between our accrued expenses and actual expenses.</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and may continue to enter into license agreements to access and utilize certain technology. We evaluate if the license agreement is an acquisition of an asset or a business. To date, none of our license agreements have been considered to be an acquisition of a business. For acquisitions of assets, the upfront payments to acquire such licenses, as well as any future milestone payments made before product approval, are immediately recognized as acquired in-process research and development expense when due, provided there is no alternative future use of the rights in other research and development projects. These license agreements may also include contingent consideration in the form of cash. We assess whether such contingent consideration is subject to liability classification and fair value measurement or meets the definition of a derivative.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measure and record expense related to all equity awards granted to employees and non-employees, including stock options and restricted stock awards, based on estimated fair values as of their grant dates. For stock-based awards with service conditions only, we recognize expense on a straight-line basis over the requisite service period, which is generally the vesting period of the respective award. For awards with performance conditions, we evaluate the probability of achieving the performance conditions at each reporting date. We recognize expense using an accelerated attribution method when it is deemed probable that the performance condition will be met. For awards with both market and service vesting conditions, we recognize expenses using the accelerated attribution method over the derived requisite service period. Stock-based compensation is classified in our consolidated statements of operations and comprehensive loss based on the function to which the related services are provided and is recognized for the portion of awards that have vested. Forfeitures are accounted for as they occur.</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fair value of restricted stock awards is determined on the date of grant based on the estimated fair value of our common stock on that date. The fair value of stock options with service vesting conditions is determined using the Black-Scholes option pricing model, which requires inputs based on certain subjective assumptions. These assumptions include:</w:t>
      </w:r>
    </w:p>
    <w:p>
      <w:pPr>
        <w:spacing w:after="0" w:line="8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30"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there is no trading history for our common stock, we have determined expected volatility based on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price volatility of comparable publicly traded companies and expect to continue to do so until such time as we have adequate historical data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200"/>
        <w:spacing w:after="0" w:line="263" w:lineRule="auto"/>
        <w:rPr>
          <w:sz w:val="20"/>
          <w:szCs w:val="20"/>
          <w:color w:val="auto"/>
        </w:rPr>
      </w:pPr>
      <w:r>
        <w:rPr>
          <w:rFonts w:ascii="Arial" w:cs="Arial" w:eastAsia="Arial" w:hAnsi="Arial"/>
          <w:sz w:val="18"/>
          <w:szCs w:val="18"/>
          <w:color w:val="auto"/>
        </w:rPr>
        <w:t>regarding the volatility of our own traded stock price. The comparable companies are chosen based on their similar size, stage in the life cycle or area of therapeutic focus. The historical volatility is calculated based on a period of time commensurate with the expected term assumption.</w:t>
      </w:r>
    </w:p>
    <w:p>
      <w:pPr>
        <w:spacing w:after="0" w:line="89" w:lineRule="exact"/>
        <w:rPr>
          <w:sz w:val="20"/>
          <w:szCs w:val="20"/>
          <w:color w:val="auto"/>
        </w:rPr>
      </w:pPr>
    </w:p>
    <w:p>
      <w:pPr>
        <w:ind w:left="1080" w:hanging="532"/>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our stock options is estimated using the simplified method for awards that qualify as plain-vanilla</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The simplified method calculates the expected term as the average of the time-to-vesting and the contractual life of the stock options.</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the U.S. Treasury yield curve in effect at the time of grant of the award for</w:t>
      </w:r>
      <w:r>
        <w:rPr>
          <w:rFonts w:ascii="Arial" w:cs="Arial" w:eastAsia="Arial" w:hAnsi="Arial"/>
          <w:sz w:val="18"/>
          <w:szCs w:val="18"/>
          <w:i w:val="1"/>
          <w:iCs w:val="1"/>
          <w:color w:val="auto"/>
        </w:rPr>
        <w:t xml:space="preserve"> </w:t>
      </w:r>
      <w:r>
        <w:rPr>
          <w:rFonts w:ascii="Arial" w:cs="Arial" w:eastAsia="Arial" w:hAnsi="Arial"/>
          <w:sz w:val="18"/>
          <w:szCs w:val="18"/>
          <w:color w:val="auto"/>
        </w:rPr>
        <w:t>time periods approximately equal to the expected term of the award.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expected dividend yield is assumed to be zero as we have never paid and have no plans to pay dividends 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in the foreseeable future.</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fair value of stock options with service and market conditions is determined using the Monte Carlo simulation model, which requires inputs based on certain subjective assumptions that determine the probability of satisfying the market condition stipulated in the award to estimate the fair value on the grant date. These assumptions include:</w:t>
      </w:r>
    </w:p>
    <w:p>
      <w:pPr>
        <w:spacing w:after="0" w:line="8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the subsection titled “Common Stock Valuations” below.</w:t>
      </w:r>
    </w:p>
    <w:p>
      <w:pPr>
        <w:spacing w:after="0" w:line="130"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there is no trading history for our common stock, we have determined expected volatility based on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price of comparable publicly traded companies chosen based on their similar size, stage in the life cycle or area of therapeutic focus for a period of time commensurate with the expected term assumption.</w:t>
      </w:r>
    </w:p>
    <w:p>
      <w:pPr>
        <w:spacing w:after="0" w:line="89"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Derived service periods</w:t>
      </w:r>
      <w:r>
        <w:rPr>
          <w:rFonts w:ascii="Arial" w:cs="Arial" w:eastAsia="Arial" w:hAnsi="Arial"/>
          <w:sz w:val="18"/>
          <w:szCs w:val="18"/>
          <w:color w:val="auto"/>
        </w:rPr>
        <w:t>—The derived service periods were estimated based on duration of the median path from the grant date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time each market condition is expected to be met together with the stated 24- or 36-month vesting period.</w:t>
      </w:r>
    </w:p>
    <w:p>
      <w:pPr>
        <w:spacing w:after="0" w:line="75"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—The risk-free interest rate was based on the U.S. Treasury yield curve in effect at the time of grant for time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equal to the expected term of the relevant award.</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See Note 13 to our audited consolidated financial statements and Note 11 to our unaudited condensed consolidated financial statements included elsewhere in this prospectus for information concerning certain of the specific assumptions we used in applying the Black-Scholes option pricing model to determine the estimated fair value of our stock options granted in the periods presented. Such assumptions involve inherent uncertainties and the application of significant judgment. As a result, if factors or expected outcomes change and we use significantly different assumptions or estimates, our stock-based compensation expense could be materially different.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intrinsic value of all outstanding options as of June 30, 2023 was $140.0 million, based on the assumed initial public offering price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$17.00 per share, which is the midpoint of the price range set forth on the cover page of this prospectus, of which $40.2 million is related to vested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options and $99.8 million is related to unvested options.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As there has been no public market for our common stock to date, the estimated fair value of the common stock underlying our stock options was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which intended all options granted to be exercisable at a price per share not less than the per share fair value of our common stock underlying those options on the date of grant. We believe that our board of directors has the relevant experience and expertise to determine the fair value of our common stock. Prior to our initial public offering, given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 xml:space="preserve">absence of a public trading market for our common stock, the valuations of our common stock were determined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(Practice Aid). The Practice Aid identifies various available methods for allocating enterprise value across classes and series of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to determine the estimated fair value of common stock at each valuation date. In accordance with the Practice Aid, our board of directors considered the following methods:</w:t>
      </w:r>
    </w:p>
    <w:p>
      <w:pPr>
        <w:spacing w:after="0" w:line="93" w:lineRule="exact"/>
        <w:rPr>
          <w:sz w:val="20"/>
          <w:szCs w:val="20"/>
          <w:color w:val="auto"/>
        </w:rPr>
      </w:pPr>
    </w:p>
    <w:p>
      <w:pPr>
        <w:ind w:left="1080" w:right="20" w:hanging="532"/>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Current value method </w:t>
      </w:r>
      <w:r>
        <w:rPr>
          <w:rFonts w:ascii="Arial" w:cs="Arial" w:eastAsia="Arial" w:hAnsi="Arial"/>
          <w:sz w:val="18"/>
          <w:szCs w:val="18"/>
          <w:color w:val="auto"/>
        </w:rPr>
        <w:t>(CVM). Under the CVM, enterprise value is determined based on the balance sheet. This value is then first allocated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 associated with preferred stock issued as of the valuation date, and then any residual value is assigned to the common stock.</w:t>
      </w:r>
    </w:p>
    <w:p>
      <w:pPr>
        <w:spacing w:after="0" w:line="89" w:lineRule="exact"/>
        <w:rPr>
          <w:rFonts w:ascii="Arial" w:cs="Arial" w:eastAsia="Arial" w:hAnsi="Arial"/>
          <w:sz w:val="18"/>
          <w:szCs w:val="18"/>
          <w:color w:val="auto"/>
        </w:rPr>
      </w:pPr>
    </w:p>
    <w:p>
      <w:pPr>
        <w:ind w:left="1080" w:right="340" w:hanging="532"/>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Option-pricing method </w:t>
      </w:r>
      <w:r>
        <w:rPr>
          <w:rFonts w:ascii="Arial" w:cs="Arial" w:eastAsia="Arial" w:hAnsi="Arial"/>
          <w:sz w:val="18"/>
          <w:szCs w:val="18"/>
          <w:color w:val="auto"/>
        </w:rPr>
        <w:t>(OPM). Under the OPM, shares are valued by creating a series of call options with exercise prices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preferences and conversion terms of each equity class. The estimated fair values of the preferred and common stock are inferred by analyzing these options.</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Probability-weighted expected return method </w:t>
      </w:r>
      <w:r>
        <w:rPr>
          <w:rFonts w:ascii="Arial" w:cs="Arial" w:eastAsia="Arial" w:hAnsi="Arial"/>
          <w:sz w:val="18"/>
          <w:szCs w:val="18"/>
          <w:color w:val="auto"/>
        </w:rPr>
        <w:t>(PWERM)</w:t>
      </w:r>
      <w:r>
        <w:rPr>
          <w:rFonts w:ascii="Arial" w:cs="Arial" w:eastAsia="Arial" w:hAnsi="Arial"/>
          <w:sz w:val="18"/>
          <w:szCs w:val="18"/>
          <w:i w:val="1"/>
          <w:iCs w:val="1"/>
          <w:color w:val="auto"/>
        </w:rPr>
        <w:t xml:space="preserve">. </w:t>
      </w:r>
      <w:r>
        <w:rPr>
          <w:rFonts w:ascii="Arial" w:cs="Arial" w:eastAsia="Arial" w:hAnsi="Arial"/>
          <w:sz w:val="18"/>
          <w:szCs w:val="18"/>
          <w:color w:val="auto"/>
        </w:rPr>
        <w:t>The PWERM is a scenario-based analysis that estimates value per share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probability-weighted present value of expected future investment returns, considering each of the possible outcomes available to us, as well as the economic and control rights of each share class.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assumptions we use in the valuation model are based on future expectations combined with management judgment. In the absence of a public trading market, our board of directors with input from management exercised significant judgment and considered numerous objective and subjective factors to determine the fair value of our common stock as of the date of each option grant, including the following factors:</w:t>
      </w:r>
    </w:p>
    <w:p>
      <w:pPr>
        <w:spacing w:after="0" w:line="71"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contemporaneous independent valuations performed by an independent third-party valuation firm;</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prices of shares of our convertible preferred stock sold to investors in arm’s length transactions, and the rights, preferences, and privileges of our convertible preferred stock relative to our common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progress of our precision neuroscience approach;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status of strategic transactions;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a sale of our company, given prevailing market conditions;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biopharmaceutical industry sectors.</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assumptions underlying these valuations represented 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Following the closing of our initial public offering, our board of directors will determine the fair market value of our common stock based on the closing price as reported on the date of grant on the primary stock exchange on which our common stock is traded.</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our valuations performed prior to August 2021, we determined the OPM method was the most appropriate method for determining the fair value of our common stock based on our stage of development and other relevant factors. For our valuations performed in August 2021 and subsequently, we determined a hybrid method that probability-weighted the OPM and an IPO scenario was the most appropriate method for determining the fair value of our common stock based on our stage of development and other relevant factors.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Smaller Reporting Company Elections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those standards apply to private companies.</w:t>
      </w:r>
    </w:p>
    <w:p>
      <w:pPr>
        <w:spacing w:after="0" w:line="14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elected to use this extended transition period for complying with certain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or may not be comparable to companies that comply with new or revised accounting pronouncements as of public companies’ effective dates.</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elected to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had cash and cash equivalents of $204.2 million as of June 30, 2023 that primarily consisted of bank deposits and money market funds deposited with several financial institutions that may exceed the Federal Deposit Insurance Corporation’s insurance limits. We also held marketable securities of $129.9 million as of June 30, 2023. Historical fluctuations in interest rates have not been significant for us and because our investments are primarily short-term in duration we do not believe that a hypothetical 1% change in market interest rates during any of the periods presented would have had a material effect on our consolidated financial statements included elsewhere in this prospectus. We had no outstanding debt as of December 31, 2022 and June 30, 2023.</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See Note 2 to our audited consolidated financial statements and our unaudited condensed consolidated financial statements included elsewhere in this prospectus for more information about recent accounting pronouncements, the timing of their adoption, and our assessment, to the extent we have made one yet, of their potential impact on our consolidated financial condition or results of operation.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We are in the midst of a global brain disease crisis that is having a profound and enduring impact on patients, their families and society, and represents one of the greatest medical challenges of our generation. Neuropsychiatric disorders and neurodegenerative diseases affect approximately</w:t>
      </w:r>
    </w:p>
    <w:p>
      <w:pPr>
        <w:ind w:left="120" w:right="60"/>
        <w:spacing w:after="0" w:line="268" w:lineRule="auto"/>
        <w:rPr>
          <w:sz w:val="20"/>
          <w:szCs w:val="20"/>
          <w:color w:val="auto"/>
        </w:rPr>
      </w:pPr>
      <w:r>
        <w:rPr>
          <w:rFonts w:ascii="Arial" w:cs="Arial" w:eastAsia="Arial" w:hAnsi="Arial"/>
          <w:sz w:val="17"/>
          <w:szCs w:val="17"/>
          <w:color w:val="auto"/>
        </w:rPr>
        <w:t>1.5 billion individuals globally, are typically chronic and progressive in nature and are a leading cause of disability worldwide, resulting in significant disability and reduced quality of life. It is estimated that since 2019 over $110 billion has been spent on neuroscience research and development in the United States alone, representing approximately 33% of all disease-specific spending. However, only approximately 12% of all new therapies approved during this time period have been for the treatment of brain diseases. We believe the relative lack of progress and innovation within the broader central nervous system (CNS) landscape is due in large part to the field not advancing novel therapies targeting new mechanisms of action and due to therapeutic development that is focused on broad, heterogeneous patient populations classified by subjective clinical symptoms. The time has come to take a fundamentally different approach to the way treatments for brain diseases are developed and bring forward the next generation of therapies that offer improved treatment outcomes and quality of life for patients.</w:t>
      </w:r>
    </w:p>
    <w:p>
      <w:pPr>
        <w:spacing w:after="0" w:line="18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founded Neumora to redefine neuroscience drug development by (1) building a diversified neuroscience company at scale with a broad therapeutic pipeline and significant capital resources; (2) focusing on therapeutic candidates with novel mechanisms of action; and (3) leveraging a precision neuroscience approach with the goal of maximizing the value of our programs. Our mission is to redefine neuroscience drug development by bringing forward the next generation of novel therapies that offer improved treatment outcomes and quality of life for patients suffering from brain diseases.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We are a clinical-stage biopharmaceutical company founded to confront the global brain disease crisis by taking a fundamentally different approach to the way treatments for brain diseases are developed. We have rapidly scaled our therapeutic pipeline, which currently consists of seven clinical and preclinical neuroscience programs that target novel mechanisms of action for a broad range of underserved neuropsychiatric disorders and neurodegenerative diseases. We expect to continue to progress the development of our pipeline with the planned initiation of multiple clinical trials across our programs over the next 12 to 18 months, which supports numerous anticipated data readouts. Our most advanced product candidate, navacaprant (NMRA-140), is a novel once-daily oral kappa opioid receptor (KOR) antagonist that is being developed for the treatment of major depressive disorder (MDD), which we believe has the potential to provide significant advantages relative to the standard of care, if approved. We are initiating a pivotal Phase 3 program for navacaprant monotherapy in patients with moderate to severe MDD and anticipate releasing topline results for the KOASTAL-1 study, the first of three efficacy studies, in the second half of 2024.</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Brain diseases collectively represent one of the largest areas of unmet medical need globally, affecting upwards of 1.5 billion patients. Despite the commercial success of historically approved drugs, the markets for many of the most prevalent brain disorders have been dominated by a single class of drugs, such as serotonin-targeting antidepressants for MDD, leaving patients with a high degree of unmet medical need given the lack of diverse treatment options and mechanisms of action. For example, there are currently over 21 million adults in the United States diagnosed with MDD, 85% of whom either do not receive treatment with a pharmacological agent or fail to achieve remission with first-line selective serotonin reuptake inhibitors (SSRI)/serotonin and norepinephrine reuptake inhibitors (SNRI) and thus progress onto second-line treatment with another SSRI/SNRI. In addition, patients with common neuropsychiatric disorders and neurodegenerative diseases are heterogeneous, presenting diverse symptoms and multiple underlying disease drivers. Despite the inherent heterogeneity of these disorders, patients are generally diagnosed based on broad disease classifications defined by subjective clinical symptoms rather than by specific underlying genetic and biological mechanisms. As a result, clinical development in neuroscience to date has taken a “one-size-fits-all” approach, in contrast to other areas that have employed more of a targeted patient selection approach. From 2011 to 2020, clinical development</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success rates for new drug candidates that employed patient selection biomarkers were approximately 16% compared to approximately 8% for those without patient selection biomarkers according to BIO; however, clinical success depends on a number of factors and employing a patient selection biomarker approach does not guarantee that our product candidates will be approved and commercialized. We believe the relative lack of progress and innovation within the broader CNS therapeutic landscape is due in large part to an insufficient degree of focus on novel, potentially more therapeutically relevant targets implicated in CNS diseases and clinical development strategies that often yield inconclusive results due to the inherent heterogeneity known to occur in patient populations classified by broad symptomatic domains.</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founded Neumora to confront these challenges by taking a fundamentally different approach to the way treatments for brain diseases are developed. We are redefining neuroscience drug development by:</w:t>
      </w:r>
    </w:p>
    <w:p>
      <w:pPr>
        <w:spacing w:after="0" w:line="76" w:lineRule="exact"/>
        <w:rPr>
          <w:sz w:val="20"/>
          <w:szCs w:val="20"/>
          <w:color w:val="auto"/>
        </w:rPr>
      </w:pPr>
    </w:p>
    <w:p>
      <w:pPr>
        <w:ind w:left="1080" w:right="2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Building a diversified neuroscience company at scale with a broad therapeutic pipeline and significant capital resources</w:t>
      </w:r>
      <w:r>
        <w:rPr>
          <w:rFonts w:ascii="Arial" w:cs="Arial" w:eastAsia="Arial" w:hAnsi="Arial"/>
          <w:sz w:val="18"/>
          <w:szCs w:val="18"/>
          <w:color w:val="auto"/>
        </w:rPr>
        <w:t>: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raised over $600 million in funding and purpose-built an industry-leading team of company builders and neuroscience drug developers. As a result, we have quickly scaled a broad therapeutic pipeline consisting of seven clinical and preclinical programs, which we aim to develop to meet unmet medical need across brain health disorders.</w:t>
      </w:r>
    </w:p>
    <w:p>
      <w:pPr>
        <w:spacing w:after="0" w:line="92" w:lineRule="exact"/>
        <w:rPr>
          <w:rFonts w:ascii="Arial" w:cs="Arial" w:eastAsia="Arial" w:hAnsi="Arial"/>
          <w:sz w:val="18"/>
          <w:szCs w:val="18"/>
          <w:color w:val="auto"/>
        </w:rPr>
      </w:pPr>
    </w:p>
    <w:p>
      <w:pPr>
        <w:ind w:left="1080" w:right="120" w:hanging="532"/>
        <w:spacing w:after="0" w:line="290"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Focusing on therapeutic candidates with novel mechanisms of action</w:t>
      </w:r>
      <w:r>
        <w:rPr>
          <w:rFonts w:ascii="Arial" w:cs="Arial" w:eastAsia="Arial" w:hAnsi="Arial"/>
          <w:sz w:val="16"/>
          <w:szCs w:val="16"/>
          <w:color w:val="auto"/>
        </w:rPr>
        <w:t>: We believe one of the key drivers in the lack of progress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within the broader CNS landscape is the failure to advance sufficient novel therapies targeting new mechanisms of action. We have built a pipeline of seven clinical and preclinical programs that target novel mechanisms of action with the potential to provide new treatment options to patients that alleviate unmet medical need. Several of our programs target novel mechanisms of actions that have shown preclinical and clinical data from Neumora and other leading biopharmaceutical companies pursuing programs against the same target. For example, another KOR antagonist aticaprant (Janssen Pharmaceuticals) has demonstrated an improvement in depression and anhedonia in prior clinical trials and M4 muscarinic receptor-targeting compounds have demonstrated potential as an approach to treating schizophrenia in multiple, placebo-controlled clinical trials.</w:t>
      </w:r>
    </w:p>
    <w:p>
      <w:pPr>
        <w:spacing w:after="0" w:line="70" w:lineRule="exact"/>
        <w:rPr>
          <w:rFonts w:ascii="Arial" w:cs="Arial" w:eastAsia="Arial" w:hAnsi="Arial"/>
          <w:sz w:val="16"/>
          <w:szCs w:val="16"/>
          <w:color w:val="auto"/>
        </w:rPr>
      </w:pPr>
    </w:p>
    <w:p>
      <w:pPr>
        <w:ind w:left="1080" w:right="40" w:hanging="532"/>
        <w:spacing w:after="0" w:line="25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Leveraging a precision neuroscience approach with the goal of maximizing the value of our programs</w:t>
      </w:r>
      <w:r>
        <w:rPr>
          <w:rFonts w:ascii="Arial" w:cs="Arial" w:eastAsia="Arial" w:hAnsi="Arial"/>
          <w:sz w:val="18"/>
          <w:szCs w:val="18"/>
          <w:color w:val="auto"/>
        </w:rPr>
        <w:t>: To better understand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biological drivers of heterogeneous brain diseases and to identify targeted patient populations of interest, we have built our Precision Toolbox, which integrates a suite of translational and clinical tools with proprietary machine learning algorithms and methods, and incorporates insights from analyzing patient data. We have onboarded a vast library of approximately 1 petabyte of longitudinal, multimodal patient data consisting of genetic, imaging, electroencephalogram (EEG), digital and clinical data across a range of neuropsychiatric disorders and neurodegenerative diseases. We believe our Precision Toolbox will enable us to execute potential strategies to gain confidence in a target or indication, help identify biomarkers, enroll the right patients in our clinical studies, optimize clinical trial designs and expand indication expansion opportunities; ultimately, supporting our goal of increasing the likelihood of matching the right drug for the right patient.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have rapidly scaled our therapeutic pipeline through both business development activities and internal discovery capabilities. Our therapeutic pipeline is comprised of programs for neuropsychiatric disorders and neurodegenerative diseases, each targeting a novel mechanism of action that, where beneficial, can leverage our precision neuroscience approach.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shown in the table below, our current pipeline comprises seven programs, three of which are expected to be in clinical development by year-end 2023 and four of which are in preclinical development. We expect to continue to progress the development of our pipeline with the planned initiation of multiple clinical trials across our programs over the next 12 to 18 months, which supports numerous anticipated data readouts, including receipt of topline data from our KOASTAL-1 study for navacaprant expected in the second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1920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Figure 3: Neumora Pipeline</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Navacaprant (NMRA-140) </w:t>
      </w:r>
      <w:r>
        <w:rPr>
          <w:rFonts w:ascii="Arial" w:cs="Arial" w:eastAsia="Arial" w:hAnsi="Arial"/>
          <w:sz w:val="17"/>
          <w:szCs w:val="17"/>
          <w:color w:val="auto"/>
        </w:rPr>
        <w:t>is a novel, oral once-daily, selective KOR antagonist in development for the monotherapy treatment of MDD, which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chronic neuropsychiatric disorder with significant unmet medical need. There are currently over 21 million adults in the United States diagnosed with MDD, 85% of whom either do not receive treatment with a pharmacological agent or fail to achieve remission with first-line SSRI/SNRI. We are developing navacaprant as a once-daily oral medication designed to modulate the dopamine and reward processing pathways that play an important role in the regulation of mood, cognition, reward and behavior. The KOR/dynorphin system is well-characterized and known to modulate depression, anhedonia and anxiety, and represents a novel approach to treating MDD and other major neuropsychiatric disorders. Following the completion of an End-of-Phase 2 meeting with the U.S. Food &amp; Drug Administration (FDA) in June 2023, we are initiating a pivotal Phase 3 program for navacaprant monotherapy in patients with moderate to severe MDD consisting of three efficacy studies: KOASTAL-1, KOASTAL-2 and KOASTAL-3. We anticipate releasing topline results for the KOASTAL-1 study in the second half of 2024. In addition, we intend to explore and evaluate the potential of navacaprant as treatment for other neuropsychiatric populations beyond MDD, including bipolar depression, schizophrenia, post-traumatic stress disorder, generalized anxiety disorder, ADHD, and substance use disorder. We plan to begin these efforts with a clinical trial in bipolar depression that we expect to initiate in the first half of 2024.</w:t>
      </w:r>
    </w:p>
    <w:p>
      <w:pPr>
        <w:spacing w:after="0" w:line="17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NMRA-511 </w:t>
      </w:r>
      <w:r>
        <w:rPr>
          <w:rFonts w:ascii="Arial" w:cs="Arial" w:eastAsia="Arial" w:hAnsi="Arial"/>
          <w:sz w:val="18"/>
          <w:szCs w:val="18"/>
          <w:color w:val="auto"/>
        </w:rPr>
        <w:t>is an investigational antagonist of the vasopressin 1a receptor (V1aR). Vasopressin plays a role in the regulation of aggression,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affiliation, stress and anxiety response. Based on our preclinical findings in non-human primates as well as preclinical and clinical results from third parties, we believe V1aR has the potential to be a promising novel target for multiple neuropsychiatric disorders and neurodegenerative diseases across the spectrum of anxiety, aggression and stress. We are currently conducting a Phase 1 multiple ascending dose (MAD) clinical trial of NMRA-511 and plan to advance the program into a clinical trial in patients with agitation associated with dementia due to Alzheimer’s disease (AD) in the first half of 2024.</w:t>
      </w:r>
    </w:p>
    <w:p>
      <w:pPr>
        <w:spacing w:after="0" w:line="188" w:lineRule="exact"/>
        <w:rPr>
          <w:sz w:val="20"/>
          <w:szCs w:val="20"/>
          <w:color w:val="auto"/>
        </w:rPr>
      </w:pPr>
    </w:p>
    <w:p>
      <w:pPr>
        <w:ind w:left="120" w:right="100" w:firstLine="440"/>
        <w:spacing w:after="0" w:line="314" w:lineRule="auto"/>
        <w:rPr>
          <w:sz w:val="20"/>
          <w:szCs w:val="20"/>
          <w:color w:val="auto"/>
        </w:rPr>
      </w:pPr>
      <w:r>
        <w:rPr>
          <w:rFonts w:ascii="Arial" w:cs="Arial" w:eastAsia="Arial" w:hAnsi="Arial"/>
          <w:sz w:val="16"/>
          <w:szCs w:val="16"/>
          <w:b w:val="1"/>
          <w:bCs w:val="1"/>
          <w:i w:val="1"/>
          <w:iCs w:val="1"/>
          <w:color w:val="auto"/>
        </w:rPr>
        <w:t xml:space="preserve">NMRA-266 </w:t>
      </w:r>
      <w:r>
        <w:rPr>
          <w:rFonts w:ascii="Arial" w:cs="Arial" w:eastAsia="Arial" w:hAnsi="Arial"/>
          <w:sz w:val="16"/>
          <w:szCs w:val="16"/>
          <w:color w:val="auto"/>
        </w:rPr>
        <w:t>is a positive allosteric modulator of the M4 muscarini</w:t>
      </w:r>
      <w:r>
        <w:rPr>
          <w:rFonts w:ascii="Arial" w:cs="Arial" w:eastAsia="Arial" w:hAnsi="Arial"/>
          <w:sz w:val="16"/>
          <w:szCs w:val="16"/>
          <w:b w:val="1"/>
          <w:bCs w:val="1"/>
          <w:color w:val="auto"/>
        </w:rPr>
        <w:t>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receptor (M4R) for the treatment of schizophrenia and other neuropsychiatric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disorders. Our M4R-positive allosteric modulator program is designed to be highly selective for the M4 receptor subtype of the muscarinic receptor family. Muscarinic receptor-targeting compounds have demonstrated robust activity in third-party trials and could be a promising approach to</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treating schizophrenia (SCZ), with the potential to treat other neuropsychiatric disorders such as dementia-related psychosis and cognitive disorders, where innovation has been stagnant for decades. Selective M4R-positive allosteric modulators have the potential to deliver the antipsychotic efficacy associated with targeting this receptor subtype, while minimizing the side effects associated with current antipsychotics and other non-selective muscarinic agonists. NMRA-266 is in preclinical development and we anticipate submitting an IND to the FDA in the fourth quarter of 2023. We exclusively licensed certain intellectual property rights related to NMRA-266 from Vanderbilt University.</w:t>
      </w:r>
    </w:p>
    <w:p>
      <w:pPr>
        <w:spacing w:after="0" w:line="17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b w:val="1"/>
          <w:bCs w:val="1"/>
          <w:i w:val="1"/>
          <w:iCs w:val="1"/>
          <w:color w:val="auto"/>
        </w:rPr>
        <w:t xml:space="preserve">NMRA-NMDA </w:t>
      </w:r>
      <w:r>
        <w:rPr>
          <w:rFonts w:ascii="Arial" w:cs="Arial" w:eastAsia="Arial" w:hAnsi="Arial"/>
          <w:sz w:val="17"/>
          <w:szCs w:val="17"/>
          <w:color w:val="auto"/>
        </w:rPr>
        <w:t>is an NMDA positive allosteric modulator program designed to target the NMDA receptor that we intend to develop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of SCZ. Recent breakthroughs in third-party psychiatric genetic studies have provided genetic evidence in support of the role of NMDA receptors in SCZ. Further, human studies suggest NMDA receptor antagonists (such as ketamine) lead to a SCZ-like syndrome when dosed in healthy volunteers, which provides compelling evidence for this target. Our NMRA-NMDA program was internally discovered and we have focused on proprietary chemistry which targets a distinct binding site on the target. NMRA-NMDA is in preclinical development.</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b w:val="1"/>
          <w:bCs w:val="1"/>
          <w:i w:val="1"/>
          <w:iCs w:val="1"/>
          <w:color w:val="auto"/>
        </w:rPr>
        <w:t>NMRA-CK1</w:t>
      </w:r>
      <w:r>
        <w:rPr>
          <w:rFonts w:ascii="Arial" w:cs="Arial" w:eastAsia="Arial" w:hAnsi="Arial"/>
          <w:sz w:val="18"/>
          <w:szCs w:val="18"/>
          <w:color w:val="auto"/>
        </w:rPr>
        <w:t>d is a CK1d inhibitor program that we intend to develop for Amyotrophic Lateral Sclerosis (ALS). CK1d is a kinase that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identified as a proximal upstream regulator of TDP-43 phosphorylation, a key driver of TDP-43-driven pathology in approximately 95% of sporadic ALS cases. There is also genetic evidence supporting the role of TDP-43 in ALS. Our NMRA-CK1d program is in preclinical development. We exclusively licensed certain intellectual property rights related to NMRA-CK1d from Amgen.</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NMRA-NLRP3 </w:t>
      </w:r>
      <w:r>
        <w:rPr>
          <w:rFonts w:ascii="Arial" w:cs="Arial" w:eastAsia="Arial" w:hAnsi="Arial"/>
          <w:sz w:val="17"/>
          <w:szCs w:val="17"/>
          <w:color w:val="auto"/>
        </w:rPr>
        <w:t>is an inhibitor program focused on targeting the NLRP3 inflammasome for the treatment of certain neurodegenerative conditions.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inflammasome is a critical part of the innate immune system that responds to pathogens and cellular damage and is implicated in brain disorders, such as PD, as well as immune disorders. The NLRP3 inflammasome can be activated in brain microglia, a type of cell in the brain, and other cell types by a range of proteins linked to neurodegeneration, including alpha-synuclein (a neuronal protein that regulates synaptic vesicle trafficking and is thought to be critical in PD pathogenesis), which suggests the inflammasome may have a mechanistic role in PD. Our NMRA-NLRP3 program was internally discovered and is in preclinical development.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NMRA-GCase </w:t>
      </w:r>
      <w:r>
        <w:rPr>
          <w:rFonts w:ascii="Arial" w:cs="Arial" w:eastAsia="Arial" w:hAnsi="Arial"/>
          <w:sz w:val="18"/>
          <w:szCs w:val="18"/>
          <w:color w:val="auto"/>
        </w:rPr>
        <w:t>is an activator program focused on elevating the activity of the enzyme glucocerebrocidase (GCase) that we are developing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PD. Mutations in the GBA gene, which codes for the enzyme GCase, are the single largest genetic risk factor for PD. GCase deficiencies lead to storage disorders of the lysosome, which plays an important role in maintaining cellular balance, and a group of patients with PD has lysosomal dysfunction. Our NMRA-GCase program is in preclinical development. We exclusively licensed certain intellectual property rights related to NMRA-GCase from Amgen.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Our people are the backbone of the company and our most important asset. We have assembled a diverse team of experienced company builders and leading neuroscience drug developers, complemented by world-class scientific and technical advisors as well as an experienced board of directors and syndicate of investors. This group shares a long-term commitment to execute our mission to redefine neuroscience drug development by bringing forward the next generation of novel therapies that offer improved treatment outcomes and quality of life for patients suffering from brain diseases.</w:t>
      </w:r>
    </w:p>
    <w:p>
      <w:pPr>
        <w:spacing w:after="0" w:line="63" w:lineRule="exact"/>
        <w:rPr>
          <w:sz w:val="20"/>
          <w:szCs w:val="20"/>
          <w:color w:val="auto"/>
        </w:rPr>
      </w:pPr>
    </w:p>
    <w:p>
      <w:pPr>
        <w:ind w:left="1080" w:right="120" w:hanging="532"/>
        <w:spacing w:after="0" w:line="25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Company Builders</w:t>
      </w:r>
      <w:r>
        <w:rPr>
          <w:rFonts w:ascii="Arial" w:cs="Arial" w:eastAsia="Arial" w:hAnsi="Arial"/>
          <w:sz w:val="18"/>
          <w:szCs w:val="18"/>
          <w:color w:val="auto"/>
        </w:rPr>
        <w:t>. We have multiple individuals with experience building disruptive biopharmaceutical companies.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Co-Founder, Executive Chairman of our board of directors and former Chief Executive Officer, Paul L. Berns has over 30 years of drug development and commercialization experience and was previously the President, Chief Executive Officer and Chairman of the Board of Anacor Pharmaceuticals before it was acquired by Pfizer in 2016. Henry O. Gosebruch, our President and Chief Executive Officer, spent more than seven years leading corporate strategy and</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86" w:lineRule="auto"/>
        <w:rPr>
          <w:sz w:val="20"/>
          <w:szCs w:val="20"/>
          <w:color w:val="auto"/>
        </w:rPr>
      </w:pPr>
      <w:r>
        <w:rPr>
          <w:rFonts w:ascii="Arial" w:cs="Arial" w:eastAsia="Arial" w:hAnsi="Arial"/>
          <w:sz w:val="16"/>
          <w:szCs w:val="16"/>
          <w:color w:val="auto"/>
        </w:rPr>
        <w:t>long-range planning across all of AbbVie’s therapeutic franchises, including neuroscience, and had responsibility for building and advancing AbbVie’s external innovation pipeline. He has advised major biopharmaceutical and other companies for more than 20 years in his former role in the M&amp;A group at J.P. Morgan where he was co-head of M&amp;A for North America. Carol Suh, our Co-Founder and Chief Operating Officer, has co-founded and built multiple biotechnology companies in her role as a Partner of ARCH Venture Partners.</w:t>
      </w:r>
    </w:p>
    <w:p>
      <w:pPr>
        <w:spacing w:after="0" w:line="1" w:lineRule="exact"/>
        <w:rPr>
          <w:sz w:val="20"/>
          <w:szCs w:val="20"/>
          <w:color w:val="auto"/>
        </w:rPr>
      </w:pPr>
    </w:p>
    <w:p>
      <w:pPr>
        <w:ind w:left="1100" w:right="260"/>
        <w:spacing w:after="0" w:line="260" w:lineRule="auto"/>
        <w:rPr>
          <w:sz w:val="20"/>
          <w:szCs w:val="20"/>
          <w:color w:val="auto"/>
        </w:rPr>
      </w:pPr>
      <w:r>
        <w:rPr>
          <w:rFonts w:ascii="Arial" w:cs="Arial" w:eastAsia="Arial" w:hAnsi="Arial"/>
          <w:sz w:val="18"/>
          <w:szCs w:val="18"/>
          <w:color w:val="auto"/>
        </w:rPr>
        <w:t>Dr. Joshua Pinto, our Chief Financial Officer, spent a decade advising leading biotechnology companies across their life cycles from his career as an investment banker after completing his Ph.D. in neuroscience and working in research.</w:t>
      </w:r>
    </w:p>
    <w:p>
      <w:pPr>
        <w:spacing w:after="0" w:line="91" w:lineRule="exact"/>
        <w:rPr>
          <w:sz w:val="20"/>
          <w:szCs w:val="20"/>
          <w:color w:val="auto"/>
        </w:rPr>
      </w:pPr>
    </w:p>
    <w:p>
      <w:pPr>
        <w:ind w:left="1080" w:right="40" w:hanging="532"/>
        <w:spacing w:after="0" w:line="289"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Leading Neuroscience Drug Developers</w:t>
      </w:r>
      <w:r>
        <w:rPr>
          <w:rFonts w:ascii="Arial" w:cs="Arial" w:eastAsia="Arial" w:hAnsi="Arial"/>
          <w:sz w:val="16"/>
          <w:szCs w:val="16"/>
          <w:color w:val="auto"/>
        </w:rPr>
        <w:t>. Our scientific leadership team includes world-class physicians and scientists with extensive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neuroscience drug development experience. Dr. Bill Aurora, our Chief Strategy Officer, previously served as Chief Scientific Affairs Officer of Dermira and held medical and scientific affairs leadership roles at Neurocrine Biosciences, Merck Research Laboratories and Amgen. Dr. Rob Lenz, our Head of Research and Development, previously served as Senior Vice President, Global Development at Amgen where he was the global development lead for Amgen’s neuroscience programs. Dr. Michael Gold, our Chief Medical Officer, previously served as Vice President of Neuroscience Development at AbbVie where he was involved in the successful approval of CNS therapies including the recent approval of VRAYLAR as an adjunctive treatment for MDD. Dr. Nick Brandon, our Chief Scientific Officer, previously served as Chief Scientist of AstraZeneca’s Neuroscience Innovative Medicines and Early Development Division, as well as Head of Psychiatry and Behavioral Disorders for a period that bridged the Wyeth and Pfizer Neuroscience organizations.</w:t>
      </w:r>
    </w:p>
    <w:p>
      <w:pPr>
        <w:spacing w:after="0" w:line="71" w:lineRule="exact"/>
        <w:rPr>
          <w:rFonts w:ascii="Arial" w:cs="Arial" w:eastAsia="Arial" w:hAnsi="Arial"/>
          <w:sz w:val="16"/>
          <w:szCs w:val="16"/>
          <w:color w:val="auto"/>
        </w:rPr>
      </w:pPr>
    </w:p>
    <w:p>
      <w:pPr>
        <w:jc w:val="both"/>
        <w:ind w:left="1080" w:right="260" w:hanging="532"/>
        <w:spacing w:after="0" w:line="31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Board of Directors and Investors with Shared Long-Term Vision</w:t>
      </w:r>
      <w:r>
        <w:rPr>
          <w:rFonts w:ascii="Arial" w:cs="Arial" w:eastAsia="Arial" w:hAnsi="Arial"/>
          <w:sz w:val="16"/>
          <w:szCs w:val="16"/>
          <w:color w:val="auto"/>
        </w:rPr>
        <w:t>. Our board of directors is comprised of renowned company builders,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operators, leaders, scientists and drug developers with experience across a diverse array of companies. Together with our investors, who have supported us with over $600 million in funding, we share a long-term vision to confront the global brain disease crisis at scale.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founded our company to confront the global brain disease crisis by taking a fundamentally different approach to the way treatments for brain diseases are developed across neuropsychiatric disorders and neurodegenerative diseases. Our mission is to redefine neuroscience drug development by bringing forward the next generation of novel therapies that offer improved treatment outcomes and quality of life for patients suffering from brain diseases. The key components of our business strategy to deliver on our mission are to:</w:t>
      </w:r>
    </w:p>
    <w:p>
      <w:pPr>
        <w:spacing w:after="0" w:line="77" w:lineRule="exact"/>
        <w:rPr>
          <w:sz w:val="20"/>
          <w:szCs w:val="20"/>
          <w:color w:val="auto"/>
        </w:rPr>
      </w:pPr>
    </w:p>
    <w:p>
      <w:pPr>
        <w:ind w:left="1080" w:right="20" w:hanging="532"/>
        <w:spacing w:after="0" w:line="269"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Build a broad industry-leading pipeline of novel neuroscience therapeutics</w:t>
      </w:r>
      <w:r>
        <w:rPr>
          <w:rFonts w:ascii="Arial" w:cs="Arial" w:eastAsia="Arial" w:hAnsi="Arial"/>
          <w:sz w:val="17"/>
          <w:szCs w:val="17"/>
          <w:color w:val="auto"/>
        </w:rPr>
        <w:t>. We have rapidly scaled our therapeutic pipeline that 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seven programs across late-stage clinical and preclinical development though business development efforts and our internal discovery capabilities. We expect to continue to progress the development of our pipeline with the planned initiation of multiple clinical trials across our programs over the next 12 to 18 months, which support numerous anticipated data readouts. Our most advanced program, navacaprant is a novel once-daily oral KOR antagonist that is being developed for the treatment of MDD, which we believe has the potential to provide significant advantages relative to the standard of care, if approved. We are initiating a pivotal Phase 3 program for navacaprant monotherapy in patients with moderate to severe MDD consisting of three efficacy studies: KOASTAL-1, KOASTAL-2 and KOASTAL-3. We anticipate releasing topline results for the KOASTAL-1 study in the second half of 2024. Including navacaprant, we are currently advancing a pipeline of seven clinical and preclinical therapeutic candidates for neuropsychiatric disorders and neurodegenerative diseases, each targeting a novel mechanism of action.</w:t>
      </w:r>
    </w:p>
    <w:p>
      <w:pPr>
        <w:spacing w:after="0" w:line="90" w:lineRule="exact"/>
        <w:rPr>
          <w:rFonts w:ascii="Arial" w:cs="Arial" w:eastAsia="Arial" w:hAnsi="Arial"/>
          <w:sz w:val="17"/>
          <w:szCs w:val="17"/>
          <w:color w:val="auto"/>
        </w:rPr>
      </w:pPr>
    </w:p>
    <w:p>
      <w:pPr>
        <w:ind w:left="1080" w:right="200" w:hanging="532"/>
        <w:spacing w:after="0" w:line="279"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Advance navacaprant towards commercialization</w:t>
      </w:r>
      <w:r>
        <w:rPr>
          <w:rFonts w:ascii="Arial" w:cs="Arial" w:eastAsia="Arial" w:hAnsi="Arial"/>
          <w:sz w:val="17"/>
          <w:szCs w:val="17"/>
          <w:color w:val="auto"/>
        </w:rPr>
        <w:t>. Based on the results from the Phase 2 clinical trial, we believe navacaprant has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potential to provide significant advantages relative to the standard of care, if approved. We are initiating a pivotal Phase 3 program for navacaprant monotherapy in patients with moderate to severe MDD and anticipate releasing topline results for the KOASTAL-1 study in the second half of 2024. There are currently over 21 million adults in the United States diagnosed with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75" w:lineRule="auto"/>
        <w:rPr>
          <w:sz w:val="20"/>
          <w:szCs w:val="20"/>
          <w:color w:val="auto"/>
        </w:rPr>
      </w:pPr>
      <w:r>
        <w:rPr>
          <w:rFonts w:ascii="Arial" w:cs="Arial" w:eastAsia="Arial" w:hAnsi="Arial"/>
          <w:sz w:val="17"/>
          <w:szCs w:val="17"/>
          <w:color w:val="auto"/>
        </w:rPr>
        <w:t>MDD, 85% of whom either do not receive treatment with a pharmacological agent or fail to achieve remission with first-line SSRI/SNRI. In addition, given the novel mechanism of action in the well-characterized KOR/dynorphin system we intend to explore and evaluate the potential of navacaprant for the treatment of other neuropsychiatric populations beyond MDD, including bipolar depression, schizophrenia, post-traumatic stress disorder, generalized anxiety disorder, ADHD, and substance use disorder. We plan to begin these efforts with a clinical trial in bipolar depression that we expect to initiate in the first half of 2024.</w:t>
      </w:r>
    </w:p>
    <w:p>
      <w:pPr>
        <w:spacing w:after="0" w:line="82" w:lineRule="exact"/>
        <w:rPr>
          <w:sz w:val="20"/>
          <w:szCs w:val="20"/>
          <w:color w:val="auto"/>
        </w:rPr>
      </w:pPr>
    </w:p>
    <w:p>
      <w:pPr>
        <w:ind w:left="1080" w:right="40" w:hanging="532"/>
        <w:spacing w:after="0" w:line="301"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Strategically allocate capital across our pipeline to achieve our mission</w:t>
      </w:r>
      <w:r>
        <w:rPr>
          <w:rFonts w:ascii="Arial" w:cs="Arial" w:eastAsia="Arial" w:hAnsi="Arial"/>
          <w:sz w:val="16"/>
          <w:szCs w:val="16"/>
          <w:color w:val="auto"/>
        </w:rPr>
        <w:t>. Our therapeutic pipeline is supported by significant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resources enabling us to build a broad range of novel targets to potentially bring forward the next generation of therapies. We will look to efficiently establish proof-of-concept for our programs by leveraging our precision neuroscience approach and clinical strategies which we believe will inform late-stage development and have the potential to ultimately increase the probability of success.</w:t>
      </w:r>
    </w:p>
    <w:p>
      <w:pPr>
        <w:spacing w:after="0" w:line="62"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Precision Toolbox to enhance our development efforts</w:t>
      </w:r>
      <w:r>
        <w:rPr>
          <w:rFonts w:ascii="Arial" w:cs="Arial" w:eastAsia="Arial" w:hAnsi="Arial"/>
          <w:sz w:val="18"/>
          <w:szCs w:val="18"/>
          <w:color w:val="auto"/>
        </w:rPr>
        <w:t>. To better understand the biological drivers of heterogeneous brain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diseases and to identify targeted patient populations of interest, we have integrated a suite of proprietary data science and translational neuroscience tools to enhance our development efforts. We believe the insights into patient populations derived from our precision neuroscience tools provide us the potential to identify patient populations most responsive to our novel mechanisms of action to inform our preclinical and clinical development strategies. We believe that insights from our Precision Toolbox will enable us to execute potential strategies to gain confidence in a target or indication, help identify biomarkers that can be used to optimize clinical trial designs and expand indication expansion opportunities; ultimately, supporting our goal of increasing the likelihood of matching the right drug for the right patient.</w:t>
      </w:r>
    </w:p>
    <w:p>
      <w:pPr>
        <w:spacing w:after="0" w:line="97" w:lineRule="exact"/>
        <w:rPr>
          <w:rFonts w:ascii="Arial" w:cs="Arial" w:eastAsia="Arial" w:hAnsi="Arial"/>
          <w:sz w:val="18"/>
          <w:szCs w:val="18"/>
          <w:color w:val="auto"/>
        </w:rPr>
      </w:pPr>
    </w:p>
    <w:p>
      <w:pPr>
        <w:ind w:left="1080" w:right="40" w:hanging="532"/>
        <w:spacing w:after="0" w:line="291"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Capitalize upon our intellectual property (IP) position to realize the full value of our programs that target novel mechanisms of action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strategy to focus on developing programs that target novel mechanisms of action is supported by long-dated composition of matter patents for each of our programs, a differentiating factor from other late-stage clinical programs. For example, our most advanced program candidate navacaprant has composition of matter protection through 2038 and we expect to have base patent term extension exclusivity until 2041. Additionally, we believe our intellectual property estate for each program provides sufficient IP runway to enable clinical trials in multiple indications. We believe our strategy of pursuing novel targeted mechanisms of action will enable us to maintain and pursue composition of matter protection providing us a strategic advantage to support the full value crystallization of our product candidates.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 and Historical Challenges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market for therapeutics for brain diseases is large, with over 1.5 billion people suffering globally from neurological conditions accounting for more than $80 billion in worldwide revenue in 2020. Prior generations of approved treatments for neuropsychiatric disorders have experienced substantial commercial success, achieving multi-billion annual sales, including products such as ABILIFY, LATUDA, RISPERDAL, SEROQUEL, and ZYPREXA.</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Despite the large market and commercial success of historically approved drugs, the markets for many of the most prevalent brain disorders have been dominated by single classes of drugs, such as serotonin-targeting antidepressants for MDD, dopamine and serotonin-targeting atypical antipsychotics for SCZ, dopamine-targeting medicines for PD, and medicines targeting beta-amyloid for AD. This paucity of innovation in therapeutic targets has led to a lack of diversity in treatment options, leading to underserved patient populations due to the poor efficacy and side-effect profiles of existing therapeutics. In addition, patients with common neuropsychiatric disorders and neurodegenerative diseases are heterogeneous, presenting diverse symptoms and multiple underlying disease drivers. Despite the inherent heterogeneity of these disorders, patients are generally diagnosed based on broad disease classifications defined by subjective clinical symptoms rather than by specific underlying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genetic and biological mechanisms. As a result, clinical development in neuroscience to date has taken a “one-size-fits-all” approach, in contrast to other areas that have employed more of a targeted patient selection approach. For example, MDD is an underserved neuropsychiatric disorder that is estimated to affect 5% of the global adult population, approximately 85% of whom either do not receive treatment with a pharmacological agent or fail to achieve remission with first-line SSRI/SNRI. As another example, PD is the world’s most common neurodegenerative movement disorder and fastest growing neurological disorder, yet current treatments do not target the underlying cause of the disease and only address a subset of symptoms, such as motor impairment, dementia or psychosis.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CNS field has faced challenges in terms of new drug approvals, with only 12% of all new therapies approved since 2019 being for the treatment of brain diseases despite significant investment. It is estimated that since 2019 over $110 billion has been spent on neuroscience research and development during this period in the United States alone, representing approximately 33% of all disease-specific spending. Additionally, from 2011 to 2020, clinical development success rates for new drug candidates that employed patient selection biomarkers were approximately 16% compared to approximately 8% for those without patient selection biomarkers according to BIO; however, employing a patient selection biomarker approach does not guarantee that our product candidates will be approved and commercialized. Further, the total addressable U.S. population impacted by the neuropsychiatric disorders and neurodegenerative diseases targeted by our thereapeutic pipeline is approximately 60 million. The time has come to take a differentiated approach to the way treatments for brain diseases are developed and bring forward the next generation of therapies that offer improved treatment outcomes and quality of life for patients.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Neumora’s Approach</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founded Neumora with the goal of building the leading global brain health company to confront the global brain disease crisis by taking a fundamentally different approach to the way treatments for brain diseases are developed. To achieve this, our mission is to redefine neuroscience drug development by bringing forward the next generation of novel therapies that offer improved treatment outcomes and quality of life for patients with brain diseases by: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Building a Diversified Neuroscience Company At Scale with a Broad Therapeutic Pipeline and Significant Capital Resources</w:t>
      </w:r>
    </w:p>
    <w:p>
      <w:pPr>
        <w:spacing w:after="0" w:line="129"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have raised over $600 million in funding and are supported by a set of leading investors that share our long-term vision to confront the global brain disease crisis at scale. We have leveraged our significant capital resources to quickly scale a broad therapeutic pipeline consisting of seven clinical and preclinical programs and assemble a team of leading company builders and neuroscience drug developers. We believe our scale is a strategic advantage that enables us to think beyond a single program and envision how we can treat the billions of patients suffering from brain disease globally.</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Focusing on Therapeutic Candidates with Novel Mechanisms of Action</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believe one of the key drivers in the lack of progress and innovation within the broader CNS landscape is the failure to advance sufficient new therapies targeting novel mechanisms of action. Targeting novel mechanisms of action beyond currently approved agents has the potential to provide differentiated efficacy and safety profile, which could provide physicians with new treatment options and patients with better outcomes. All seven of our clinical and preclinical programs target novel mechanisms of action that are differentiated relative to currently approved therapies.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Leveraging a Precision Neuroscience Approach With the Goal of Maximizing the Value of our Programs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Precision neuroscience involves the development of therapies that leverage the biological basis of disease to match the right patients to the right therapeutics with the goal of improving patient outcomes. To better understand the biological drivers of heterogeneous brain diseases and to identify targeted patient populations of interest, our precision neuroscience approach is powered by our Precision Toolbox, which integrates a suite of translational and clinical tools with proprietary machine learning algorithms and methods, as well as longitudinal, multimodal patient data. We have onboarded a vast library of approximately 1 petabyte of longitudinal, multimodal patient data consisting of genetic, imaging, EEG, digital and clinical data across a range of neuropsychiatric disorders and neurodegenerative diseases, in order to identify targeted patient populations of interest. We believe our Precision Toolbox will enable us to execute potential strategies to gain confidence in a target or indication, help identify biomarkers that can be used to optimize clinical trial designs and expand indication expansion opportunities; ultimately, supporting our goal of increasing the likelihood of matching the right drug for the right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140970</wp:posOffset>
            </wp:positionV>
            <wp:extent cx="5083175" cy="2211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8317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xml:space="preserve">Figure 4: </w:t>
      </w:r>
      <w:r>
        <w:rPr>
          <w:rFonts w:ascii="Arial" w:cs="Arial" w:eastAsia="Arial" w:hAnsi="Arial"/>
          <w:sz w:val="18"/>
          <w:szCs w:val="18"/>
          <w:i w:val="1"/>
          <w:iCs w:val="1"/>
          <w:color w:val="auto"/>
        </w:rPr>
        <w:t>Neumora’s Precision Approach</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have rapidly scaled our pipeline through both internal discovery capabilities and business development activities. Our therapeutic pipeline is comprised of programs for neuropsychiatric disorders and neurodegenerative diseases, each targeting a novel mechanism of action that, where beneficial, can leverage our precision neuroscience approach. As shown in the table below, our current pipeline comprises seven programs, three of which are expected to be in clinical development by year-end 2023 and four of which are in preclinical development. We expect to continue to progress the development of our pipeline with the planned initiation of multiple clinical trials across our programs over the next 12 to 18 months, which supports numerous anticipated data readouts, including receipt of topline data from our KOASTAL-1 study for navacaprant expected in the second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1920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Figure 5: Neumora Pipeline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Navacaprant (NMRA-140) (KOR)</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Navacaprant is a novel, oral once-daily, selective KOR antagonist in development for the monotherapy treatment of MDD. There are currently over 21 million adults in the United States diagnosed with MDD, 85% of whom either do not receive treatment with a pharmacological agent or fail to achieve remission with first-line SSRI/SNRI. We are developing navacaprant as a once-daily oral medication designed to modulate the dopamine and reward processing pathways that play an important role in the regulation of mood, cognition, reward and behavior. The KOR/dynorphin system is well-characterized, known to modulate depression, anhedonia and anxiety, and represents a novel approach to treating MDD and other major neuropsychiatric disorders. Following the completion of an End-of-Phase 2 meeting with the U.S. Food &amp; Drug Administration (FDA) in June 2023, we are initiating a pivotal Phase 3 program for navacaprant monotherapy in patients with moderate to severe MDD, consisting of three efficacy studies: KOASTAL-1, KOASTAL-2 and KOASTAL-3. We anticipate releasing topline results for the KOASTAL-1 study in the second half of 2024. In addition, we intend to explore and evaluate the potential of navacaprant as treatment for other neuropsychiatric populations beyond MDD, including bipolar depression, schizophrenia, post-traumatic stress disorder, generalized anxiety disorder, ADHD, and substance use disorder. We plan to begin these efforts with a clinical trial in bipolar depression that we expect to initiate in the first half of 2024.</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Major depressive disorder is one of the leading causes of disability, morbidity and mortality around the world with approximately 264 million people worldwide. MDD is characterized by symptoms such as prolonged sadness, anxiety, and suicidal thoughts. MDD is estimated to impact over 21 million adults in the United States with approximately 11 million receiving pharmacological treatment. Based on an assumed 5% market penetration, this would result in 550,000 patients treated with an agent. A three-fold increase in the prevalence of depressive symptoms has been estimated since the COVID-19 pandemic, exacerbating the significant burden of mental health across America.</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Despite numerous approved treatments, there remains a significant unmet medical need in the treatment of MDD. Although MDD is hypothesized to involve multiple, diverse pathways as reflected in the variability of clinical presentation of major depressive episodes and response to treatment, most antidepressant medications act primarily through the monoamine pathway. Approved therapeutics include selective serotonin reuptake inhibitors (SSRIs), serotonin and norepinephrine reuptake inhibitors (SNRIs) and atypical antipsychotics. However, approximately 85% of MDD patients either do not receive treatment with a pharmacological agent or fail to achieve remission with first-line SSRI/SNRI. Further, patients treated for MDD often experience pronounced side effects, such as weight gain, sexual dysfunction, gastrointestinal issues and emotional blunting that contribute to treatment nonadherence. Side effects are a leading contributor to patients’ unwillingness to take pharmacological treatment or treatment discontinuation.</w:t>
      </w:r>
    </w:p>
    <w:p>
      <w:pPr>
        <w:spacing w:after="0" w:line="16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addition, current antidepressants do not adequately treat anhedonia, a core symptom of MDD. Defined in the DSM-5 as “markedly diminished interest or pleasure in all, or almost all, activities most of the day”, anhedonia is a key feature of MDD and occurs in up to 70% of individuals with MDD. Anhedonia has been associated with greater severity of depressive symptoms, poor prognosis, as well as higher rates of suicidality. First-line MDD pharmacotherapies often fail to reduce anhedonia severity despite improvement or remission of other depressive symptoms and can induce or worsen anhedonia-like symptoms known as emotional blunting. Current antidepressants do not adequately address symptoms of anhedonia suggesting that their mechanisms of action do not effectively target the hedonic or reward processing pathways. Given the significant and increasing unmet medical need to effectively treat the core symptoms of MDD, a novel treatment for MDD that targets mood and hedonic pathways is warranted.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Navacaprant is an investigational, small molecule antagonist of the KOR, which is a potentially novel approach to the treatment of MDD that has the potential to be the first new mechanism of action approved in decades. The KOR and endogenous agonist dynorphin, are expressed in brain regions that regulate the effects of stress on mood and cognition. The KOR/dynorphin system is an important mediator of stress-induced alterations in reward processing and a mood state known as dysphoria, which is a state of dissatisfaction, unease and unhappiness. Activation of KOR modulates neuronal circuits associated with many neuropsychiatric disorders, including depression, anhedonia, anxiety, schizophrenia, bipolar depression and obsessive-compulsive disorder.</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Multiple lines of evidence establish the KOR system in mediating the effects of stress and reward in preclinical species and humans. In preclinical models of stress (such as forced swim and immobilization) or withdrawal from repeated exposure to drugs of abuse, stimulation of the dynorphin/KOR system can elicit anhedonia- and anxiety-like behaviors. In humans, KOR agonists have been reported to trigger symptoms of dysphoria, anxiety, and depression, while KOR antagonism has led to improvement of depressive symptoms. KOR antagonism blocks the biochemical and behavioral response to stress resulting in antidepressant- and anxiolytic-like behavioral effects.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Navacaprant is a potent and selective antagonist for KOR and, in preclinical studies, has shown more than 300-fold selectivity over the Mu opioid receptor (MOR). Selectivity for KOR over MOR may be an important factor to avoid the potential negative side effects associated with MOR activity. Comparatively, other clinical-stage KOR antagonists, including Aticaprant and CVL-354, have approximately 30-fold selectivity over MOR. We believe the selectivity profile of navacaprant has the potential to enable optimal receptor occupancy that supports a beneficial efficacy and tolerability profile. None of our preclinical studies are powered for significance given the purpose of such studies.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Data</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completed a Phase 2 clinical trial evaluating navacaprant as a monotherapy treatment for patients with MDD. The Phase 2 clinical trial was initiated by BlackThorn Therapeutics prior to our acquisition of BlackThorn. The Phase 2 trial was a double-blind, placebo-controlled, randomized, multi-center trial of navacaprant monotherapy compared to placebo in MDD patients in the United States. Patients were randomized 1:1 to receive either an 80 mg dose of navacaprant or placebo once daily for eight weeks. The primary endpoint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was a change from baseline in the HAMD-17 total score, a scale for measuring depressive symptom severity, of navacaprant compared to placebo at Week 8. Key secondary measures included change in anhedonia symptoms from baseline, as assessed by the Snaith–Hamilton Pleasure Scale (SHAPS) total score. Of the 204 patients randomized, 171 patients were included in the final efficacy population (patients with a baseline HAMD-17 total score that received at least one dose of study drug and had at least one post-baseline HAMD-17 assessment), and baseline demographics were balanced between the navacaprant and placebo arms.</w:t>
      </w:r>
    </w:p>
    <w:p>
      <w:pPr>
        <w:spacing w:after="0" w:line="188"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original trial design, when initiated by BlackThorn, specified enrolling solely mild to moderate MDD patients (baseline HAMD-17 total score ranging from 14-22). Following our acquisition of BlackThorn, we amended the trial inclusion criteria to include patients with moderate to severe MDD (baseline HAMD-17 total score ≥ 22), which is the patient population we intend to evaluate in our pivotal Phase 3 program and more typically studied in MDD clinical trials. We also added a prespecified analysis to the Phase 2 statistical analysis plan focused on the moderate to severe MDD population.</w:t>
      </w:r>
    </w:p>
    <w:p>
      <w:pPr>
        <w:spacing w:after="0" w:line="15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final efficacy population for the pre-specified analysis of moderate to severe MDD (baseline HAMD-17 total score ≥ 22) included 100 adult subjects. In this moderate to severe MDD patient population, once daily dosing with 80 mg of navacaprant resulted in statistically significant (meaning that the results of the study are unlikely to have occurred by chance) treatment differences compared to placebo in depression, as measured by the HAMD-17 total score, and anhedonia, as measured by the SHAPS, each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134620</wp:posOffset>
            </wp:positionV>
            <wp:extent cx="5194935" cy="2383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9493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 Graphs depict prespecified statistical sensitivity analyses for moderate to severe patients (n=100; baseline HAMD-17 ≥ 22)</w:t>
      </w:r>
    </w:p>
    <w:p>
      <w:pPr>
        <w:spacing w:after="0" w:line="208" w:lineRule="exact"/>
        <w:rPr>
          <w:sz w:val="20"/>
          <w:szCs w:val="20"/>
          <w:color w:val="auto"/>
        </w:rPr>
      </w:pPr>
    </w:p>
    <w:p>
      <w:pPr>
        <w:jc w:val="center"/>
        <w:ind w:left="460" w:right="260"/>
        <w:spacing w:after="0" w:line="449" w:lineRule="auto"/>
        <w:rPr>
          <w:sz w:val="20"/>
          <w:szCs w:val="20"/>
          <w:color w:val="auto"/>
        </w:rPr>
      </w:pPr>
      <w:r>
        <w:rPr>
          <w:rFonts w:ascii="Arial" w:cs="Arial" w:eastAsia="Arial" w:hAnsi="Arial"/>
          <w:sz w:val="18"/>
          <w:szCs w:val="18"/>
          <w:i w:val="1"/>
          <w:iCs w:val="1"/>
          <w:color w:val="auto"/>
        </w:rPr>
        <w:t xml:space="preserve">Figure 6: Navacaprant: Established Proof-of-Concept for the Treatment of Depression and Anhedonia in Patients with Moderate to Severe MDD </w:t>
      </w: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In addition, navacaprant demonstrated statistically significant treatment differences compared to placebo on a range of other key secondary and exploratory measures of depression (HAMD-17 response and remission rates, HAMD-6, CGI-I and CGI-S), anxiety (HAM-A) and function (SDS) in the moderate to severe MDD population, each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703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 Prespecified statistical sensitivity analysis for moderate to severe patients (HAMD-17 22)</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Figure 7: Demonstrated Improvements Across a Range of Secondary and Exploratory Endpoints in Patients with Moderate to Severe MDD</w:t>
      </w:r>
    </w:p>
    <w:p>
      <w:pPr>
        <w:spacing w:after="0" w:line="23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Navacaprant also demonstrated positive results across the total population (n = 171), which included mildly depressed patients with baseline HAMD-17 scores as low as 14. Navacaprant demonstrated a statistically significant improvement in depression at Week 4 (HAMD-17 LSMD; -2.7, p = 0.003) and continued to demonstrate numerical improvements but did not achieve statistical significance compared to placebo at Week 8 (HAMD-17 LSMD; -1.7, p = 0.121), which was the primary endpoint of the original study designed by BlackThorn. Additionally, navacaprant demonstrated statistically significant improvements in anhedonia as assessed by the SHAPS at Week 4 (SHAPS LSMD; -2.8, p = 0.004) and Week 8 (SHAPS LSMD; -3.4, p = 0.002). These results were consistent with expectations for a population including mild-to-severe patients and supports the trial amendments we made to focus development on the moderate to severe MDD population.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Navacaprant was well tolerated with no severe adverse events. The overall discontinuation rates were higher on placebo compared to navacaprant</w:t>
      </w:r>
    </w:p>
    <w:p>
      <w:pPr>
        <w:spacing w:after="0" w:line="46" w:lineRule="exact"/>
        <w:rPr>
          <w:sz w:val="20"/>
          <w:szCs w:val="20"/>
          <w:color w:val="auto"/>
        </w:rPr>
      </w:pPr>
    </w:p>
    <w:p>
      <w:pPr>
        <w:jc w:val="both"/>
        <w:ind w:left="120" w:right="280"/>
        <w:spacing w:after="0" w:line="323" w:lineRule="auto"/>
        <w:rPr>
          <w:sz w:val="20"/>
          <w:szCs w:val="20"/>
          <w:color w:val="auto"/>
        </w:rPr>
      </w:pPr>
      <w:r>
        <w:rPr>
          <w:rFonts w:ascii="Arial" w:cs="Arial" w:eastAsia="Arial" w:hAnsi="Arial"/>
          <w:sz w:val="16"/>
          <w:szCs w:val="16"/>
          <w:color w:val="auto"/>
        </w:rPr>
        <w:t>(37% for placebo and 29% for navacaprant), and discontinuation rates related to treatment emergent adverse events (TEAEs) were higher on placebo compared to navacaprant (12% for placebo and 1% for navacaprant). The incidence rate of TEAEs was 35.3% for the navacaprant group and 44.1 %</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for the placebo group. There were no TEAEs for navacaprant with greater than 5% incidence, which was consistent with placebo. The majority of the TEAEs were mild to moderate, with no severe TEAEs reported in the navacaprant group, and 4.9% severe TEAEs reported in the placebo group. Navacaprant was not associated with weight gain or sexual dysfunction. No evidence of suicidal behavior was identified as assessed by the Columbia Suicide Severity Rating Scale. We believe the tolerability profile of navacaprant observed to date will be viewed favorably by patients and physicians relative to other approved agents in use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145415</wp:posOffset>
            </wp:positionV>
            <wp:extent cx="3111500" cy="17659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1150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Figure 8: Navacaprant Was Well Tolerated with No Serious Adverse Events Observed in the Phase 2 Clinical Trial</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completed an End-of-Phase 2 meeting with the FDA to guide our pivotal Phase 3 program, the KOASTAL program, focusing on patients with moderate to severe MDD. The pivotal Phase 3 program for navacaprant in monotherapy consists of three randomized, placebo-controlled trials. KOASTAL-1 (Study 301) will be the first study in our Phase 3 program we initiate and will be conducted solely in the United States. KOASTAL-2 (Study 302) and KOASTAL-3 (Study 303) will be identical in design to KOASTAL-1, but will be conducted globally. KOASTAL-LT (Study 501) will be a long-term safety extension study. All three efficacy studies are designed to demonstrate that once-daily 80 mg navacaprant monotherapy improves symptoms of depression in patients with moderate to severe MDD following 6 weeks of double-blind treatment. If successful, these studies are expected to support the filing of a New Drug Application (NDA) in 2025.</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primary endpoint in KOASTAL-1, KOASTAL-2 and KOASTAL-3 will be change from baseline on the Montgomery-Åsberg Depression Rating Scale (MADRS) at Week 6. Secondary endpoints will include measures of anhedonia as captured by SHAPS and measures of anxiety as captured by HAM-A, among other secondary endpoints. The primary endpoint in KOASTAL-LT will evaluate the safety and tolerability profile of navacaprant.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Additional Opportunities for Navacaprant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we intend to explore and evaluate the potential of navacaprant as treatment for other neuropsychiatric populations beyond MDD, such as bipolar depression (affecting approximately 7 million adults in the United States), schizophrenia (affecting approximately 3 million adults in the United States), post-traumatic stress disorder (affecting approximately 12 million adults in the United States), generalized anxiety disorder (affecting approximately 6.8 million adults in the United States), ADHD (affecting approximately 10 million adults in the United States) and substance use disorder (affecting approximately 20 million adults in the United States).</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initial efforts beyond MDD will focus on bipolar disorder where we believe there is a strong rationale for navacaprant having the potential to offer a safe and effective alternative the current standard of care for treating bipolar depression.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Bipolar disorder may cause extreme shifts in a person’s mood, energy and activity levels. Bipolar and related disorders include bipolar I, bipolar II and cyclothymic disorders. Patients with bipolar I disorder experience episodes of both mania and depression, whereas those with bipolar II disorder experience depressive and hypomanic episodes, but never have a full manic episode. In cyclothymic disorder or cyclothymia, patients experience chronically unstable mood states of hypomania and mild depression. Patients with bipolar disorder are typically treated with mood stabilizers, antidepressants, atypical antipsychotics and anticonvulsants, but despite available medications, patients generally do not respond to treatment. These patients often require multiple lines of therapy, which is associated with significant negative outcomes. Patients with bipolar II disorder are among those with the highest unmet need, due to the atypical symptomology and resistance to current treatment options they often experience.</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KOR antagonists like navacaprant have been shown to improve symptoms of depression, including anhedonia, in multiple studies, including the National Institute of Mental Health (NIMH)’s FAST-MAS study, our Phase 2 clinical trial with navacaprant in MDD and additional preclinical studies. In addition to being a cardinal feature in MDD, anhedonia is also a highly prevalent and a clinically relevant symptom in bipolar depression, and there is a growing body of research in the pathophysiologic underpinnings of anhedonia in bipolar depression. Given that navacaprant studies have demonstrated meaningful improvements in anhedonia symptoms in patients with moderate to severe MDD, we believe it may also be effective in treating anhedonia related to bipolar depression.</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Given the unmet medical need and rationale for the potential benefit of KOR antagonism in bipolar depression, we plan to initiate a clinical trial evaluating the safety and efficacy of navacaprant in patients with bipolar depression in the first half of 2024. We believe that this clinical trial will provide further data that will inform potential further development of navacaprant in bipolar depression.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Intellectual Property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patent exclusivity for navacaprant through 2041, based on composition of matter protection and estimated patent term extension.</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NMRA-511</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NMRA-511 is an investigational antagonist of the vasopressin 1a receptor (V1aR). Vasopressin plays a role in the regulation of aggression, affiliation, stress and anxiety response. Based on our encouraging preclinical findings in non-human primates, as well as preclinical and clinical results from third parties, we believe V1aR has the potential to be a promising novel target for multiple neuropsychiatric disorders and neurodegenerative diseases across the spectrum of anxiety, aggression and stress. We are currently conducting a Phase 1 MAD clinical trial of NMRA-511 and plan to advance the program into a clinical trial in patients with agitation associated with dementia due to Alzheimer’s disease in the first half of 2024.</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700" w:firstLine="440"/>
        <w:spacing w:after="0" w:line="263" w:lineRule="auto"/>
        <w:rPr>
          <w:sz w:val="20"/>
          <w:szCs w:val="20"/>
          <w:color w:val="auto"/>
        </w:rPr>
      </w:pPr>
      <w:r>
        <w:rPr>
          <w:rFonts w:ascii="Arial" w:cs="Arial" w:eastAsia="Arial" w:hAnsi="Arial"/>
          <w:sz w:val="18"/>
          <w:szCs w:val="18"/>
          <w:color w:val="auto"/>
        </w:rPr>
        <w:t>NMRA-511 is an investigational small molecule antagonist of V1aR, which we believe represents a novel approach to the treatment of neuropsychiatric disorders. V1aR is a receptor for arginine vasopressin (AVP), a neuropeptide implicated in a range of physiological processes, including mood and stress.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Preclinical studies support the involvement of the vasopressin system in mediating behaviors across multiple relevant symptoms, including physiological stress responses, aggression, avoidance, fear and anxiety. In rodents, unpleasant stimuli increased vasopressin levels in brain regions implicated in anxiety pathophysiology, as demonstrated through functional neuroimaging and increased V1a receptor binding in hypothalamic regions important in mediating stress responses. Direct administration of vasopressin into the brain of rodents can increase fear and anxiety-like behavior, while systemic administration of V1a receptor antagonists and deletion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of the V1aR gene resulted in decreased anxiety-like behaviors. Moreover, evidence that the V1a receptor is important in mediating aggression has been demonstrated using the selective V1a receptor antagonist, SRX251, which reduced aggressive behaviors and suppressed activity in key brain regions involved in aggression. Recently, a small study with SRX246, a V1a receptor antagonist, in human subjects demonstrated reduced anxiety induced by unpredictable threats.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Alzheimer’s disease is the most common cause of dementia, resulting in changes in memory, thinking and behavior. An estimated 6.7 million people in the United States currently live with Alzheimer’s disease, and as the population ages, that number is expected to grow to more than 12 million by 2050. Behavioral symptoms including agitation and anxiety represent one of the most challenging aspects of managing Alzheimer’s dementia. Researchers estimate that approximately 76% of patients with Alzheimer’s dementia experience agitation, which results in significant disability, contributes to institutionalization, and diminishes quality of life for both patients and their caregivers. Despite the substantial unmet medical need associated with agitation in Alzheimer’s disease, only one medicine (an atypical antipsychotic) has been approved as a treatment in the United States. However, this medication carries a black box warning for increased mortality in elderly patients. As a result of this black box warning, we believe that an unmet medical need for a safe treatment to address agitation in Alzheimer’s disease remains.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NMRA-511 is a potent and selective antagonist for V1aR. In preclinical studies, NMRA-511 exhibited greater than 3,000-fold selectivity over the V1b and V2 receptors and approximately 300-fold selectivity over the oxytocin receptor. We conducted preclinical studies in marmosets using an animal model of anxiety/agitation known as the ‘human threat test’. In these studies, NMRA-511 reduced measures of anxiety/agitation. In parallel studies in marmosets, brain activity was also measured by means of quantitative electroencephalography (EEG), which revealed changes at different spectral band frequencies at the dose level associated with behavioral improvements, which we believe reflects a measure of pharmacodynamics activity. We believe these preclinical data suggest that NMRA-511 has the potential to address anxiety and agitation disorders.</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also conducted a Phase 1 SAD/MAD clinical trial with 55 healthy volunteers at doses up to 10 mg. In the SAD portion of the trial, 12 subjects received a single dose of NMRA-511 and four subjects received placebo. In the MAD portion of the trial, 18 subjects received multiple doses of NMRA-511 and six subjects received the same number of doses of placebo. Another cohort of 12 subjects received doses of NMRA-511 under one of two treatment sequences of being fed versus fasting to assess the effect of food on the rate and extent of absorption of NMRA-511. NMRA-511 was well tolerated in the Phase 1 SAD/MAD clinical trial. This Phase 1 clinical trial was not powered for significance given the purpose of the clinical trial, which was to help determine the dose of the study drug that can be safely administered to human subjects. Given that the primary purpose of the study was to assess safety and tolerability, the study did not contain formal efficacy endpoints. However, safety and pharmacokinetic endpoints, and exploratory measures of cardiovascular and qEEG parameters were assessed.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analysis of qEEG collected in the frontal region following oral administration of NMRA-511 to marmosets (10 mg/kg; n=6) and healthy human subjects (15 mg; placebo n=11; NMRA-511 n=6) increased relative power in the theta and alpha bands under physiological/resting state conditions. We believe that these data demonstrated that the pharmacodynamic effects of NMRA-511 seen in marmosets may be translated to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120650</wp:posOffset>
            </wp:positionV>
            <wp:extent cx="5143500" cy="2348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Figure 9: The Pharmacodynamic Activity of NMRA-511 Seen in Marmosets May Be Translated to Humans</w:t>
      </w:r>
    </w:p>
    <w:p>
      <w:pPr>
        <w:spacing w:after="0" w:line="116"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8"/>
          <w:szCs w:val="18"/>
          <w:color w:val="auto"/>
        </w:rPr>
        <w:t>Based on preclinical data we have generated, we believe that the profile of NMRA-511 is favorable. For example, the potency (functional IC</w:t>
      </w:r>
      <w:r>
        <w:rPr>
          <w:rFonts w:ascii="Arial" w:cs="Arial" w:eastAsia="Arial" w:hAnsi="Arial"/>
          <w:sz w:val="26"/>
          <w:szCs w:val="26"/>
          <w:color w:val="auto"/>
          <w:vertAlign w:val="subscript"/>
        </w:rPr>
        <w:t>50</w:t>
      </w:r>
      <w:r>
        <w:rPr>
          <w:rFonts w:ascii="Arial" w:cs="Arial" w:eastAsia="Arial" w:hAnsi="Arial"/>
          <w:sz w:val="18"/>
          <w:szCs w:val="18"/>
          <w:color w:val="auto"/>
        </w:rPr>
        <w:t>) of NMRA-511 was demonstrated to be 0.9nM, with high selectivity over V1b, V2 and oxytocin receptors, as noted above. Additionally, the projected human receptor occupancy for NMRA-511 is greater than 90% for both the 10 mg and 20 mg doses.</w:t>
      </w:r>
    </w:p>
    <w:p>
      <w:pPr>
        <w:spacing w:after="0" w:line="26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are currently conducting an additional Phase 1 MAD clinical trial of NMRA-511. We plan to use the Phase 1 MAD clinical trial to guide dose selection for future development. We plan to advance clinical development for the treatment of agitation associated with dementia due to Alzheimer’s disease in the first half of 2024.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NMRA-266</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NMRA-266 is a positive allosteric modulator program of the M4 muscarinic receptor (M4R) for the treatment of schizophrenia. NMRA-266 is designed to be selective for the M4 receptor subtype of the muscarinic receptor family. We expect to submit an IND to the FDA for our M4R program in the fourth quarter of 2023. Muscarinic receptor-targeting compounds have shown robust activity in clinical trials, demonstrating potential as an approach to treating schizophrenia, with the potential to treat other neuropsychiatric disorders such as dementia- related psychosis and cognitive disorders, where innovation has been stagnant for decades. We believe selective M4R-positive allosteric modulators have the potential to deliver antipsychotic efficacy, while minimizing the side effects associated with current antipsychotics and other non-selective muscarinic agonists. We exclusively licensed certain intellectual property rights related to NMRA-266 from Vanderbilt University.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NMRA-266 is an investigational positive allosteric modulator of the M4 muscarinic receptor. While current antipsychotics approved for schizophrenia work primarily by antagonizing D2 dopamine receptors, growing evidence supports the approach of targeting the M4 muscarinic receptor to produce antipsychotic effects. M4</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muscarinic receptor-targeting compounds have shown robust activity in clinical trials, demonstrating potential as an approach to treating schizophrenia in multiple, placebo-controlled clinical trials.</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 Phase 2 randomized, double-blind, placebo-controlled clinical trial (Emergent-1) of 182 schizophrenia patients conducted by Karuna Therapeutics, Inc., an M1/M4-preferring muscarinic agonist combined with a peripheral muscarinic antagonist, KarXT (xanomeline-trospium), demonstrated a statistically significant improvement in the total Positive and Negative Syndrome Scale (PANSS) score, the most widely used measure of symptom severity in schizophrenia. These results were then confirmed by subsequent Phase 3 trials with statistically significant changes in PANSS score seen in both Emergent-2 and Emergent-3 trials. These results were further supported by a positive Phase 1b randomized, double-blind, placebo-controlled clinical trial conducted by Cerevel Therapeutics, Inc. of emraclidine (CVL-231), a M4 receptor positive allosteric modulator demonstrating robust improvements in PANSS scores. These clinical data in schizophrenia patients are further supported by a robust body of preclinical and clinical evidence that shows that the muscarinic acetylcholine receptor system plays an important role in regulating behaviors related to psychoses, cognition, movement, learning and memory, suggesting its importance as a potential drug target for the treatment of several brain disorders. These studies also suggest compounds that elevate M4 receptor activity have the potential to treat other neuropsychiatric disorders, in addition to schizophrenia.</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Schizophrenia is a debilitating neuropsychiatric disorder characterized by positive symptoms (such as delusions and hallucinations), negative symptoms (such as diminished emotional expression) and cognitive symptoms (such as deficits in types of memory). The disease is also associated with a 10-to-25-year reduction in life expectancy overall. It is estimated that approximately three million people in the United States have schizophrenia.</w:t>
      </w:r>
    </w:p>
    <w:p>
      <w:pPr>
        <w:spacing w:after="0" w:line="14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No therapies with a novel mechanism of action have been recently approved for schizophrenia, with all currently approved antipsychotics based on mechanisms originally based on chlorpromazine, which was developed in the 1950s. Currently approved therapies focus on treating the positive symptoms of schizophrenia and have little impact on the negative or cognitive symptoms. They also have potentially serious side effects, including movement and metabolic effects, which historically have resulted in poor compliance.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7"/>
          <w:szCs w:val="17"/>
          <w:color w:val="auto"/>
        </w:rPr>
        <w:t>We have identified multiple series of M4R-positive allosteric modulators that are designed to be potent, selective and orally bioavailable. The lead molecule has demonstrated robust activity in preclinical efficacy models, as well as high selectivity for the M4R subtype, the potential for an improved safety profile over current antipsychotics and non-selective agonist approaches, and an oral once-daily dosing profile. Based on preclinical data we have generated, we believe that the profile of NMRA-266 is comparable to the profile of other M4 PAMs. For example, the potency (M</w:t>
      </w:r>
      <w:r>
        <w:rPr>
          <w:rFonts w:ascii="Arial" w:cs="Arial" w:eastAsia="Arial" w:hAnsi="Arial"/>
          <w:sz w:val="25"/>
          <w:szCs w:val="25"/>
          <w:color w:val="auto"/>
          <w:vertAlign w:val="subscript"/>
        </w:rPr>
        <w:t>4</w:t>
      </w:r>
      <w:r>
        <w:rPr>
          <w:rFonts w:ascii="Arial" w:cs="Arial" w:eastAsia="Arial" w:hAnsi="Arial"/>
          <w:sz w:val="17"/>
          <w:szCs w:val="17"/>
          <w:color w:val="auto"/>
        </w:rPr>
        <w:t xml:space="preserve"> EC</w:t>
      </w:r>
      <w:r>
        <w:rPr>
          <w:rFonts w:ascii="Arial" w:cs="Arial" w:eastAsia="Arial" w:hAnsi="Arial"/>
          <w:sz w:val="25"/>
          <w:szCs w:val="25"/>
          <w:color w:val="auto"/>
          <w:vertAlign w:val="subscript"/>
        </w:rPr>
        <w:t>50</w:t>
      </w:r>
      <w:r>
        <w:rPr>
          <w:rFonts w:ascii="Arial" w:cs="Arial" w:eastAsia="Arial" w:hAnsi="Arial"/>
          <w:sz w:val="17"/>
          <w:szCs w:val="17"/>
          <w:color w:val="auto"/>
        </w:rPr>
        <w:t xml:space="preserve"> (cAMP)) of NMRA-266 was demonstrated to be 32nM and the brain:plasma ratio for NMRA-266 was demonstrated to be 1:1. In addition, the selectivity at other muscarinic receptor subtypes (EC</w:t>
      </w:r>
      <w:r>
        <w:rPr>
          <w:rFonts w:ascii="Arial" w:cs="Arial" w:eastAsia="Arial" w:hAnsi="Arial"/>
          <w:sz w:val="25"/>
          <w:szCs w:val="25"/>
          <w:color w:val="auto"/>
          <w:vertAlign w:val="subscript"/>
        </w:rPr>
        <w:t>50</w:t>
      </w:r>
      <w:r>
        <w:rPr>
          <w:rFonts w:ascii="Arial" w:cs="Arial" w:eastAsia="Arial" w:hAnsi="Arial"/>
          <w:sz w:val="17"/>
          <w:szCs w:val="17"/>
          <w:color w:val="auto"/>
        </w:rPr>
        <w:t>) for NMRA-266 was demonstrated to be M</w:t>
      </w:r>
      <w:r>
        <w:rPr>
          <w:rFonts w:ascii="Arial" w:cs="Arial" w:eastAsia="Arial" w:hAnsi="Arial"/>
          <w:sz w:val="25"/>
          <w:szCs w:val="25"/>
          <w:color w:val="auto"/>
          <w:vertAlign w:val="subscript"/>
        </w:rPr>
        <w:t>1,3,5</w:t>
      </w:r>
      <w:r>
        <w:rPr>
          <w:rFonts w:ascii="Arial" w:cs="Arial" w:eastAsia="Arial" w:hAnsi="Arial"/>
          <w:sz w:val="17"/>
          <w:szCs w:val="17"/>
          <w:color w:val="auto"/>
        </w:rPr>
        <w:t xml:space="preserve"> &gt; 10 µM, M</w:t>
      </w:r>
      <w:r>
        <w:rPr>
          <w:rFonts w:ascii="Arial" w:cs="Arial" w:eastAsia="Arial" w:hAnsi="Arial"/>
          <w:sz w:val="25"/>
          <w:szCs w:val="25"/>
          <w:color w:val="auto"/>
          <w:vertAlign w:val="subscript"/>
        </w:rPr>
        <w:t>2</w:t>
      </w:r>
      <w:r>
        <w:rPr>
          <w:rFonts w:ascii="Arial" w:cs="Arial" w:eastAsia="Arial" w:hAnsi="Arial"/>
          <w:sz w:val="17"/>
          <w:szCs w:val="17"/>
          <w:color w:val="auto"/>
        </w:rPr>
        <w:t xml:space="preserve"> 6.8 µM.</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M4R program has molecules in preclinical development ranging from pre-candidate selection to completion of IND-enabling studies.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NMRA-266 is in preclinical development and we anticipate submitting an IND to the FDA in the fourth quarter of 2023.</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NMRA-NMDA</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NMRA-NMDA is an NMDA positive allosteric modulator program that we intend to develop for the treatment of schizophrenia. Recent breakthroughs in third-party psychiatric genetic studies have provided genetic evidence in support of the role of NMDA in schizophrenia. Furthermore, human studies suggest NMDA receptor antagonists, such as ketamine, lead to a schizophrenia-like syndrome, which provides compelling evidence for this target. Our NMRA-NMDA program is in the preclinical phase of development.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NMRA-NMDA is an investigational allosteric modulator of GRIN2A/GluN2A-containing NMDA glutamate receptors. Glutamate is the major excitatory neurotransmitter in the brain, and dysregulation of glutamate levels NMDA receptor function and downstream pathways has long been hypothesized to be key molecular drivers of schizophrenia. Recently large studies of schizophrenia patients which have looked to identify the genetic basis of schizophrenia have identified the GRIN2A gene, which produces the GluN2A subunit of the NMDA receptor, as a critical genetic risk factor for the disease. Human pharmacology experiments have indicated that decreases in NMDA receptor activity can lead to schizophrenia-like symptoms in healthy volunteers. These studies together suggest compounds which elevate NMDA receptor activity have the potential to treat the disease.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Similar to NMRA-266, we are planning to evaluate NMRA-NMDA in patients with schizophrenia.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identified a series of investigational NMDA positive allosteric modulators that are potent and orally bioavailable. Our NMRA-NMDA program was internally discovered and we have focused on proprietary chemistry that targets a distinct binding site on the target compared to other approaches. The lead molecules have been identified through experiments in cell-based assays to evaluate potency and selectivity and also characterize their mechanism of action. These molecules have also demonstrated target engagement and pharmacodynamic activity in animal models relevant for the mechanism and disease indication.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NMRA-NMDA program is in the preclinical stage of development.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NMRA-CK1</w:t>
      </w:r>
      <w:r>
        <w:rPr>
          <w:rFonts w:ascii="Arial" w:cs="Arial" w:eastAsia="Arial" w:hAnsi="Arial"/>
          <w:sz w:val="18"/>
          <w:szCs w:val="18"/>
          <w:color w:val="auto"/>
        </w:rPr>
        <w:t>d</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NMRA-CK1d is a CK1d inhibitor program that we intend to develop for ALS. CK1d is a kinase that has been identified as a proximal upstream regulator of TDP-43 phosphorylation, a key driver of TDP-43-driven pathology in approximately 95% of sporadic ALS cases. There is also genetic evidence supporting the role of TDP-43 in ALS. Our NMRA-CK1d program is in preclinical development. We exclusively licensed certain intellectual property rights related to NMRA-CK1d from Amgen.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ALS is a rapidly progressing neurodegenerative disease that affects motor neurons in the brain and spinal cord. As motor neurons die, the brain loses the ability to initiate and control muscle movement, and patients may lose the ability to speak, eat, move and breathe. Approximately 5,000 people in the United States are diagnosed with ALS each year, and approximately 16,000 patients live with ALS in the United States at a given time. ALS usually affects patients between the ages of 40 and 70.</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Existing therapeutics have modest effects on survival and physical functioning with no effect on mortality and patients have an average life expectancy of two to five years from diagnosis, emphasizing the high unmet medical need.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CK1d is a key proximal kinase phosphorylating TDP-43, a protein implicated in the pathology of both sporadic and familial ALS and certain types of frontotemporal dementia (FTD). Protein aggregates containing phosphorylated TDP-43 are present in degenerating motor neurons of ALS patients. It is hypothesized that reduction of TDP-43 phosphorylation with a CK1d inhibitor will reduce TDP-43 driven pathology and slow</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 xml:space="preserve">disease progression. Published data have demonstrated that CK1d inhibitors reverse aberrant TDP-43 related phenotypes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NMRA-CK1d inhibitors have nanomolar potency, are selective over a number of other kinases and exhibit cell-based activity. Compounds have properties consistent with favorable CNS penetration and we are conducting experiments in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cell models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relevant for ALS. In addition, we are conducting experiments to analyze ALS multi-modal patient data using our proprietary toolbox of data science algorithms to determine whether there are sub-groups of ALS patients which could be more responsive to NMRA- CK1d.</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onboarded data from the Answer ALS dataset to our Precision Toolbox, which we are analyzing as we advance our NMRA-CK1d program. The preliminary work with this dataset shows that an unsupervised drug signature independent clustering approach reveals patient clusters that are overlapping in terms of the likelihood they would respond to a CK1d compound. However, when applying supervised clustering methods that incorporate the NMRA-CK1d drug signature, enhanced precision in identifying distinct clusters that may be more responsive to a CK1d compound within the ALS population is demonstrated. We believe this work may enable the generation of hypotheses around “responder/non-responder” populations that we can consider to be included in future clinical studies.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NMRA-CK1d program is in the preclinical stage of development.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NMRA-NRLP3</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NMRA-NLRP3 is an inhibitor program focused on targeting the NLRP3 inflammasome for the treatment of certain neurodegenerative conditions. The inflammasome is a critical part of the innate immune system that responds to pathogens and cellular damage and is implicated in brain disorders, such as PD, as well as immune disorders. The NLRP3 inflammasome can be activated in brain microglia, a type of cell in the brain, and other cell types by a range of proteins linked to neurodegeneration, including alpha-synuclein (a neuronal protein that regulates synaptic vesicle trafficking), which suggests the inflammasome may have a mechanistic role in PD. Our NMRA-NLRP3 program is in the preclinical phase of development.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340" w:firstLine="440"/>
        <w:spacing w:after="0" w:line="273" w:lineRule="auto"/>
        <w:rPr>
          <w:sz w:val="20"/>
          <w:szCs w:val="20"/>
          <w:color w:val="auto"/>
        </w:rPr>
      </w:pPr>
      <w:r>
        <w:rPr>
          <w:rFonts w:ascii="Arial" w:cs="Arial" w:eastAsia="Arial" w:hAnsi="Arial"/>
          <w:sz w:val="17"/>
          <w:szCs w:val="17"/>
          <w:color w:val="auto"/>
        </w:rPr>
        <w:t>The NLRP3 inflammasome is a central component of the innate immune system and is chronically activated in neurodegenerative and inflammatory diseases. It is essential for triggering innate immunity and protecting the host from a variety of pathogens and cellular stressors. Pathological proteins associated with PD, ALS, and AD have also been shown to activate the NLRP3 inflammasome, including (i) alpha-synuclein, which is a critical driver of PD an other so-called synucleinopathies, (ii) TDP-43, which as stated above is linked to ALS, FTD and other TDP-43 opathies, (iii) beta-amyloid and tau, proteins which are most closely linked to AD. A growing body of work in PD model systems has shown that inhibition of the NLRP3 inflammasome can impact various disease phenotypes in a therapeutically relevant manner.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PD is a neurodegenerative disorder resulting in progressive and debilitating motor symptoms, such as hypokinesia, or decreased body movement, and bradykinesia, or rigidity, tremor, and postural instability. PD patients lose dopamine-producing neurons in the substantia nigra, the region of the brain responsible for motor control. Approximately one million people in the United States have PD.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Current therapeutics for PD focus on increasing levels of dopamine to manage disease symptoms. For example, levodopa/l-dopa is converted into dopamine in the brain while mono-amine oxidase-B and catechol-O-methyl transferase inhibitors reduce the breakdown of dopamine. Each therapeutic class has meaningful limitations in efficacy and side-effects.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have identified multiple series of NLRP3 inhibitors that showed potency and selectivity in a range of cellular assays in different immortalized cell lines and primary immune cells including microglia. These molecules have also demonstrated target engagement and pharmacodynamic activity in relevant animal models for the proposed mechanism.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NMRA-NLRP3 program is in the preclinical phase of development. In addition, we are conducting experiments to analyze PD multi-modal patient data using our proprietary toolbox of data science algorithms to determine whether there are sub-groups of PD patients which could be more responsive to NMRA-NLRP3.</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NMRA-GCase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NMRA-GCase is an activator program focused on elevating the activity of the enzyme glucocerebrocidase (GCase) that we are developing for the treatment of PD. Mutations in the GBA1 gene, which codes for the enzyme GCase, are the single largest genetic risk factor for PD. GCase deficiencies lead to storage disorders of the lysosome, which plays an important role in maintaining cellular balance, and a group of patients with PD have lysosomal dysfunction. Our NMRA-GCase program is in the preclinical phase of development. We exclusively licensed certain intellectual property rights related to NMRA-GCase from Amgen.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enzyme GCase belongs to a family of proteins known as “lysosomal glycoside hydrolases” that are located within the lysosomal compartments of cells and cause the cleavage of complex molecules containing sugar. The GBA gene encodes GCase and homozygous or compound heterozygous mutation carriers in GBA are associated with Gaucher’s disease, a lysosomal storage disorder. Mutations in the GBA gene are associated with PD (approximately 10% of PD patients). Functional GCase is crucial for the recycling and disposal of proteins and lipids in the lysosome. Numerous scientific studies have demonstrated that GCase mutations trigger lysosomal dysfunction, cell toxicity, inflammation and the accumulation of alpha-synuclein (a hallmark of PD), which is toxic to neurons.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PD is a neurodegenerative disorder resulting in progressive and debilitating motor symptoms, such as hypokinesia, or decreased body movement, and bradykinesia, or rigidity, tremor, and postural instability. PD patients lose dopamine-producing neurons in the substantia nigra, the region of the brain responsible for motor control. Approximately one million people in the United States have PD.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have identified multiple small molecule series through a high-throughput screen as GCase activators. Our series activates both wild type and mutant forms of the enzyme with similar potency, and we have biophysical data that they bind directly to the target not acting in an indirect fashion.</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NMRA-GCase program is in the preclinical stage of development.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Our success depends in large part upon our ability to obtain and maintain proprietary protection for our products and technologies and to operate without infringing the proprietary rights of others. Our policy is to protect our proprietary position by, among other methods, filing U.S. and foreign patent applications that relate to our proprietary technologies, inventions and improvements that are important to the development and implementation of our business. We also rely on trademarks, trade secrets, know-how and continuing technological innovation.</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patent portfolio includes three primary types of patents and patent applications: (i) molecule patents that cover composition of matter and methods of treatment; (ii) patents directed to our precision neuroscience approach that covers key artificial intelligence algorithms and machine learning-based processes for identifying and monitoring targeted patient populations; and (iii) biomarker patents that cover methods of diagnosing and treating patients, with our molecules. As of June 30, 2023, we own, co-own, or have an exclusive license to over 280 patents and pending applications in the United States and foreign jurisdictions. These include 29 issued U.S. patents and 110 issued foreign patents.</w:t>
      </w:r>
    </w:p>
    <w:p>
      <w:pPr>
        <w:spacing w:after="0" w:line="17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term of any individual issued patent depends upon the legal term of the patent in the country in which it is obtained. In most countries that we file, the patent term is 20 years from the earliest date of filing a nonprovisional patent application related to the issued patent. However, the actual protection afforded by an issued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A U.S. patent also may be accorded patent term adjustment, or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Molecule Patent Portfolio</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As of June 30, 2023, our molecule patents include over 230 owned and exclusively licensed patents and patent applications, of which 22 are issued U.S. patents and 106 are issued foreign patents. A further breakdown of our material molecule patents and applications as of June 30, 2023 is below:</w:t>
      </w:r>
    </w:p>
    <w:p>
      <w:pPr>
        <w:spacing w:after="0" w:line="85" w:lineRule="exact"/>
        <w:rPr>
          <w:sz w:val="20"/>
          <w:szCs w:val="20"/>
          <w:color w:val="auto"/>
        </w:rPr>
      </w:pPr>
    </w:p>
    <w:p>
      <w:pPr>
        <w:ind w:left="1080" w:right="40" w:hanging="532"/>
        <w:spacing w:after="0" w:line="271"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Navacaprant (NMRA-140): </w:t>
      </w:r>
      <w:r>
        <w:rPr>
          <w:rFonts w:ascii="Arial" w:cs="Arial" w:eastAsia="Arial" w:hAnsi="Arial"/>
          <w:sz w:val="17"/>
          <w:szCs w:val="17"/>
          <w:color w:val="auto"/>
        </w:rPr>
        <w:t>We own, co-own or exclusively license two patent families that include four issued U.S. patents, 38 issued</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patents and additional pending U.S. and foreign patent applications related to navacaprant. These patents and applications cover composition of matter. We have an exclusive license from TSRI to one of the patent families, which includes two issued U.S. patents that are expected to expire in 2033 excluding any patent term adjustment or patent term extension. We co-own the other patent family with The Scripps Research Institute (TSRI). This family has two patents granted in the United States, and additional patents granted in Europe, Hong Kong, Australia, Mexico, Singapore, India, Israel, Japan, Eurasia and South Africa. Additional patent applications in this family are pending in China, Canada, Brazil and Korea. The last issued patent from these families licensed to us from TSRI is expected to expire in 2038 excluding any patent term adjustment or patent term extension. We anticipate that we will apply for any available patent term extension to the family with base expiration in 2038.</w:t>
      </w:r>
    </w:p>
    <w:p>
      <w:pPr>
        <w:spacing w:after="0" w:line="79" w:lineRule="exact"/>
        <w:rPr>
          <w:rFonts w:ascii="Arial" w:cs="Arial" w:eastAsia="Arial" w:hAnsi="Arial"/>
          <w:sz w:val="17"/>
          <w:szCs w:val="17"/>
          <w:color w:val="auto"/>
        </w:rPr>
      </w:pPr>
    </w:p>
    <w:p>
      <w:pPr>
        <w:ind w:left="1080" w:right="340" w:hanging="532"/>
        <w:spacing w:after="0" w:line="261"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NMRA-511: </w:t>
      </w:r>
      <w:r>
        <w:rPr>
          <w:rFonts w:ascii="Arial" w:cs="Arial" w:eastAsia="Arial" w:hAnsi="Arial"/>
          <w:sz w:val="18"/>
          <w:szCs w:val="18"/>
          <w:color w:val="auto"/>
        </w:rPr>
        <w:t>We own one issued U.S. patent and 15 additional patents and pending U.S. and foreign patent applications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NMRA-511. These patents and applications cover composition of matter. This family has one patent granted in the United States, and additional patents granted in Singapore, Europe, Israel, and China. Additional patent applications in this family are pending in Europe, Japan,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Hong Kong, Canada, Australia, Mexico, India, Korea, New Zealand and South Africa. The issued U.S. patents and future patents that issue are expected to expire in 2038 excluding any patent term adjustment or patent term extension.</w:t>
      </w:r>
    </w:p>
    <w:p>
      <w:pPr>
        <w:spacing w:after="0" w:line="72" w:lineRule="exact"/>
        <w:rPr>
          <w:sz w:val="20"/>
          <w:szCs w:val="20"/>
          <w:color w:val="auto"/>
        </w:rPr>
      </w:pPr>
    </w:p>
    <w:p>
      <w:pPr>
        <w:ind w:left="1080" w:hanging="532"/>
        <w:spacing w:after="0" w:line="261"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NMRA-266: </w:t>
      </w:r>
      <w:r>
        <w:rPr>
          <w:rFonts w:ascii="Arial" w:cs="Arial" w:eastAsia="Arial" w:hAnsi="Arial"/>
          <w:sz w:val="18"/>
          <w:szCs w:val="18"/>
          <w:color w:val="auto"/>
        </w:rPr>
        <w:t>We exclusively license several patent families that include 15 issued U.S. patents, 59 issued foreign patents and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pending U.S. and foreign patent applications related to our M4R program from Vanderbilt. These patents and applications cover composition of matter. The last patent expiration date for the issued patents and patents expected to issue that are exclusively licensed from Vanderbilt that cover NMRA-266 is 2041.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Precision Toolbox Patent Portfolio</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Precision Toolbox is covered by process patents and patent applications relating to multimodal methods of identifying and monitoring targeted patient populations. The process patents and patent applications are directed to (i) the use of tools to detect and capture data from patients using specific modalities, unimodal processing and/or diagnostic techniques for specific modality types; and (ii) multimodal machine learning and AI-based processes for combining different types of data to identify and monitor targeted patient populations. Our Precision Toolbox patent portfolio includes several patent families, comprising five issued U.S. patents, four issued foreign patents and additional pending U.S. and foreign patent applications. The issued U.S. and foreign patent and future patents that issue from these families are expected to expire between 2038 and 2044, excluding any patent term adjustment.</w:t>
      </w:r>
    </w:p>
    <w:p>
      <w:pPr>
        <w:spacing w:after="0" w:line="195"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Precision Toolbox patent portfolio also includes coverage for multimodal processes that span various modalities including genetic, transcriptomic, proteomic, in vitro cell, MRI, EEG, voice, facial, behavioral, clinical and others. The toolbox patents include seven issued U.S. patents, and additional patents and patent applications pending in the United States, Europe, Canada, Japan and China.</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Biomarker Patent Portfolio</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Precision Toolbox is also covered by biomarker patents and applications directed to unimodal and multimodal biomarkers that identify patients that respond to specific drugs. These biomarker patents are process patents for identifying and diagnosing patients with selected biomarkers, and methods of treating patients with those biomarkers with neural drugs. We own six pending patent applications relating to biomarkers that are pending in the United States, Europe, Japan and China. Generally speaking, those selected biomarkers include genetic, proteomic, task-based, clinical assessment-based, and others.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to our reliance on patent protection for our inventions, product candidates and precision neuroscience approach, we also rely on trade secrets, know-how, confidentiality agreements and continuing technological innovation to develop and maintain our competitive position. For example, some elements of manufacturing processes, proprietary assays, analytics techniques and processes, knowledge gained through clinical experience such as approaches to dosing and administration and management of patients, as well as related processes and software, are based on unpatented trade secrets and know-how that are not publicly disclosed.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of being used in our current or planned business or research and development are our exclusive property. In addition, we take other appropriate precautions, such as physical and technological security measures, to guard against misappropriation of our proprietary technologies by third parties.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also protect our brands through the procurement of trademark rights and have a portfolio of registered and pending trademark applications in the United States and abroad. As of June 30, 2023, the portfolio includes trademark applications for the mark NEUMORA, that are pending in the United States, Europe, United Kingdom, Canada, China, Mexico, Israel, Brazil, South Korea and International Applications filed under the Madrid Protocol. Trademark applications for NEUMORA have been registered in Australia, Europe, India, Israel, Japan and the United Kingdom. Trademark applications for DATA BIOPSY have registered in Australia, Brazil, Europe, Japan, Mexico, South Korea and the United Kingdom. Trademark applications for PRECISION PHENOTYPE have registered in Brazil, Europe, Mexico and the United Kingdom.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In-Licensing and Collaboration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Exclusive License Agreements with Amgen for CK1</w:t>
      </w:r>
      <w:r>
        <w:rPr>
          <w:rFonts w:ascii="Arial" w:cs="Arial" w:eastAsia="Arial" w:hAnsi="Arial"/>
          <w:sz w:val="18"/>
          <w:szCs w:val="18"/>
          <w:color w:val="auto"/>
        </w:rPr>
        <w:t>d</w:t>
      </w:r>
      <w:r>
        <w:rPr>
          <w:rFonts w:ascii="Arial" w:cs="Arial" w:eastAsia="Arial" w:hAnsi="Arial"/>
          <w:sz w:val="18"/>
          <w:szCs w:val="18"/>
          <w:i w:val="1"/>
          <w:iCs w:val="1"/>
          <w:color w:val="auto"/>
        </w:rPr>
        <w:t xml:space="preserve"> and GCase</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September 2021, we entered into two exclusive license agreements with Amgen (the Amgen Licenses) with one of the agreements covering development of products directed to casein kinase 1 delta (the CK1d License) and the other covering development of products directed to ß-Glucocerebrosidase (the GCase License).</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Under each Amgen License, Amgen granted to us a worldwide, exclusive, sublicensable license under certain of its patents and know-how to research, develop, manufacture, use and commercialize specified products containing compounds that, with respect to the CK1d License, are directed to CK1d, including compounds developed by us prior to the effective date of the CK1d License, and with respect to the GCase License, are directed to GCase, collectively referred to as the licensed products, for any and all uses. We have filed one patent application directed to CK1d. The license grants are subject to Amgen’s right to use the licensed patents and know-how solely for internal research use. Until a specified period of time following the achievement of the first successful Phase 2 clinical trial for any licensed product, if we choose to sell, transfer, sublicense or divest rights to a licensed product in certain major markets, Amgen has a time-limited, exclusive right of first negotiation to enter into an agreement with us for such rights. Amgen also agreed to transfer to us certain licensed materials and licensed know-how relating to the licensed products.</w:t>
      </w:r>
    </w:p>
    <w:p>
      <w:pPr>
        <w:spacing w:after="0" w:line="16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Under each Amgen License, we are solely responsible for the research, development, manufacturing and commercialization of the licensed products. We are obligated to use commercially reasonable efforts to develop, manufacture, obtain regulatory approval, and commercialize at least one licensed product under each Amgen License. Under each Amgen License, we also agreed, until a specified period of time following the first commercial sale of the first licensed product in the United States, not to clinically develop, commercialize, or manufacture any compounds or products, other than the licensed products, that are directed to CK1d or GCase, unless we treat them as licensed products that are subject to diligence, milestone and royalty obligations under the Amgen Licenses. If we choose not to treat such compounds or products obtained through a transaction with a third party as a licensed product, then we are obligated to divest or terminate the program for such compounds or products.</w:t>
      </w:r>
    </w:p>
    <w:p>
      <w:pPr>
        <w:spacing w:after="0" w:line="1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Amgen Licenses, we agreed to pay Amgen contingent consideration payable in cash up to an aggregate of $360.0 million in commercial milestone payments upon the achievement of certain sales thresholds per licensed product under the CK1d License and up to an aggregate</w:t>
      </w:r>
    </w:p>
    <w:p>
      <w:pPr>
        <w:ind w:left="120"/>
        <w:spacing w:after="0" w:line="288" w:lineRule="auto"/>
        <w:rPr>
          <w:sz w:val="20"/>
          <w:szCs w:val="20"/>
          <w:color w:val="auto"/>
        </w:rPr>
      </w:pPr>
      <w:r>
        <w:rPr>
          <w:rFonts w:ascii="Arial" w:cs="Arial" w:eastAsia="Arial" w:hAnsi="Arial"/>
          <w:sz w:val="16"/>
          <w:szCs w:val="16"/>
          <w:color w:val="auto"/>
        </w:rPr>
        <w:t>$360.0 million in commercial milestone payments upon the achievement of certain sales thresholds per licensed product under the GCase License. We also agreed to pay tiered royalties at percentages ranging from the low to high-single-digits on annual worldwide net sales of licensed products under the CK1d License, and royalties at a low-single-digit percentage on annual worldwide net sales of licensed products under the GCase License, payable on a licensed product-by-licensed product and country-by-country basis until the later of the expiration of the last to expire licensed patent or Neumora patent claiming the composition of matter of such licensed product and the tenth anniversary of the first commercial sale of such licensed product in such country. Under each Amgen License, the royalty payments are subject to reductions on a country-by-country basis for lack of patent coverage, generic entry and payment obligations for third-party licenses. Additionally, under each of the Amgen Licenses, if we enter into a sublicense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agreement prior to the second anniversary of the effective date of the Amgen Licenses, then we are also obligated to pay Amgen a low-double-digit percentage of sublicense income we receive for the CK1d and/or GCase programs. As of June 30, 2023, none of the milestones pursuant to the Amgen Licenses have been achieved and no amounts were recognized related to the contingent consideration milestones.</w:t>
      </w:r>
    </w:p>
    <w:p>
      <w:pPr>
        <w:spacing w:after="0" w:line="16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Each of the Amgen Licenses continues in force until the expiration of all royalty payment obligations to Amgen unless terminated earlier. We may terminate either Amgen License at-will with 30 days’ prior written notice to Amgen at any time prior to the initiation of clinical development for any licensed product or 120 days’ prior written notice to Amgen at any time thereafter. Either party may terminate either Amgen License upon written notice for the other party’s material breach that remains uncured for ninety days (or for one year if an approved plan to remedy such breach is being diligently pursued) or upon the other party’s bankruptcy or insolvency. Amgen may also terminate either Amgen License upon written notice if we breach our obligations to not clinically develop, commercialize or manufacture compounds or products directed to CK1d or GCase, other than licensed products, unless we treat them as licensed products or divest or terminate the program(s) for such compounds or products.</w:t>
      </w:r>
    </w:p>
    <w:p>
      <w:pPr>
        <w:spacing w:after="0" w:line="16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Upon termination of either of the Amgen Licenses, all rights and licenses granted by Amgen to us under that license will terminate, except that, under the CK1d License, we will retain rights to the compounds directed to CK1d that were developed by us prior to the effective date of the CK1d License. In addition, with respect to all other licensed products, at Amgen’s election and in return for tiered royalties at percentages ranging from the low to mid-single-digits on annual worldwide net sales under the CK1d License, and royalties at a low-single-digit percentage on annual worldwide net sales under the GCase License, we will grant to Amgen an automatic, worldwide, perpetual, sublicensable, irrevocable and exclusive license to exploit such licensed products, under all patent rights and know-how controlled by us that cover such licensed products and are necessary to exploit any such licensed product as it exists as of the termination date.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Collaboration Agreement with Amgen</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September 2021, we entered into a research collaboration and license agreement with Amgen to discover drug targets, biomarkers and other insights associated with CNS diseases that are generated by Amgen’s deCODE genetics and human data research capabilities. The term of the Amgen Collaboration Agreement is five years. In return for Amgen performing research and development activities under the Amgen Collaboration Agreement, we are committed to making non-refundable, non-creditable quarterly payments to Amgen over the first two years totaling $50.0 million and for the third year between $12.5 million and $25.0 million depending on whether certain progress milestones are achieved. These payments are due on a quarterly basis. We have made seven quarterly payments to Amgen in an amount of $6.3 million each as of June 30, 2023. The eighth quarterly payment of $6.3 million became due as of June 30, 2023. We will try to mutually agree on the compensation structure for the fourth and fifth years of the Amgen Collaboration Agreement. The Amgen Collaboration Agreement did not require the payment of upfront fees.</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collaboration is governed by a joint research committee comprised of an equal number of representatives from us and from Amgen. Under the Amgen Collaboration Agreement, each party will solely own the patents and know-how it solely generates in the performance of the collaboration activities and the parties will jointly own all patents and know-how they jointly generate in the performance of the collaboration activities. Amgen has granted to us an exclusive, worldwide, sublicensable, fully paid-up, royalty-free license under Amgen’s rights in and to the patents and know-how generated in the performance of the collaboration activities that are controlled by Amgen, to exploit therapeutic compounds and diagnostics for use with therapeutics to treat, ameliorate or prevent diseases with effects that manifest primarily in the CNS (the collaboration defined CNS Field). We have granted to Amgen an exclusive, worldwide, sublicensable, fully paid-up, royalty-free license under our rights in and to the patents and know-how generated in the performance of the collaboration activities that are controlled by us, to exploit therapeutic compounds and diagnostics for use with therapeutics outside of the CNS Field.</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also granted to Amgen an exclusive option to negotiate, and the right of first negotiation, to obtain exclusive, worldwide licenses to research, develop, commercialize and otherwise exploit up to two therapeutic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products arising from the collaboration, which is exercisable on a product-by-product basis until a specified period of time following the achievement of the first successful Phase 2 clinical trial for such product.</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Either party may terminate the Amgen Collaboration Agreement upon material breach of the other party that is not cured within 90 days after written notice is given or for the other party’s insolvency or bankruptcy. In addition, the Amgen Collaboration Agreement terminates automatically on the third anniversary of the effective date if the parties are unable to agree on the compensation structure for the fourth and fifth years of the agreement.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part of the agreements, we issued to Amgen 20.0 million shares of our Series A-2 Preferred Stock. Additionally, Amgen purchased</w:t>
      </w:r>
    </w:p>
    <w:p>
      <w:pPr>
        <w:spacing w:after="0" w:line="3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12.7 million shares of our Series A-2 Preferred Stock at a purchase price of $7.85 per share, for total consideration of $100.0 million. Subject to certain conditions, Amgen is also obligated to provide us additional financing of up to $100.0 million. This obligation will terminate upon the completion of this offering.</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2015 TSRI License Agreement</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the acquisition of BlackThorn in September 2020, we gained rights to a license agreement between BlackThorn and TSRI entered into in November 2015, as amended in November 2017 and April 2019 (2015 TSRI License Agreement). Pursuant to the 2015 TSRI License Agreement, TSRI granted us a worldwide, exclusive license under certain patent rights and a worldwide, non-exclusive license under certain know-how relating to TSRI’s Kappa Opioid Receptor (KOR or navacaprant), V1aR Receptor (V1aR or NMRA-511) Antagonist and oxytocin receptors (OTR) positive allosteric modulator programs (collectively, the TSRI Programs), in each case that is sublicensable under certain conditions, to use, manufacture and commercialize products (i) that are covered by the relevant licensed patents, (ii) that involve the use or incorporation of the licensed know-how or</w:t>
      </w:r>
    </w:p>
    <w:p>
      <w:pPr>
        <w:spacing w:after="0" w:line="4" w:lineRule="exact"/>
        <w:rPr>
          <w:sz w:val="20"/>
          <w:szCs w:val="20"/>
          <w:color w:val="auto"/>
        </w:rPr>
      </w:pPr>
    </w:p>
    <w:p>
      <w:pPr>
        <w:ind w:left="120" w:right="80" w:hanging="4"/>
        <w:spacing w:after="0" w:line="271" w:lineRule="auto"/>
        <w:tabs>
          <w:tab w:leader="none" w:pos="43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that are KOR, V1aR or OTR modulators discovered by BlackThorn within two years of the effective date of the 2015 TSRI License Agreement for the diagnostic, prophylactic and/or therapeutic treatment of humans and animals. The last patent expiration date for the patents licensed pursuant to the TSRI 2015 License Agreement is 2038, excluding any patent term adjustment or patent term extension. The licensed patent rights are subject to TSRI’s right to use the licensed patents for internal research and educational purposes and to grant non-exclusive licenses to other non-profit or academic institutions to use the licensed patent rights for internal research and educational purposes.</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are subject to certain research and development milestone timeline obligations and have agreed to use commercially reasonable efforts to obtain regulatory approvals and to commercialize the licensed products.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Under the 2015 TSRI License Agreement, BlackThorn issued TSRI shares of its capital stock representing one percent of all outstanding shares of its capital stock calculated on a fully diluted basis. We paid a change of control success fee to TSRI in shares of our Series A-1 convertible preferred stock with a fair value of $0.3 million. Beyond the payment of this change in control success fee, as of June 30, 2023, no contingent consideration related to the milestones, royalty or other payments have been made to TSRI pursuant to the TSRI 2015 License Agreement.</w:t>
      </w:r>
    </w:p>
    <w:p>
      <w:pPr>
        <w:spacing w:after="0" w:line="157" w:lineRule="exact"/>
        <w:rPr>
          <w:sz w:val="20"/>
          <w:szCs w:val="20"/>
          <w:color w:val="auto"/>
        </w:rPr>
      </w:pPr>
    </w:p>
    <w:p>
      <w:pPr>
        <w:ind w:left="120" w:right="520" w:firstLine="440"/>
        <w:spacing w:after="0" w:line="291" w:lineRule="auto"/>
        <w:rPr>
          <w:sz w:val="20"/>
          <w:szCs w:val="20"/>
          <w:color w:val="auto"/>
        </w:rPr>
      </w:pPr>
      <w:r>
        <w:rPr>
          <w:rFonts w:ascii="Arial" w:cs="Arial" w:eastAsia="Arial" w:hAnsi="Arial"/>
          <w:sz w:val="16"/>
          <w:szCs w:val="16"/>
          <w:color w:val="auto"/>
        </w:rPr>
        <w:t>We are obligated to pay TSRI a specified nominal annual license fee that is creditable against any royalties due for that calendar year. Upon achieving specified development and regulatory milestone events, we are obligated to pay TSRI milestone payments in the aggregate of up to</w:t>
      </w:r>
    </w:p>
    <w:p>
      <w:pPr>
        <w:ind w:left="120" w:right="40"/>
        <w:spacing w:after="0" w:line="271" w:lineRule="auto"/>
        <w:rPr>
          <w:sz w:val="20"/>
          <w:szCs w:val="20"/>
          <w:color w:val="auto"/>
        </w:rPr>
      </w:pPr>
      <w:r>
        <w:rPr>
          <w:rFonts w:ascii="Arial" w:cs="Arial" w:eastAsia="Arial" w:hAnsi="Arial"/>
          <w:sz w:val="17"/>
          <w:szCs w:val="17"/>
          <w:color w:val="auto"/>
        </w:rPr>
        <w:t>$1.5 million for each TSRI Program and upon achieving specified commercial milestone events, we are obligated to pay TSRI milestone payments in the aggregate of up to $3.5 million for each occurrence. We are also obligated to pay TSRI a percentage ranging from the mid-single digits to sub-teen double digits of any sublicensing revenues we receive from a sublicensee. We also agreed to pay TSRI, on a product-by-product and country-by-country basis, royalties in the low-single digit percentages on worldwide net sales of products, which are either tiered or not tiered depending on the category of product, until the later of the expiration of the last to expire licensed patent in the world and the tenth</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anniversary of the first commercial sale of such licensed product in such country, subject to certain reductions for generic entry, lack of patent coverage and payment obligations for third-party licenses.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2015 TSRI License Agreement continues in force until the expiration of all royalty payment obligations to TSRI. We may terminate the 2015 TSRI License Agreement for any reason upon 90 days’ prior written notice to TSRI. TSRI may immediately terminate the 2015 TSRI License Agreement if we fail to make a payment and do not cure within 20 days after written notice from TSRI, default on our indemnification or insurance obligations, become insolvent or bankrupt, are convicted of a felony relating to the development, manufacture, or commercialization of the licensed products, underpay by a certain percentage within any specified period of time, or default in the performance of any of our other obligations and fail to remedy the default within 60 days after written notice from TSRI. In the event we do not use commercially reasonable efforts to achieve the research and development milestones within the agreed upon time period and do not either meet the milestone or make substantial progress towards achieving the goals of the applicable research and development plan for such Program, in each case, within a specified cure period, TSRI has the right, based on the decision of an arbitrator, to either terminate the 2015 TSRI License Agreement with respect to a particular Program or terminate the 2015 TSRI License Agreement in its entirety. Upon any termination, all rights and licenses granted by TSRI to us will terminate. We also agreed to grant to TSRI, in return for royalties at a low-single-digit percentage of TSRI’s net sales of licensed products, an irrevocable, exclusive, worldwide, perpetual, sublicensable license to data, information, or other materials exclusively controlled by us that directly relate to the licensed products, to research, develop, manufacture and commercialize the licensed products for the diagnostic, prophylactic and/or therapeutic treatment of humans and animals.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Vanderbilt License Agreement</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Pursuant to the Vanderbilt License Agreement, we obtained an exclusive, worldwide, royalty-bearing, sublicensable (subject to certain restrictions) license under certain patent rights and a non-exclusive, worldwide, royalty-bearing, sub-licensable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all uses. We also have an exclusive option, exercisable for a specified period of time, to obtain an exclusive license to certain patent rights conceived or developed by Vanderbilt in the course of carrying out the sponsored research pursuant to a sponsored research agreement between us and Vanderbilt. The last patent expiration date for the licensed patents that are issued or expected to issue, from currently pending or provisional applications, pursuant to the Vanderbilt License Agreement is 2041, excluding any patent term adjustment or patent term extension. The licensed patent rights are subject to Vanderbilt’s right to use the patent rights for research, internal non-commercial use and educational purposes.</w:t>
      </w:r>
    </w:p>
    <w:p>
      <w:pPr>
        <w:spacing w:after="0" w:line="16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have agreed to use commercially reasonable efforts to develop and commercialize licensed products, and to achieve certain development milestones, the first within a specified period following the effective date and the other on or before June 2024. Failure to meet our obligations in accordance with the Vanderbilt License Agreement to achieve such milestones may constitute a material breach of contract that entitles Vanderbilt to terminate the Vanderbilt License Agreement.</w:t>
      </w:r>
    </w:p>
    <w:p>
      <w:pPr>
        <w:spacing w:after="0" w:line="1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Under the Vanderbilt License Agreement, we paid an upfront fee of $13.0 million. We are also obligated to pay Vanderbilt tiered royalties at mid-single-digit percentages on net sales of royalty-bearing products, which are payable on a country-by-country and product-by-product basis until the later of expiration of the last to expire valid claim covering composition of matter in the licensed patents and the tenth anniversary of the first commercial sale of such product in such country. Under the Vanderbilt License Agreement, the royalty payments are subject to reductions on a country-by-country basis for the lack of patent coverage, generic entry and payment obligations for third-party licenses. In addition, we are obligated to pay Vanderbilt a low-double- digit percentage of sublicense income we receive for sublicenses entered into before the achievement of a specified event. We also agreed to pay Vanderbilt payments of up to $42.4 million upon achievement of specified development milestone events for NMRA-266, up to $42.0 million upon achievement of specified development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milestone events for products other than NMRA-266, and up to $380.0 million upon achievement of specified commercial milestone events, but in no event will our total milestone payments to Vanderbilt exceed $422.4 million. As of June 30, 2023, no milestone, royalty or other payment (other than the upfront payment described above) has become payable to Vanderbilt pursuant to the Vanderbilt License Agreement.</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Vanderbilt License Agreement will remain in force, on a country-by-country basis, until the expiration of all royalty payment obligations to Vanderbilt in such country. If we bring a patent challenge against any licensed patents, in addition to paying certain costs associated with the proceeding, Vanderbilt may convert the exclusive licenses to non-exclusive licenses or terminate the Vanderbilt License Agreement. If the licensed patents survive the patent challenge, all payments under the agreement will be increased by a specified amount. We have the right to terminate the Vanderbilt License Agreement at any time by providing Vanderbilt with 90 days’ prior notice. Vanderbilt has the right to terminate the Vanderbilt License Agreement if we file for bankruptcy. The Vanderbilt License Agreement will automatically terminate if our insurance coverage lapses and is not cured within 90 days. Vanderbilt also has the right to terminate if we fail to make payments, breach our diligence obligations or breach any other material term upon 60 days prior notice.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A new drug must be approved by the FDA through the New Drug Application (NDA) process before it may be legally marketed in the United States.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93" w:lineRule="exact"/>
        <w:rPr>
          <w:sz w:val="20"/>
          <w:szCs w:val="20"/>
          <w:color w:val="auto"/>
        </w:rPr>
      </w:pPr>
    </w:p>
    <w:p>
      <w:pPr>
        <w:ind w:left="1080" w:right="38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(GLP) requirements and other applicable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(IRB) or ethics committee at each clinical site before each trial may be initiated;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(GCPs) to establish the safety and efficacy of the proposed drug for its intended use;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after completion of all pivotal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identity, strength, quality and purity, and a potential inspection of selected clinical investigation sites to assess compliance with GCPs; and</w:t>
      </w:r>
    </w:p>
    <w:p>
      <w:pPr>
        <w:spacing w:after="0" w:line="154" w:lineRule="exact"/>
        <w:rPr>
          <w:sz w:val="20"/>
          <w:szCs w:val="20"/>
          <w:color w:val="auto"/>
        </w:rPr>
      </w:pPr>
    </w:p>
    <w:p>
      <w:pPr>
        <w:ind w:left="1080" w:right="48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Once a product candidate is identified for development, it enters the preclinical development stage. The preclinical developmental stage generally involves laboratory evaluations of chemistry, formulation and stability, as well as studies to evaluate the product candidate’s toxicity in animals, in an effort to support subsequent clinical testing. The conduct of preclinical studies is subject to federal regulations and requirements, including GLP regulations for certain studies.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Prior to beginning the first clinical trial with a product candidate in the United States, the trial sponsor must submit the results of preclinical testing, together with manufacturing information and analytical data, to the FDA as part of, an IND. An IND is a request for authorization from the FDA to administer an investigational drug product to humans. The central focus of an IND submission is on the general investigational plan and the protocol(s) for clinical studies. The IND also includes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candidate, chemistry, manufacturing and controls information, and any available human data or literature to support the use of the product candidate. An IND must become effective before human clinical trials may begin. The IND automatically becomes effective 30 days after receipt by the FDA, unless the FDA, within the 30-day time period, places the IND on clinical hold. In such case, the IND sponsor and the FDA must resolve any outstanding concerns or questions before the clinical trial can begin. Submission of an IND therefore may or may not result in FDA authorization to begin a clinical trial.</w:t>
      </w:r>
    </w:p>
    <w:p>
      <w:pPr>
        <w:spacing w:after="0" w:line="18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generally physicians not employed by or under the trial sponsor’s control, in accordance with GCPs, which include the requirement that all research subjects provide their informed consent in writing for their participation in any clinical trial. Clinical trials must be conducted under protocols detailing, among other things,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Furthermore, an independent IRB at each institution participating in the clinical trial must review and approve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Regulatory authorities, the IRB or the sponsor may suspend a clinical trial at any time on various grounds, including a finding that the subjects are being exposed to an unacceptable health risk or that the trial is unlikely to meet its stated objectives. In addition, some studies also include oversight by an independent group of qualified experts organized by the clinical trial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trial results to public registries, including clinicaltrials.gov.</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80" w:right="160" w:hanging="532"/>
        <w:spacing w:after="0" w:line="31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Phase 1: The product candidate is initially introduced into healthy human subjects or patients with the target disease or condition. These studies are designed to test the safety, dosage tolerance, absorption, metabolism, excretion, and distribution of the investigational product in humans, the side effects associated with increasing doses, and, if possible, to gain early evidence on its effectiveness.</w:t>
      </w:r>
    </w:p>
    <w:p>
      <w:pPr>
        <w:spacing w:after="0" w:line="54" w:lineRule="exact"/>
        <w:rPr>
          <w:rFonts w:ascii="Arial" w:cs="Arial" w:eastAsia="Arial" w:hAnsi="Arial"/>
          <w:sz w:val="16"/>
          <w:szCs w:val="16"/>
          <w:color w:val="auto"/>
        </w:rPr>
      </w:pPr>
    </w:p>
    <w:p>
      <w:pPr>
        <w:ind w:left="1080" w:right="320" w:hanging="532"/>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with a specified disease or condition identify possible adverse side effects and safety risks, to preliminarily evaluate the efficacy of the product candidate for specific targeted diseases and to determine dosage tolerance and appropriate dosage.</w:t>
      </w:r>
    </w:p>
    <w:p>
      <w:pPr>
        <w:spacing w:after="0" w:line="89"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Phase 3: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65"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In some cases, the FDA may require, or sponsors may voluntarily pursue, additional clinical trials after a product is approved to gain more information about the product. These clinical trials, sometimes referred to as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alignment on the next phase of development.</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unless a waiver or exemption applies.</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filing date to complete a standard review of an NDA for a drug that is a new molecular entity. This review typically takes twelve months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from the date the NDA is submitted to FDA because the FDA has approximately two months to make a “filing” decision after it the application is submitted.</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Additionally, before approving an NDA, the FDA may inspect one or more clinical trial sites to assure compliance with GCPs.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such as an additional clinical trial or other significant and time-consuming requirements related to clinical trials, nonclinical studies or manufacturing. If a CRL is issued, the sponsor must resubmit the NDA or, addressing all of the deficiencies that the FDA has identified in the letter, or withdraw the application. Even if such data and information are submitted, the FDA may decide that the NDA does not satisfy the criteria for approval.</w:t>
      </w:r>
    </w:p>
    <w:p>
      <w:pPr>
        <w:spacing w:after="0" w:line="16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 The FDA may also place other conditions on approval including the requirement for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spacing w:after="0" w:line="18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FDA offers a number of programs intended to expedite the development or review of a marketing application for a drug product. For example, the Fast Track program is intended to expedite or facilitate the process for developing and reviewing product candidates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candidate has opportunities for more frequent interactions with the applicable FDA review team during development and, once an NDA is submitted, the product candidate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4"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Any marketing application for a drug submitted to the FDA for approval, including a product candidate with a Fast Track designation and/or Breakthrough Therapy designation, may be eligible for other types of FDA programs intended to expedite the development and review processes, such as priority review and accelerated approval. An NDA is eligible for priority review if the product candidate is designed to treat a serious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 as compared to ten months for review of new-molecular-entity NDAs under its current PDUFA review goals.</w:t>
      </w:r>
    </w:p>
    <w:p>
      <w:pPr>
        <w:spacing w:after="0" w:line="16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Additionally, product candidates studied for their safety and effectiveness in treating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benefits, taking into account the severity, rarity, or prevalence of the condition and the availability or lack of alternative treatments. As a condition of continued approval, the FDA will generally require the sponsor to perform adequate and well-controlled confirmatory clinical studies to verify and describe the anticipated effect on irreversible morbidity or mortality or other clinical benefits, and may require that such confirmatory trials be underway prior to granting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8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Orphan designation does not convey any advantage in or shorten the duration of the regulatory review and approval process.</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cGMPs and other laws and regulations.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67"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7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Regulatory Requirements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addition to FDA regulation of pharmaceutical products, pharmaceutical companies are also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their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w:t>
      </w:r>
    </w:p>
    <w:p>
      <w:pPr>
        <w:spacing w:after="0" w:line="16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Decreases in third-party reimbursement for any product or a decision by a third-party payor not to cover a product could reduce physician usage and patient demand for the product and also have a material adverse effect on sales.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the United States, there have been, and continue to be, legislative and regulatory changes and proposed changes regarding the healthcare system that could prevent or delay marketing approval of product candidates, restrict or regulate post-approval activities, and affect the profitable sale of product candidates, and similar healthcare laws and regulations exist in the EU and other jurisdictions. Among policy makers and payors in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By way of example, in March 2010, the Patient Protection and Affordable Care Act (the ACA) was passed, which substantially changed the way healthcare is financed by both governmental and private insurers, and significantly affected the pharmaceutical industry. The ACA, among other things,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certain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the CMS to test innovative payment and service delivery models to lower Medicare and Medicaid spending, potentially including prescription drug spending.</w:t>
      </w:r>
    </w:p>
    <w:p>
      <w:pPr>
        <w:spacing w:after="0" w:line="18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Since its enactment, there have been judicial, executive and political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On August 16, 2022, President Biden signed the Inflation Reduction Act of 2022 (the IRA) into law, which, among other things, extends enhanced subsidies for individuals purchasing health insurance coverage in ACA marketplaces through plan year 2025. It is unclear how other healthcare reform measures, if any, will impact our business.</w:t>
      </w:r>
    </w:p>
    <w:p>
      <w:pPr>
        <w:spacing w:after="0" w:line="18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on March 11, 2021, President Biden signed the American Rescue Plan Act of 2021 into law, which eliminates the statutory Medicaid drug rebate cap, currently set at 100% of a drug’s average manufacturer price, beginning January 1, 2024. Further, in August 2011, the Budget Control Act of 2011, among other things, included aggregate reductions to Medicare payments to providers, which went into effect on April 1, 2013 and, due to subsequent legislative amendments to the statute, will remain in effect until 2032,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Moreover, heightened governmental scrutiny is likely to continue over the manner in which manufacturers set prices for their marketed products, which already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Most recently, the IRA marks the most significant action by Congress with respect to the pharmaceutical industry since the adoption of the ACA in 2010.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new discounting program (beginning in 2025). Manufacturers that fail to comply with the IRA may be subject to various penalties, including civil monetary penalties. The IRA permits the Secretary of the Department of Health and Human Services (HHS) to implement many of these provisions through guidance, as opposed to regulation, for the initial years. For that and other reasons, it is currently unclear how the IRA will be effectuated, and while the impact of the IRA on the pharmaceutical industry cannot yet be fully determined, it is likely to be significant.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 The implementation of cost containment measures or other healthcare reforms may prevent us from being able to generate revenue, attain profitability or commercialize our product candidates.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Numerous state, federal and foreign laws, regulations and standards govern the collection, use, access to, confidentiality and security of health-related and other personal information, including clinical trial data,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Further, to the extent we collect personal data from individuals outside of the United States, through clinical trials or otherwise, we could be subject to foreign laws, such as the GDPR, which govern the privacy and security of personal data, including health-related data. Our use of AI/ML may also be subject to evolving laws and regulations, controlling for data bias and anti-discrimination.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Total research and development expenses were $55.8 million and $91.7 million for the years ended December 31, 2021 and 2022, respectively and $45.7 million and $62.3 million for the six months ended June 30, 2022 and 2023,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we may commercialize our product candidates on our own, or potentially with a partner, in the United States and other geographies. We currently have no sales, marketing or commercial product distribution capabilities. We may build the necessary infrastructure and capabilities over time for the United States, and potentially other regions, though like all things we do, we would seek to leverage technology to build these capabilities over time to be significantly more efficient than the industry average. Decisions to create this infrastructure and capability will be made following further advancement of our product candidates and based on our assessment of our ability to build said capabilities and infrastructure with competitive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advantage. Clinical data, the size of the addressable patient population, the size of the commercial infrastructure, manufacturing needs and major trends as to how value is accrued in the industry may all influence or alter our commercialization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do not own or operate any manufacturing facilities. We currently depend on and expect to continue to depend on third-party CMOs for all of our requirements of raw materials, drug substance and drug product for our preclinical research and clinical trials of our product candidates. Certain of these CMOs, including the drug substance supplier for our navacaprant (Almac) and the drug product suppliers for our navacaprant (Almac) and NMRA-511 (Aptuit) programs, are single-source suppliers. None of these single-source suppliers have the ability to terminate these agreements for convenience and there are no minimum purchase commitments. If not extended by us and the counter parties thereto, these supplier agreements terminate in the following years: Almac in October 2023, Aptuit in May 2023 and Piramal in August 2026. We intend to continue to rely on CMOs for later-stage development and commercialization of our product candidates, including any additional product candidates that we may identify. Although we rely on CMOs, we have personnel and third-party consultants with extensive manufacturing experience to oversee the relationships with our contract manufacturers.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Neumora is a clinical-stage biopharmaceutical company founded to confront the global brain disease crisis by taking a fundamentally different approach to the way treatments for brain diseases are developed. Our efforts to date have resulted in a pipeline of seven clinical and preclinical precision neuroscience programs targeting a broad range of underserved neuropsychiatric disorders and neurodegenerative diseases. The foundation of our approach is an integration between our portfolio of therapeutic candidates with novel mechanisms of action and our precision neuroscience approach, supported by our Precision Toolbox of translational neuroscience tools, methods, and data science capabilities. As such, we compete with multiple biopharmaceutical and biotechnology companies that are similarly working to develop therapeutics targeting neuropsychiatric disorders and neurodegenerative diseases. While we believe we have the competitive advantages referred to above, we face competition from major biopharmaceutical and biotechnology companies, academic institutions, governmental agencies, consortiums and public and private research institutions, among others, many of whom have significantly greater resources than us. Notable competitors include traditional biopharmaceutical and biotechnology companies targeting brain diseases such as Cerevel Therapeutics, Sage Therapeutics, Karuna Therapeutics, Prothena, ACADIA Pharmaceuticals, Axsome Therapeutics, Neurocrine Biosciences and Intra-Cellular Therapies.</w:t>
      </w:r>
    </w:p>
    <w:p>
      <w:pPr>
        <w:spacing w:after="0" w:line="18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These competitors have a number of product candidates in development, such as KarXT (xanomeline-trospium), an M1/M4-preferring muscarinic agonist combined with a peripheral muscarinic antagonist, being developed by Karuna Therapeutics, and emraclidine (CVL-231), a M4 receptor positive allosteric modulator, being developed by Cerevel Therapeutics. KarXT’s potentency was demonstrated to be 52nM and the brain:plasma ratio for KarXT was demonstrated to be 1:10. The human half-life for KarXT was demonstrated to be 4 to 5 hours. In addition, the selectivity at other muscarinic receptor subtypes (EC50) for KarXT was demonstrated to be M1 0.3 nM, M2 92.5 and M3 5nM. The bioavailability of KarXT was demonstrated to be &lt;1% due to extensive first pass metabolism and the molecular weight was demonstrated to be 281.4 (xanomeline). Emraclidine’s potency was demonstrated to be 12 nM and the brain:plasma ratio for emraclidine was demonstrated to be 1:1. The human half-life for emraclidine was demonstrated to be 9 to 12 hours. In addition, the selectivity at other muscarinic receptor subtypes (EC50) for emraclidine was demonstrated to be M1 &gt; 10 µM, and M2 5.8 µM. The bioavailability of emraclidine is unknown and the molecular weight was demonstrated to be 390.4.</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Our corporate headquarters are located in Watertown, Massachusetts, where we sublease approximately 30,000 square feet of office and laboratory space pursuant to a sublease agreement which was executed in May 2022 and expires in June 2025.</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March 2021, we entered into a new lease agreement for an office facility in South San Francisco, California. The term of the lease commenced in April 2021 and ends in December 2023.</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believe that our existing facilities are sufficient for our near-term needs but expect to need additional space as we grow. We believe that suitable additional alternative spaces will be available in the future on commercially reasonable terms, if required.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June 30, 2023, we had 110 full-time employees, 70 of whom were primarily engaged in research and development activities. A total of 74 employees held an advanced degree. None of our employees are represented by a labor union or party to a collective bargaining agreement. We consider our relationship with our employees to be good.</w:t>
      </w:r>
    </w:p>
    <w:p>
      <w:pPr>
        <w:spacing w:after="0" w:line="184"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not currently a party to any material legal proceedings. From time to time,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September 8, 2023:</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w w:val="92"/>
              </w:rPr>
              <w:t>Executive Officers and Employee Directors</w:t>
            </w:r>
          </w:p>
        </w:tc>
        <w:tc>
          <w:tcPr>
            <w:tcW w:w="1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540" w:type="dxa"/>
            <w:vAlign w:val="bottom"/>
            <w:gridSpan w:val="3"/>
          </w:tcPr>
          <w:p>
            <w:pPr>
              <w:ind w:left="1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3"/>
          </w:tcPr>
          <w:p>
            <w:pPr>
              <w:spacing w:after="0" w:line="189" w:lineRule="exact"/>
              <w:rPr>
                <w:sz w:val="20"/>
                <w:szCs w:val="20"/>
                <w:color w:val="auto"/>
              </w:rPr>
            </w:pPr>
            <w:r>
              <w:rPr>
                <w:rFonts w:ascii="Arial" w:cs="Arial" w:eastAsia="Arial" w:hAnsi="Arial"/>
                <w:sz w:val="18"/>
                <w:szCs w:val="18"/>
                <w:color w:val="auto"/>
              </w:rPr>
              <w:t>Henry O. Gosebruch</w:t>
            </w:r>
          </w:p>
        </w:tc>
        <w:tc>
          <w:tcPr>
            <w:tcW w:w="1100" w:type="dxa"/>
            <w:vAlign w:val="bottom"/>
            <w:vMerge w:val="continue"/>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6"/>
                <w:szCs w:val="16"/>
                <w:color w:val="auto"/>
              </w:rPr>
            </w:pPr>
          </w:p>
        </w:tc>
        <w:tc>
          <w:tcPr>
            <w:tcW w:w="3420" w:type="dxa"/>
            <w:vAlign w:val="bottom"/>
            <w:gridSpan w:val="2"/>
          </w:tcPr>
          <w:p>
            <w:pPr>
              <w:spacing w:after="0" w:line="189" w:lineRule="exact"/>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Paul L. Berns</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56</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w w:val="95"/>
              </w:rPr>
              <w:t>Daljit (Bill) Singh Aurora, Pharm.D.</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56</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Chief Strategy Officer</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Robert Lenz, M.D., Ph.D.</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53</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Head of Research and Development</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Joshua Pinto, Ph.D.</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39</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660" w:type="dxa"/>
            <w:vAlign w:val="bottom"/>
            <w:gridSpan w:val="3"/>
          </w:tcPr>
          <w:p>
            <w:pPr>
              <w:spacing w:after="0"/>
              <w:rPr>
                <w:sz w:val="20"/>
                <w:szCs w:val="20"/>
                <w:color w:val="auto"/>
              </w:rPr>
            </w:pPr>
            <w:r>
              <w:rPr>
                <w:rFonts w:ascii="Arial" w:cs="Arial" w:eastAsia="Arial" w:hAnsi="Arial"/>
                <w:sz w:val="18"/>
                <w:szCs w:val="18"/>
                <w:color w:val="auto"/>
              </w:rPr>
              <w:t>Carol Suh</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34</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418"/>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Key Employees</w:t>
            </w:r>
          </w:p>
        </w:tc>
        <w:tc>
          <w:tcPr>
            <w:tcW w:w="1700" w:type="dxa"/>
            <w:vAlign w:val="bottom"/>
            <w:gridSpan w:val="2"/>
          </w:tcPr>
          <w:p>
            <w:pPr>
              <w:spacing w:after="0"/>
              <w:rPr>
                <w:sz w:val="24"/>
                <w:szCs w:val="24"/>
                <w:color w:val="auto"/>
              </w:rPr>
            </w:pPr>
          </w:p>
        </w:tc>
        <w:tc>
          <w:tcPr>
            <w:tcW w:w="1640" w:type="dxa"/>
            <w:vAlign w:val="bottom"/>
            <w:gridSpan w:val="2"/>
            <w:vMerge w:val="restart"/>
          </w:tcPr>
          <w:p>
            <w:pPr>
              <w:jc w:val="center"/>
              <w:ind w:left="1010"/>
              <w:spacing w:after="0"/>
              <w:rPr>
                <w:sz w:val="20"/>
                <w:szCs w:val="20"/>
                <w:color w:val="auto"/>
              </w:rPr>
            </w:pPr>
            <w:r>
              <w:rPr>
                <w:rFonts w:ascii="Arial" w:cs="Arial" w:eastAsia="Arial" w:hAnsi="Arial"/>
                <w:sz w:val="18"/>
                <w:szCs w:val="18"/>
                <w:color w:val="auto"/>
                <w:w w:val="89"/>
              </w:rPr>
              <w:t>49</w:t>
            </w:r>
          </w:p>
        </w:tc>
        <w:tc>
          <w:tcPr>
            <w:tcW w:w="3540" w:type="dxa"/>
            <w:vAlign w:val="bottom"/>
            <w:gridSpan w:val="3"/>
            <w:vMerge w:val="restart"/>
          </w:tcPr>
          <w:p>
            <w:pPr>
              <w:ind w:left="120"/>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209"/>
        </w:trPr>
        <w:tc>
          <w:tcPr>
            <w:tcW w:w="2660" w:type="dxa"/>
            <w:vAlign w:val="bottom"/>
            <w:gridSpan w:val="3"/>
          </w:tcPr>
          <w:p>
            <w:pPr>
              <w:spacing w:after="0"/>
              <w:rPr>
                <w:sz w:val="20"/>
                <w:szCs w:val="20"/>
                <w:color w:val="auto"/>
              </w:rPr>
            </w:pPr>
            <w:r>
              <w:rPr>
                <w:rFonts w:ascii="Arial" w:cs="Arial" w:eastAsia="Arial" w:hAnsi="Arial"/>
                <w:sz w:val="18"/>
                <w:szCs w:val="18"/>
                <w:color w:val="auto"/>
              </w:rPr>
              <w:t>Nicholas (Nick) Brandon, Ph.D.</w:t>
            </w:r>
          </w:p>
        </w:tc>
        <w:tc>
          <w:tcPr>
            <w:tcW w:w="1640" w:type="dxa"/>
            <w:vAlign w:val="bottom"/>
            <w:gridSpan w:val="2"/>
            <w:vMerge w:val="continue"/>
          </w:tcPr>
          <w:p>
            <w:pPr>
              <w:spacing w:after="0"/>
              <w:rPr>
                <w:sz w:val="18"/>
                <w:szCs w:val="18"/>
                <w:color w:val="auto"/>
              </w:rPr>
            </w:pPr>
          </w:p>
        </w:tc>
        <w:tc>
          <w:tcPr>
            <w:tcW w:w="35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w w:val="98"/>
              </w:rPr>
              <w:t>Maryjo Chamberlain-Tharp, Ph.D.</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47</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Michael Gold, M.D.</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63</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Lori Houle</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56</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Chief Quality Officer</w:t>
            </w:r>
          </w:p>
        </w:tc>
        <w:tc>
          <w:tcPr>
            <w:tcW w:w="0" w:type="dxa"/>
            <w:vAlign w:val="bottom"/>
          </w:tcPr>
          <w:p>
            <w:pPr>
              <w:spacing w:after="0"/>
              <w:rPr>
                <w:sz w:val="1"/>
                <w:szCs w:val="1"/>
                <w:color w:val="auto"/>
              </w:rPr>
            </w:pPr>
          </w:p>
        </w:tc>
      </w:tr>
      <w:tr>
        <w:trPr>
          <w:trHeight w:val="230"/>
        </w:trPr>
        <w:tc>
          <w:tcPr>
            <w:tcW w:w="2660" w:type="dxa"/>
            <w:vAlign w:val="bottom"/>
            <w:gridSpan w:val="3"/>
          </w:tcPr>
          <w:p>
            <w:pPr>
              <w:spacing w:after="0"/>
              <w:rPr>
                <w:sz w:val="20"/>
                <w:szCs w:val="20"/>
                <w:color w:val="auto"/>
              </w:rPr>
            </w:pPr>
            <w:r>
              <w:rPr>
                <w:rFonts w:ascii="Arial" w:cs="Arial" w:eastAsia="Arial" w:hAnsi="Arial"/>
                <w:sz w:val="18"/>
                <w:szCs w:val="18"/>
                <w:color w:val="auto"/>
              </w:rPr>
              <w:t>Raj Manchanda, Ph.D.</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57</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Chief Technical Operations Officer</w:t>
            </w:r>
          </w:p>
        </w:tc>
        <w:tc>
          <w:tcPr>
            <w:tcW w:w="0" w:type="dxa"/>
            <w:vAlign w:val="bottom"/>
          </w:tcPr>
          <w:p>
            <w:pPr>
              <w:spacing w:after="0"/>
              <w:rPr>
                <w:sz w:val="1"/>
                <w:szCs w:val="1"/>
                <w:color w:val="auto"/>
              </w:rPr>
            </w:pPr>
          </w:p>
        </w:tc>
      </w:tr>
      <w:tr>
        <w:trPr>
          <w:trHeight w:val="418"/>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Non-Employee Directors</w:t>
            </w:r>
          </w:p>
        </w:tc>
        <w:tc>
          <w:tcPr>
            <w:tcW w:w="1640" w:type="dxa"/>
            <w:vAlign w:val="bottom"/>
            <w:gridSpan w:val="2"/>
            <w:vMerge w:val="restart"/>
          </w:tcPr>
          <w:p>
            <w:pPr>
              <w:jc w:val="center"/>
              <w:ind w:left="1010"/>
              <w:spacing w:after="0"/>
              <w:rPr>
                <w:sz w:val="20"/>
                <w:szCs w:val="20"/>
                <w:color w:val="auto"/>
              </w:rPr>
            </w:pPr>
            <w:r>
              <w:rPr>
                <w:rFonts w:ascii="Arial" w:cs="Arial" w:eastAsia="Arial" w:hAnsi="Arial"/>
                <w:sz w:val="18"/>
                <w:szCs w:val="18"/>
                <w:color w:val="auto"/>
                <w:w w:val="89"/>
              </w:rPr>
              <w:t>49</w:t>
            </w:r>
          </w:p>
        </w:tc>
        <w:tc>
          <w:tcPr>
            <w:tcW w:w="35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15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6"/>
                <w:szCs w:val="16"/>
                <w:color w:val="auto"/>
                <w:w w:val="95"/>
              </w:rPr>
              <w:t>Kristina Burow</w:t>
            </w:r>
            <w:r>
              <w:rPr>
                <w:rFonts w:ascii="Arial" w:cs="Arial" w:eastAsia="Arial" w:hAnsi="Arial"/>
                <w:sz w:val="22"/>
                <w:szCs w:val="22"/>
                <w:color w:val="auto"/>
                <w:w w:val="95"/>
                <w:vertAlign w:val="superscript"/>
              </w:rPr>
              <w:t>(1)(2)(3)</w:t>
            </w:r>
          </w:p>
        </w:tc>
        <w:tc>
          <w:tcPr>
            <w:tcW w:w="11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line="216" w:lineRule="exact"/>
              <w:rPr>
                <w:sz w:val="20"/>
                <w:szCs w:val="20"/>
                <w:color w:val="auto"/>
              </w:rPr>
            </w:pPr>
            <w:r>
              <w:rPr>
                <w:rFonts w:ascii="Arial" w:cs="Arial" w:eastAsia="Arial" w:hAnsi="Arial"/>
                <w:sz w:val="17"/>
                <w:szCs w:val="17"/>
                <w:color w:val="auto"/>
              </w:rPr>
              <w:t>Matthew Fust</w:t>
            </w:r>
            <w:r>
              <w:rPr>
                <w:rFonts w:ascii="Arial" w:cs="Arial" w:eastAsia="Arial" w:hAnsi="Arial"/>
                <w:sz w:val="25"/>
                <w:szCs w:val="25"/>
                <w:color w:val="auto"/>
                <w:vertAlign w:val="superscript"/>
              </w:rPr>
              <w:t>(1)(2)</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59</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660" w:type="dxa"/>
            <w:vAlign w:val="bottom"/>
            <w:gridSpan w:val="3"/>
          </w:tcPr>
          <w:p>
            <w:pPr>
              <w:spacing w:after="0" w:line="230" w:lineRule="exact"/>
              <w:rPr>
                <w:sz w:val="20"/>
                <w:szCs w:val="20"/>
                <w:color w:val="auto"/>
              </w:rPr>
            </w:pPr>
            <w:r>
              <w:rPr>
                <w:rFonts w:ascii="Arial" w:cs="Arial" w:eastAsia="Arial" w:hAnsi="Arial"/>
                <w:sz w:val="18"/>
                <w:szCs w:val="18"/>
                <w:color w:val="auto"/>
              </w:rPr>
              <w:t>Alaa Halawa</w:t>
            </w:r>
            <w:r>
              <w:rPr>
                <w:rFonts w:ascii="Arial" w:cs="Arial" w:eastAsia="Arial" w:hAnsi="Arial"/>
                <w:sz w:val="26"/>
                <w:szCs w:val="26"/>
                <w:color w:val="auto"/>
                <w:vertAlign w:val="superscript"/>
              </w:rPr>
              <w:t>(2)(3)</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41</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660" w:type="dxa"/>
            <w:vAlign w:val="bottom"/>
            <w:gridSpan w:val="3"/>
          </w:tcPr>
          <w:p>
            <w:pPr>
              <w:spacing w:after="0" w:line="230" w:lineRule="exact"/>
              <w:rPr>
                <w:sz w:val="20"/>
                <w:szCs w:val="20"/>
                <w:color w:val="auto"/>
              </w:rPr>
            </w:pPr>
            <w:r>
              <w:rPr>
                <w:rFonts w:ascii="Arial" w:cs="Arial" w:eastAsia="Arial" w:hAnsi="Arial"/>
                <w:sz w:val="18"/>
                <w:szCs w:val="18"/>
                <w:color w:val="auto"/>
              </w:rPr>
              <w:t>Maykin Ho, Ph.D.</w:t>
            </w:r>
            <w:r>
              <w:rPr>
                <w:rFonts w:ascii="Arial" w:cs="Arial" w:eastAsia="Arial" w:hAnsi="Arial"/>
                <w:sz w:val="26"/>
                <w:szCs w:val="26"/>
                <w:color w:val="auto"/>
                <w:vertAlign w:val="superscript"/>
              </w:rPr>
              <w:t>(1)(3)</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70</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44"/>
        </w:trPr>
        <w:tc>
          <w:tcPr>
            <w:tcW w:w="2660" w:type="dxa"/>
            <w:vAlign w:val="bottom"/>
            <w:gridSpan w:val="3"/>
          </w:tcPr>
          <w:p>
            <w:pPr>
              <w:spacing w:after="0"/>
              <w:rPr>
                <w:sz w:val="20"/>
                <w:szCs w:val="20"/>
                <w:color w:val="auto"/>
              </w:rPr>
            </w:pPr>
            <w:r>
              <w:rPr>
                <w:rFonts w:ascii="Arial" w:cs="Arial" w:eastAsia="Arial" w:hAnsi="Arial"/>
                <w:sz w:val="18"/>
                <w:szCs w:val="18"/>
                <w:color w:val="auto"/>
              </w:rPr>
              <w:t>David Piacquad</w:t>
            </w:r>
          </w:p>
        </w:tc>
        <w:tc>
          <w:tcPr>
            <w:tcW w:w="16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67</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 and Employee Directors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Henry O. Gosebruch </w:t>
      </w:r>
      <w:r>
        <w:rPr>
          <w:rFonts w:ascii="Arial" w:cs="Arial" w:eastAsia="Arial" w:hAnsi="Arial"/>
          <w:sz w:val="17"/>
          <w:szCs w:val="17"/>
          <w:color w:val="auto"/>
        </w:rPr>
        <w:t>has served as our President, Chief Executive Officer and a member of our board of directors since July 2023. Mr. Gosebruch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also served as a Venture Partner at ARCH Venture Partners, a venture capital firm focused on early stage-technology companies, since June 2023. From December 2015 to February 2023, Mr. Gosebruch served as Executive Vice President and Chief Strategy Officer at AbbVie, a public pharmaceutical company, where he was responsible for AbbVie’s corporate strategy, business development, acquisitions, search and evaluation, alliance management, portfolio analytics and strategic venture capital investments. Prior to that, Mr. Gosebruch worked at the North American M&amp;A Group of J.P. Morgan, a public financial services company, from July 1995 to December 2015, most recently serving as its co-head. Mr. Gosebruch has served on the board of directors of Acelyrin, a public biopharmaceutical company, since March 2023 and Aptinyx, a former public biopharmaceutical company, since May 2019. Mr. Gosebruch holds a B.S.E. in Finance from the Wharton School at the University of Pennsylvania, where he currently serves on the advisory board of the Life Sciences &amp; Management Program, and is a certified public accountant in Illinois. We believe Mr. Gosebruch is qualified to serve on our board of directors because of his extensive experience in the biopharmaceutical sector, mergers and acquisitions, business development and corporate strategy and long-range planning.</w:t>
      </w:r>
    </w:p>
    <w:p>
      <w:pPr>
        <w:spacing w:after="0" w:line="182"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Paul L. Berns </w:t>
      </w:r>
      <w:r>
        <w:rPr>
          <w:rFonts w:ascii="Arial" w:cs="Arial" w:eastAsia="Arial" w:hAnsi="Arial"/>
          <w:sz w:val="16"/>
          <w:szCs w:val="16"/>
          <w:color w:val="auto"/>
        </w:rPr>
        <w:t>is one of our co-founders and has served as our Executive Chairman since July 2023 and has served on our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2020. From November 2019 to July 2023, Mr. Berns served as our Chief Executive Officer and President and from January 2020 to July 2023, he served as the Chairman of our board of directors. Mr. Berns has been a member of ARCH Venture Partners, a venture capital firm focused 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early-stage technology companies, since August 2018 and became a Managing Director in 2021. Mr. Berns was a consultant to the biopharmaceutical industry from July 2016 to August 2018, as well as from 2012 to 2014 and from 2005 to 2006. From 2014 to 2016, Mr. Berns served as President, Chief Executive Officer and Chairman of the board of directors at Anacor Pharmaceuticals, a public biopharmaceutical company, which was acquired by Pfizer in 2016. Previously, Mr. Berns served as President and Chief Executive Officer of Allos Therapeutics, a public biopharmaceutical company, from 2006 to 2012, when it was acquired by Spectrum Pharmaceuticals. Mr. Berns was President and Chief Executive Officer of Bone Care International, a private specialty pharmaceutical company, from 2002 to 2005, when it was acquired by Genzyme Corporation. Prior to that, Mr. Berns was Vice President and General Manager of the Immunology, Oncology and Pain Therapeutics business unit of Abbott Laboratories, a public medical devices and health care company, from 2001 to 2002, and from 2000 to 2001, he served as Vice President, Marketing of BASF Pharmaceuticals/Knoll, a public pharmaceutical company, when it was acquired by Abbott Laboratories in 2001. Earlier in his career, Mr. Berns held various positions, including senior management roles, at Bristol Myers Squibb (BMS), a public biopharmaceutical company, from 1990 to 2000. Mr. Berns has served as a board member of two public biotechnology companies, UNITY Biotechnology since March 2018 and EQRx since January 2020, respectively. Mr. Berns has also served as a board member of two private biotechnology companies, Epirium Bio and HI-Bio since July 2019 and August 2021, respectively. Mr. Berns has served as the chairman of the board of directors of the private technology company Happy AI since July 2019. Mr. Berns previously served on the boards of various public biopharmaceutical companies including Jazz Pharmaceuticals (from 2010 to July 2021), VYNE Therapeutics (f/k/a Menlo Therapeutics) (from November 2017 to March 2020), Anacor Pharmaceuticals (from 2012 to 2016) and various private pharmaceutical companies including MC2 Therapeutics (from May 2017 to January 2020), XenoPort (from 2005 to 2016) and Bone Care International (from 2002 to 2005). Mr. Berns holds a B.S. in Economics from the University of Wisconsin. We believe Mr. Berns is qualified to serve on our board of directors because of his extensive management and leadership experience with biopharmaceutical and life sciences companies.</w:t>
      </w:r>
    </w:p>
    <w:p>
      <w:pPr>
        <w:spacing w:after="0" w:line="17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Bill Aurora, Pharm.D., </w:t>
      </w:r>
      <w:r>
        <w:rPr>
          <w:rFonts w:ascii="Arial" w:cs="Arial" w:eastAsia="Arial" w:hAnsi="Arial"/>
          <w:sz w:val="17"/>
          <w:szCs w:val="17"/>
          <w:color w:val="auto"/>
        </w:rPr>
        <w:t>has served as our Chief Strategy Officer since January 2023, and from August 2021 through December 2022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Corporate Affairs Officer. From July 2016 to June 2021, Dr. Aurora was at Dermira, a public biopharmaceutical company, which was acquired by Eli Lilly in 2020, where he served as Senior Vice President, Medical Affairs and Compliance from 2016 to November 2019 and as Chief Scientific Affairs Officer from November 2019 to June 2021. Previously, he held vice president roles in medical affairs at Neurocrine Biosciences, a public biopharmaceutical company, from 2015 to 2016 as well as global scientific affairs at Merck Research Laboratories, a public pharmaceutical company, from 2014 to 2015 and various roles at Amgen, a public biopharmaceutical company, from 2002 to 2014, most recently serving as Vice President, Global Scientific Affairs, Global Development from 2007 to 2014 and Vice President, Worldwide Compliance and Business Ethics from 2013 to 2014. Dr. Aurora holds a B.S. in Pharmacy from the University of Texas at Austin and a Pharm.D. from the University of Texas Health Science Center, San Antonio, and obtained board certification in psychiatric pharmacy practice.</w:t>
      </w:r>
    </w:p>
    <w:p>
      <w:pPr>
        <w:spacing w:after="0" w:line="18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i w:val="1"/>
          <w:iCs w:val="1"/>
          <w:color w:val="auto"/>
        </w:rPr>
        <w:t xml:space="preserve">Robert Lenz, M.D., Ph.D., </w:t>
      </w:r>
      <w:r>
        <w:rPr>
          <w:rFonts w:ascii="Arial" w:cs="Arial" w:eastAsia="Arial" w:hAnsi="Arial"/>
          <w:sz w:val="17"/>
          <w:szCs w:val="17"/>
          <w:color w:val="auto"/>
        </w:rPr>
        <w:t>has served as our Head of Research &amp; Development since September 2023. From November 2012 to September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Lenz was at Amgen, a public biopharmaceutical company, where he most recently served as Senior Vice President, Global Development from May 2020 to September 2023 and as Vice President, head of Center for Design and Analysis, Inflammation, Neurology and Nephrology Development Franchise Head from November 2018 to May 2020. Previously, Dr. Lenz held roles within clinical development at Abbott Laboratories from June 2004 to November 2012, most recently serving as Divisional Vice President, Neuroscience, Anesthesia, Psychiatry Development from January 2011 to November 2012. Dr. Lenz holds an M.D. and a Ph.D. from the University of Maryland, with a research focus in Neuropharmacology. He completed his residency in Neurology at the University of California, Los Angeles.</w:t>
      </w:r>
    </w:p>
    <w:p>
      <w:pPr>
        <w:spacing w:after="0" w:line="17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Joshua Pinto, Ph.D., </w:t>
      </w:r>
      <w:r>
        <w:rPr>
          <w:rFonts w:ascii="Arial" w:cs="Arial" w:eastAsia="Arial" w:hAnsi="Arial"/>
          <w:sz w:val="18"/>
          <w:szCs w:val="18"/>
          <w:color w:val="auto"/>
        </w:rPr>
        <w:t>has served as our Chief Financial Officer since June 2021. Prior to Neumora, Dr. Pinto held roles of increasing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responsibility at Credit Suisse, a public financial services company, from April 2015 to June 2021, most recently serving as director of healthcare investment banking from January 2019 to June 2021, where he focused on the life sciences sector and was responsible for advising biotech companies 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mergers, acquisitions, restructurings, activism and financing. Dr. Pinto worked for Piper Jaffray, a financial services company, as an associate in healthcare banking from 2014 to 2015. Before that, he worked in global external R&amp;D at Eli Lilly, a public pharmaceutical company, from 2013 to 2014. Dr. Pinto holds a B.S. in Business Administration and Biochemistry from Centenary College of Louisiana, an M.B.A. in Finance from McMaster University and a Ph.D. in Neuroscience from McMaster University.</w:t>
      </w:r>
    </w:p>
    <w:p>
      <w:pPr>
        <w:spacing w:after="0" w:line="18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b w:val="1"/>
          <w:bCs w:val="1"/>
          <w:i w:val="1"/>
          <w:iCs w:val="1"/>
          <w:color w:val="auto"/>
        </w:rPr>
        <w:t xml:space="preserve">Carol Suh </w:t>
      </w:r>
      <w:r>
        <w:rPr>
          <w:rFonts w:ascii="Arial" w:cs="Arial" w:eastAsia="Arial" w:hAnsi="Arial"/>
          <w:sz w:val="17"/>
          <w:szCs w:val="17"/>
          <w:color w:val="auto"/>
        </w:rPr>
        <w:t>is one of our co-founders and has served as our Chief Operating Officer since January 2023. From January 2022 through January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 served as our Senior Vice President, Strategy and from January 2020 through December 2021 served as our Vice President of Business Development. Ms. Suh has been a member of ARCH Venture Partners, a venture capital firm focused on early-stage technology companies, since August 2018 and became a Partner in July 2021. While at ARCH, she has been involved in company creation and helped build multiple biotechnology companies across several therapeutic areas. Ms. Suh is a co-founder of Orbital Therapeutics, a private biotechnology company, since March 2022 and has served on its board of directors since August 2022. She has served on the board of directors of HI-Bio, a private biotechnology company, since August 2021 and the Metrodora Foundation, a not-for-profit medical research institute, since October 2021. Prior to ARCH, Ms. Suh helped launch Magenta Therapeutics, previously a public biotechnology company, in 2016 and served as Business Development and Corporate Strategy Associate from June 2017 to September 2017. Previously, she was a consultant at Trinity Partners, a consulting company, from 2015 to 2016. Ms. Suh began her career in R&amp;D strategy with the Regenerative Medicine group of GlaxoSmithKline, a public pharmaceutical company, in 2014. Ms. Suh holds an A.B. in Molecular and Cellular Biology from Harvard University, where she trained under Dr. David Scadden at the Harvard Stem Cell Institute, an M.Phil. from Yale University, where she was awarded the National Science Foundation Graduate Research Fellowship for her work in stem cell biology, and an M.B.A. from Stanford Graduate School of Business.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Nicholas Brandon, Ph.D., </w:t>
      </w:r>
      <w:r>
        <w:rPr>
          <w:rFonts w:ascii="Arial" w:cs="Arial" w:eastAsia="Arial" w:hAnsi="Arial"/>
          <w:sz w:val="18"/>
          <w:szCs w:val="18"/>
          <w:color w:val="auto"/>
        </w:rPr>
        <w:t>has served as our Chief Scientific Officer since January 2022 and from April 2020 to December 2021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Research Officer. From April 2019 to April 2020, Dr. Brandon served as senior vice president and head of biology at Jnana Therapeutics, a private biopharmaceutical company. Previously, Dr. Brandon worked at AstraZeneca, a public biopharmaceutical company, from 2012 to April 2019, where he held multiple positions including chief scientist and head of neuroscience discovery. Dr. Brandon has also served as an adjunct professor of neuroscience at Tufts School of Medicine since 2016 and as an honorary professor at University of Glasgow since 2010. Previously, Dr. Brandon was head of psychiatry and behavioral disorders for a period that bridged the Wyeth and Pfizer Neuroscience organizations, both public biopharmaceutical companies, between 2006 and 2012. Dr. Brandon holds an undergraduate degree in Genetics from Pembroke College, Cambridge University and a Ph.D. from University College London.</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Maryjo Chamberlain-Tharp, Ph.D., </w:t>
      </w:r>
      <w:r>
        <w:rPr>
          <w:rFonts w:ascii="Arial" w:cs="Arial" w:eastAsia="Arial" w:hAnsi="Arial"/>
          <w:sz w:val="17"/>
          <w:szCs w:val="17"/>
          <w:color w:val="auto"/>
        </w:rPr>
        <w:t>has served as our Chief Business Officer since January 2022 and from August 2021 to December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our Senior Vice President of Business Development. From September 2014 to August 2021, Dr. Chamberlain-Tharp held multiple positions including Global Head of Academic Outreach and Senior Director of Strategic Alliance Management at AbbVie, a public pharmaceutical company. In 2014, Dr. Chamberlain-Tharp was President and Chief Executive Officer at Z&amp;D Biopharma Consulting, a consulting company. Prior to that, from 1997 to 2014, Dr. Chamberlain-Tharp held multiple positions including Head of Neuroscience and East Coast Operations/Global External R&amp;D at Eli Lilly, a public pharmaceutical company. Dr. Chamberlain-Tharp holds a B.S. in Genetic Biology from Purdue University, an M.B.A. from Indiana University Bloomington and a Ph.D. in Clinical Psychiatric Epidemiology from Walden University.</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Michael Gold, M.S., M.D., </w:t>
      </w:r>
      <w:r>
        <w:rPr>
          <w:rFonts w:ascii="Arial" w:cs="Arial" w:eastAsia="Arial" w:hAnsi="Arial"/>
          <w:sz w:val="18"/>
          <w:szCs w:val="18"/>
          <w:color w:val="auto"/>
        </w:rPr>
        <w:t>has served as our Chief Medical Officer since January 2023. From May 2017 to January 2023, Dr. Gold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Therapeutic Head, CNS Development at AbbVie, a public pharmaceutical company, where he was responsible for AbbVie’s CNS pipeline and was involved in the successful approval of CNS therapies including VRAYLAR as an adjunctive treatment for major depressive disorder. Prior to that, Dr. Gold held leadership roles at a number of private and public biopharmaceutical companies, including as Vice President at PPD from July 2015 to May 2017, as Vice President at UCB from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January 2013 to June 2015 and Vice President at GlaxoSmithKline from 2005 to 2011. Dr. Gold also served as Chief Medical Officer for Allon Therapeutics, an OTC traded public biopharmaceutical company, from March 2011 to January 2013, and Accera, a private biopharmaceutical company, from July 2015 to May 2017. He was an Assistant Professor in the Department of Neurology at the University of South Florida, where he also served as the Medical Director for the Memory Disorder Clinic. Dr. Gold holds a B.S. in Chemistry, an M.S. in Mathematics and Computer Science and an M.D. from the University of Miami. He completed a Neurology residency at the Albert Einstein College of Medicine and a fellowship in Behavioral Neurology at the University of Florida College of Medicine.</w:t>
      </w:r>
    </w:p>
    <w:p>
      <w:pPr>
        <w:spacing w:after="0" w:line="178"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b w:val="1"/>
          <w:bCs w:val="1"/>
          <w:i w:val="1"/>
          <w:iCs w:val="1"/>
          <w:color w:val="auto"/>
        </w:rPr>
        <w:t xml:space="preserve">Lori Houle </w:t>
      </w:r>
      <w:r>
        <w:rPr>
          <w:rFonts w:ascii="Arial" w:cs="Arial" w:eastAsia="Arial" w:hAnsi="Arial"/>
          <w:sz w:val="18"/>
          <w:szCs w:val="18"/>
          <w:color w:val="auto"/>
        </w:rPr>
        <w:t>has served as our Chief Quality Officer since January 2023, and from April 2021 through December 2022 served as our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Quality. From October 2017 to April 2021, Ms. Houle acted as the Vice President of Global Quality at Vir Biotechnology, a public biotechnology company. Prior to Vir, Ms. Houle served as Head of Quality at Dermira, a public biopharmaceutical company, from 2014 to October 2017, and held leadership roles at Sarepta Therapeutics, a public biotechnology company, from 2011 to 2014, EraGen Biosciences, a private biotechnology company, from 2010 to 2011, Anteco Pharma, a private pharmaceutical company, from 2007 to 2011, PPD, a public biopharmaceutical services company that later became private, from 2004 to 2010, and Wyeth (SPL), a public pharmaceutical company, from 1998 to 2004. Ms. Houle holds a Bachelor’s degree in Bacteriology and Medical Microbiology from the University of Wisconsin–Madison and an M.B.A. from DeVry University.</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Raj Manchanda, Ph.D., </w:t>
      </w:r>
      <w:r>
        <w:rPr>
          <w:rFonts w:ascii="Arial" w:cs="Arial" w:eastAsia="Arial" w:hAnsi="Arial"/>
          <w:sz w:val="16"/>
          <w:szCs w:val="16"/>
          <w:color w:val="auto"/>
        </w:rPr>
        <w:t>has served as our Chief Technical Operations Officer since July 2023. Prior to Neumora, Dr. Manchanda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Officer at Anokion, a private biotechnology company, from May 2019 to July 2023, where he led all aspects of technical operations including CMC and drug development activities for novel complex molecules intended to treat autoimmune diseases. Prior to Anokion, Dr. Manchanda served as Chief Development Officer at Frequency Therapeutics, a public biopharmaceutical company, from February 2016 to October 2018, where he and his teams were responsible for drug development and manufacturing, portfolio and project management, infrastructure-building, and execution of global clinical development and regulatory strategy. Prior to Frequency Therapeutics, Dr. Manchanda held leadership positions at several public and private pharmaceutical and biotechnology services companies, including Biogen, Diatide, Avid Radiopharmaceuticals, Perkin Elmer Life and Analytical Sciences and URL Pharmaceuticals. Dr. Manchanda holds a Ph.D. in Chemistry from Yale University and was an Anna Fuller postdoctoral fellow at MIT. He also completed the Advanced Management Program from Sloan School of Management at MIT.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Kristina Burow </w:t>
      </w:r>
      <w:r>
        <w:rPr>
          <w:rFonts w:ascii="Arial" w:cs="Arial" w:eastAsia="Arial" w:hAnsi="Arial"/>
          <w:sz w:val="16"/>
          <w:szCs w:val="16"/>
          <w:color w:val="auto"/>
        </w:rPr>
        <w:t>has served as a member of our board of directors since January 2020. Ms. Burow has served as Managing Director of 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Partners, a venture capital firm focused on early-stage technology companies, since November 2011 and previously held various roles at ARCH from 2002 to 2011. Ms. Burow is a co-founder of Orbital Therapeutics, a private biotechnology company, and has served on its board of directors since April 2022. She currently serves on the boards of directors of various private biotechnology companies, including Boundless Bio since February 2018 and Autobahn Therapeutics since February 2017, and various public biotechnology companies, including Beam Therapeutics since June 2017, and Scholar Rock since 2014. She previously was a co-founder and member of the board of directors of Receptos, a public biotechnology company, acquired by Celgene, and a co-founder and member of the board of directors of Sapphire Energy, a private energy company. Ms. Burow previously served on the board of directors of various public biotechnology and biopharmaceutical companies, including Gossamer Bio from January 2018 to September 2023, UNITY Biotechnology, Inc. from 2013 to March 2022, Metacrine, Inc. from May 2015 to February 2022, Sienna Biopharmaceuticals, Inc. from 2015 to December 2019, and Vir Biotechnology from January 2017 to September 2020, and various private biotechnology and biopharmaceutical companies, including Vividion Therapeutics, Inc. from January 2017 to October 2021, AgBiome, LLC from 2012 to October 2021, BlackThorn from 2013 to September 2020 and Lycera Corp. from 2009 to 2020. Prior to joining ARCH, Ms. Burow was an Associate with the Novartis BioVenture Fund and an early employee at the Genomics Institute of the Novartis Research Foundation, both part of Novartis, a public pharmaceutical company. Ms. Burow holds a B.S. in Chemistry from the University of California, Berkeley, an M.A. in Chemistry from Columbia University and an M.B.A. from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University of Chicago Booth School of Business. We believe Ms. Burow is qualified to serve on our board of directors because of her extensive experience investing in biopharmaceutical and biotechnology companies and her experience on boards of directors in the medical industry.</w:t>
      </w:r>
    </w:p>
    <w:p>
      <w:pPr>
        <w:spacing w:after="0" w:line="12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Matthew Fust </w:t>
      </w:r>
      <w:r>
        <w:rPr>
          <w:rFonts w:ascii="Arial" w:cs="Arial" w:eastAsia="Arial" w:hAnsi="Arial"/>
          <w:sz w:val="16"/>
          <w:szCs w:val="16"/>
          <w:color w:val="auto"/>
        </w:rPr>
        <w:t>has served as a member of our board of directors since December 2020. Mr. Fust is an advisor to life science companies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Chief Financial Officer of Onyx Pharmaceuticals, a public biopharmaceutical company, from 2009 until it was acquired by Amgen in October 2013. From October 2013 to January 2014 Mr. Fust served as Executive Vice President, Finance after Onyx Pharmaceuticals was acquired by Amgen. Prior to that, Mr. Fust held the position of Chief Financial Officer of Jazz Pharmaceuticals, a public biopharmaceutical company, from 2003 to 2008, and Chief Financial Officer of Perlegen Sciences, a private biopharmaceutical company, from 2002 to 2003. Mr. Fust previously served as Senior Vice President and Chief Financial Officer of ALZA Corporation, a public pharmaceutical company, from 1996 to 2002. Mr. Fust has served on the boards of directors of various public and private biotechnology and biopharmaceutical companies including Ultragenyx Pharmaceutical since 2014; Atara Biotherapeutics since 2014; and Crinetics Pharmaceuticals since February 2018. Mr. Fust previously served on the boards of public biotechnology and biopharmaceutical companies Dermira, from 2014 to February 2020 and MacroGenics, from 2014 to May 2020, and the private biopharmaceutical company BlackThorn from August 2017 until June 2020. Mr. Fust currently serves as an advisor to several public and private biotechnology companies. Mr. Fust holds a B.A. from the University of Minnesota and an M.B.A. from Stanford University Graduate School of Business. We believe Mr. Fust is qualified to serve on our board of directors because of his deep experience running and serving on the boards of biopharmaceutical companies.</w:t>
      </w:r>
    </w:p>
    <w:p>
      <w:pPr>
        <w:spacing w:after="0" w:line="16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Alaa Halawa </w:t>
      </w:r>
      <w:r>
        <w:rPr>
          <w:rFonts w:ascii="Arial" w:cs="Arial" w:eastAsia="Arial" w:hAnsi="Arial"/>
          <w:sz w:val="18"/>
          <w:szCs w:val="18"/>
          <w:color w:val="auto"/>
        </w:rPr>
        <w:t>has served as a member of our board of directors since September 2022. Mr. Halawa has served as executive director of Mubadala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 venture capital firm, since March 2017. From February 2015 to March 2017, Mr. Halawa served as director at Synaptics, a public semiconductor company. Prior to that, Mr. Hawala served as director at GlobalFoundries, a public semiconductor company, from January 2014 to February 2015. Mr. Halawa currently serves on the boards of directors of several private life sciences and healthcare companies, including Alloy Therapeutics since September 2022, Innovaccer since December 2021, Xilis since July 2021 and Pretzel Therapeutics since April 2021. Mr. Halawa holds a B.A. in Electrical Engineering from University of Jordan and an M.B.A. from Cornell University. We believe Mr. Halawa is qualified to serve on our board of directors because of his experience as a venture capitalist and serving on boards of emerging companies that are at the intersection of life sciences and technology.</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Maykin Ho, Ph.D., </w:t>
      </w:r>
      <w:r>
        <w:rPr>
          <w:rFonts w:ascii="Arial" w:cs="Arial" w:eastAsia="Arial" w:hAnsi="Arial"/>
          <w:sz w:val="17"/>
          <w:szCs w:val="17"/>
          <w:color w:val="auto"/>
        </w:rPr>
        <w:t>has served as a member of our board of directors since April 2021. Dr. Ho has more than 30 years of experience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and finance industries, and has served as a venture partner of Qiming Venture Partners, a venture capital firm, since 2015, and as a member of the Biotech Advisory Panel of the Stock Exchange of Hong Kong. Dr. Ho is a retired partner of the Goldman Sachs Group, a public financial services company, where she served in several roles from 1992 to 2015, including as senior biotechnology analyst, co-head of healthcare for global investment research and advisory director for healthcare investment banking. Prior to Goldman Sachs, she held various managerial positions in licensing, strategic planning, marketing and research at DuPont-Merck Pharmaceuticals and DuPont de Nemours &amp; Company, a public chemical company, from 1982 to 1992. Dr. Ho is a member of the board of directors for various public biopharmaceutical companies, including Agios Pharmaceuticals since 2015, BioMarin Pharmaceutical since February 2021, and FibroGen since December 2018. She has also served on the board of directors for Parexel International, a private biopharmaceutical services company, from 2015 to 2017 and from March 2018 to present, as well as for two non-profit medical research organizations, the Aaron Diamond AIDS Research Center since 2005 and the Institute for Protein Innovation since 2016. Dr. Ho previously served on the board of directors for GRAIL, a private biotechnology company, from May 2019 to August 2021, when it was acquired. Dr. Ho holds a B.S. in Medical Technology and a Ph.D. in Microbiology and Immunology from the State University of New York, Downstate Medical Center. She was a postdoctoral fellow at Harvard Medical School and a graduate of the Advanced Management Program at The Fuqua School of Business at Duke University. We believe Dr. Ho is qualified to serve on our board of directors due to her extensive experience in healthcare investment research and banking.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b w:val="1"/>
          <w:bCs w:val="1"/>
          <w:i w:val="1"/>
          <w:iCs w:val="1"/>
          <w:color w:val="auto"/>
        </w:rPr>
        <w:t xml:space="preserve">David Piacquad </w:t>
      </w:r>
      <w:r>
        <w:rPr>
          <w:rFonts w:ascii="Arial" w:cs="Arial" w:eastAsia="Arial" w:hAnsi="Arial"/>
          <w:sz w:val="16"/>
          <w:szCs w:val="16"/>
          <w:color w:val="auto"/>
        </w:rPr>
        <w:t>has served as a member of our board of directors since September 2023. From March 2014 through February 2022, Mr. Piacquad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Senior Vice President, Business Development of Amgen where he was responsible for corporate strategy and business development, including external research and development, mergers &amp; acquisitions, Amgen ventures and alliance management. Prior to that Mr. Piacquad served as Vice President, Strategy and Corporate Development at Amgen from 2010. Prior to joining Amgen, Mr. Piacquad served as Senior Vice President, Business Development &amp; Licensing at Schering-Plough Corporation, a pharmaceutical company, from 2006 to 2009. Prior to joining Schering-Plough,</w:t>
      </w:r>
    </w:p>
    <w:p>
      <w:pPr>
        <w:spacing w:after="0" w:line="2" w:lineRule="exact"/>
        <w:rPr>
          <w:sz w:val="20"/>
          <w:szCs w:val="20"/>
          <w:color w:val="auto"/>
        </w:rPr>
      </w:pPr>
    </w:p>
    <w:p>
      <w:pPr>
        <w:ind w:left="120" w:right="360"/>
        <w:spacing w:after="0" w:line="271" w:lineRule="auto"/>
        <w:rPr>
          <w:sz w:val="20"/>
          <w:szCs w:val="20"/>
          <w:color w:val="auto"/>
        </w:rPr>
      </w:pPr>
      <w:r>
        <w:rPr>
          <w:rFonts w:ascii="Arial" w:cs="Arial" w:eastAsia="Arial" w:hAnsi="Arial"/>
          <w:sz w:val="17"/>
          <w:szCs w:val="17"/>
          <w:color w:val="auto"/>
        </w:rPr>
        <w:t>Mr. Picquad served for approximately 20 years at Johnson &amp; Johnson, a pharmaceutical and medical technologies company, in increasing roles of responsibility across its business segments. Mr. Piacquad is currently an advisor to life science companies and serves as a director to various private biotechnology companies. Mr. Piacquad holds a B.A. from Colgate University and an M.B.A from the Wharton School at the University of Pennsylvania. We believe Mr. Piacquad is qualified to serve on our board of directors because of his extensive experience in executive strategic and business development roles within the biotechnology industry and serving on the boards of biotechnology companies.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Structure and Composition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board of directors currently consists of seven members. Our board of directors has determined that all of our directors, other than Messrs. Berns and Gosebruch, qualify as independent directors in accordance with the Nasdaq Stock Market LLC (Nasdaq) Marketplace Rules (the Nasdaq Listing Rules). Messrs. Berns and Gosebruch are not considered independent by virtue of their positions as executive officers of the company.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Listing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relationships as they may relate to us and our management.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which will be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2" w:lineRule="exact"/>
        <w:rPr>
          <w:sz w:val="20"/>
          <w:szCs w:val="20"/>
          <w:color w:val="auto"/>
        </w:rPr>
      </w:pPr>
    </w:p>
    <w:p>
      <w:pPr>
        <w:ind w:left="1080" w:right="8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 directors will be Kristina Burow and Henry O. Gosebruch, and their terms will expire at the annual meeting of stockholders to be held in 2024;</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II directors will be Alaa Halawa and Maykin Ho, and their terms will expire at the annual meeting of stockholders to be held in 2025; and</w:t>
      </w:r>
    </w:p>
    <w:p>
      <w:pPr>
        <w:spacing w:after="0" w:line="75"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III directors will be Paul Berns, Matthew Fust and David Piacquad, and their terms will expire at the annual meeting of stockholders to be held in 2026.</w:t>
      </w:r>
    </w:p>
    <w:p>
      <w:pPr>
        <w:spacing w:after="0" w:line="170"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election of the members of our board of directors is currently governed by the voting agreement that we entered into with certain holders of our common stock and convertible preferred stock and the related provisions of our amended and restated certificate of incorporation. Pursuant to our voting agreement and amended and restated certificate of incorporation, our current directors were elected as follows:</w:t>
      </w:r>
    </w:p>
    <w:p>
      <w:pPr>
        <w:spacing w:after="0" w:line="54"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Piacquad was elected as the designee of Amgen;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Ms. Burow was elected as the designee of ARCH Venture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Halawa was elected as the designee of Mubadala Capital;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Berns was elected and designated as our then serving Chief Executive Officer; and</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Fust, Dr. Ho and Mr. Gosebruch were elected and designated by the holders of a majority of our common stock and convertible preferred stock.</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voting agreement will terminate and the provisions of our current amended and restated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of directors and Chief Executive Officer. Mr. Berns currently serves as the Executive Chairman of the Board and Mr. Gosebruch currently serves as our Chief Executive Officer.</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Our board of directors has three standing committees: the audit committee; the compensation committee; and the nominating and governance committee. Each committee is governed by a charter that will be available on our website following completion of this offering.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Effective as of the date the registration statement of which this prospectus forms a part is declared effective by the SEC, the members of our audit committee will consist of Matthew Fust, Kristina Burow, and Maykin Ho. Matthew Fust will be the chairperson of our audit committee. The composition of our audit committee meets the requirements for independence under the current Nasdaq Listing Rules and Rule 10A-3 of the Exchange Act. Each member of our audit committee is financially literate. In addition, our board of directors has determined that Matthew Fust is an “audit committee financial expert” within the meaning of the SEC rules. This designation does not impose on such directors any duties, obligations, or liabilities that are greater than are generally imposed on members of our audit committee and our board of directors. Our audit committee is directly responsible for, among other things:</w:t>
      </w:r>
    </w:p>
    <w:p>
      <w:pPr>
        <w:spacing w:after="0" w:line="100"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appointing, retaining, compensating and overseeing the work of our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assessing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registered public accounting firm on our engagement team as required by law;</w:t>
      </w:r>
    </w:p>
    <w:p>
      <w:pPr>
        <w:spacing w:after="0" w:line="142" w:lineRule="exact"/>
        <w:rPr>
          <w:rFonts w:ascii="Arial" w:cs="Arial" w:eastAsia="Arial" w:hAnsi="Arial"/>
          <w:sz w:val="17"/>
          <w:szCs w:val="17"/>
          <w:color w:val="auto"/>
        </w:rPr>
      </w:pPr>
    </w:p>
    <w:p>
      <w:pPr>
        <w:ind w:left="1080" w:right="38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 firm’s annual audit of our consolidated financial statements;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consolidated financial statements that we will file with the SEC;</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pre-approving all audit and permissible non-audit services to be performed by our independent registered public accounting firm;</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policies and practices related to risk assessment and management;</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our accounting and financial reporting policies and practices and accounting controls, as well as compliance with legal and regulatory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overseeing, approving, or disapproving any related-person and related party transactions;</w:t>
      </w:r>
    </w:p>
    <w:p>
      <w:pPr>
        <w:spacing w:after="0" w:line="130"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 or other ethics or compliance issues.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Effective as of the date the registration statement of which this prospectus forms a part is declared effective by the SEC, the members of our compensation committee will consist of Kristina Burow, Matthew Fust, and Alaa Halawa. Kristina Burow will be the chairperson of our compensation committee. Each of Kristina Burow, Matthew Fust, and Alaa Halawa is a non-employee director, as defined by Rule 16b-3 promulgated under the Exchange Act and meets the requirements for independence under the current Nasdaq Listing Rules. Our compensation committee is responsible for, among other things:</w:t>
      </w:r>
    </w:p>
    <w:p>
      <w:pPr>
        <w:spacing w:after="0" w:line="93" w:lineRule="exact"/>
        <w:rPr>
          <w:sz w:val="20"/>
          <w:szCs w:val="20"/>
          <w:color w:val="auto"/>
        </w:rPr>
      </w:pPr>
    </w:p>
    <w:p>
      <w:pPr>
        <w:ind w:left="1080" w:right="20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approving the compensation of our executive officers, including reviewing and approving corporate goals and objectives with respect to compensation;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40"/>
          </w:cols>
          <w:pgMar w:left="320" w:top="459" w:right="5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authority to act as an administrator of our equity incentive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recommending that our board of directors approve the compensation for our non-employee board members;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jc w:val="both"/>
        <w:ind w:left="120" w:right="460" w:firstLine="440"/>
        <w:spacing w:after="0" w:line="279" w:lineRule="auto"/>
        <w:rPr>
          <w:sz w:val="20"/>
          <w:szCs w:val="20"/>
          <w:color w:val="auto"/>
        </w:rPr>
      </w:pPr>
      <w:r>
        <w:rPr>
          <w:rFonts w:ascii="Arial" w:cs="Arial" w:eastAsia="Arial" w:hAnsi="Arial"/>
          <w:sz w:val="17"/>
          <w:szCs w:val="17"/>
          <w:color w:val="auto"/>
        </w:rPr>
        <w:t>Effective as of the date the registration statement of which this prospectus forms a part is declared effective by the SEC, the members of our nominating and governance committee will consist of Alaa Halawa, Kristina Burow, and Maykin Ho. Alaa Halawa will be the chairperson of our nominating and governance committee. Alaa Halawa, Kristina Burow, and Maykin Ho meet the requirements for independence under the current Nasdaq Listing Rules. Our nominating and governance committee is responsible for, among other things:</w:t>
      </w:r>
    </w:p>
    <w:p>
      <w:pPr>
        <w:spacing w:after="0" w:line="77" w:lineRule="exact"/>
        <w:rPr>
          <w:sz w:val="20"/>
          <w:szCs w:val="20"/>
          <w:color w:val="auto"/>
        </w:rPr>
      </w:pPr>
    </w:p>
    <w:p>
      <w:pPr>
        <w:ind w:left="108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 including the consideration of nominees submitted by stockholders, and on each of the board’s committees;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proposed waivers of the code of business conduct and ethics for directors and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connection with this offering, our board of directors will adopt a code of business conduct and ethics that applies to all of our employees, officers and directors, including our Chief Executive Officer, Chief Financial Officer and other executive and senior financial officers. Upon completion of this offering, the full text of our code of business conduct and ethics will be posted on the investor relations section of our website. We intend to disclose future amendments to our code of business conduct and ethics, or any waivers of such code, on our website or in public filings.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the board of directors) of any other entity that has an executive officer serving as a member of our board of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 ended December 31, 2022, we did not have a formalized non-employee director compensation program.</w:t>
      </w:r>
    </w:p>
    <w:p>
      <w:pPr>
        <w:spacing w:after="0" w:line="225" w:lineRule="exact"/>
        <w:rPr>
          <w:sz w:val="20"/>
          <w:szCs w:val="20"/>
          <w:color w:val="auto"/>
        </w:rPr>
      </w:pPr>
    </w:p>
    <w:p>
      <w:pPr>
        <w:ind w:left="120" w:right="380" w:firstLine="440"/>
        <w:spacing w:after="0" w:line="296" w:lineRule="auto"/>
        <w:rPr>
          <w:sz w:val="20"/>
          <w:szCs w:val="20"/>
          <w:color w:val="auto"/>
        </w:rPr>
      </w:pPr>
      <w:r>
        <w:rPr>
          <w:rFonts w:ascii="Arial" w:cs="Arial" w:eastAsia="Arial" w:hAnsi="Arial"/>
          <w:sz w:val="16"/>
          <w:szCs w:val="16"/>
          <w:color w:val="auto"/>
        </w:rPr>
        <w:t>During 2022, only Mr. Fust and Dr. Ho received cash compensation for their service on our board of directors. Each of Mr. Fust and Dr. Ho received $10,000 per quarter of service on our board of directors. In July 2022, we also granted an option to purchase 95,586 shares of our common stock to Dr. Weninger having an exercise price per share of $4.63 that vests and becomes exercisable as to 1/36th of the shares on each monthly anniversary of July 5, 2022, subject to Dr. Weninger’s continued service through the applicable vesting date. In addition, we reimburse our non-employee directors for travel and other necessary business expenses incurred in the performance of their services for us.</w:t>
      </w:r>
    </w:p>
    <w:p>
      <w:pPr>
        <w:spacing w:after="0" w:line="161"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The following table sets forth information concerning the compensation earned by our non-employee directors during the year ended December 31,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2022 Director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28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90"/>
              </w:rPr>
              <w:t>Fees Earned or</w:t>
            </w:r>
          </w:p>
        </w:tc>
        <w:tc>
          <w:tcPr>
            <w:tcW w:w="198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rPr>
              <w:t>Option</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780" w:type="dxa"/>
            <w:vAlign w:val="bottom"/>
            <w:vMerge w:val="restart"/>
          </w:tcPr>
          <w:p>
            <w:pPr>
              <w:spacing w:after="0"/>
              <w:rPr>
                <w:sz w:val="12"/>
                <w:szCs w:val="12"/>
                <w:color w:val="auto"/>
              </w:rPr>
            </w:pPr>
          </w:p>
        </w:tc>
        <w:tc>
          <w:tcPr>
            <w:tcW w:w="2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1980" w:type="dxa"/>
            <w:vAlign w:val="bottom"/>
            <w:gridSpan w:val="2"/>
          </w:tcPr>
          <w:p>
            <w:pPr>
              <w:jc w:val="right"/>
              <w:ind w:right="1420"/>
              <w:spacing w:after="0" w:line="149" w:lineRule="exact"/>
              <w:rPr>
                <w:sz w:val="20"/>
                <w:szCs w:val="20"/>
                <w:color w:val="auto"/>
              </w:rPr>
            </w:pPr>
            <w:r>
              <w:rPr>
                <w:rFonts w:ascii="Arial" w:cs="Arial" w:eastAsia="Arial" w:hAnsi="Arial"/>
                <w:sz w:val="14"/>
                <w:szCs w:val="14"/>
                <w:b w:val="1"/>
                <w:bCs w:val="1"/>
                <w:color w:val="auto"/>
              </w:rPr>
              <w:t>Awards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780" w:type="dxa"/>
            <w:vAlign w:val="bottom"/>
            <w:vMerge w:val="continue"/>
          </w:tcPr>
          <w:p>
            <w:pPr>
              <w:spacing w:after="0"/>
              <w:rPr>
                <w:sz w:val="15"/>
                <w:szCs w:val="15"/>
                <w:color w:val="auto"/>
              </w:rPr>
            </w:pPr>
          </w:p>
        </w:tc>
        <w:tc>
          <w:tcPr>
            <w:tcW w:w="940" w:type="dxa"/>
            <w:vAlign w:val="bottom"/>
          </w:tcPr>
          <w:p>
            <w:pPr>
              <w:ind w:left="380"/>
              <w:spacing w:after="0" w:line="158" w:lineRule="exact"/>
              <w:rPr>
                <w:sz w:val="20"/>
                <w:szCs w:val="20"/>
                <w:color w:val="auto"/>
              </w:rPr>
            </w:pPr>
            <w:r>
              <w:rPr>
                <w:rFonts w:ascii="Arial" w:cs="Arial" w:eastAsia="Arial" w:hAnsi="Arial"/>
                <w:sz w:val="14"/>
                <w:szCs w:val="14"/>
                <w:b w:val="1"/>
                <w:bCs w:val="1"/>
                <w:color w:val="auto"/>
              </w:rPr>
              <w:t>($)</w:t>
            </w:r>
          </w:p>
        </w:tc>
        <w:tc>
          <w:tcPr>
            <w:tcW w:w="1340" w:type="dxa"/>
            <w:vAlign w:val="bottom"/>
          </w:tcPr>
          <w:p>
            <w:pPr>
              <w:spacing w:after="0"/>
              <w:rPr>
                <w:sz w:val="15"/>
                <w:szCs w:val="15"/>
                <w:color w:val="auto"/>
              </w:rPr>
            </w:pPr>
          </w:p>
        </w:tc>
        <w:tc>
          <w:tcPr>
            <w:tcW w:w="64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1340" w:type="dxa"/>
            <w:vAlign w:val="bottom"/>
          </w:tcPr>
          <w:p>
            <w:pPr>
              <w:spacing w:after="0"/>
              <w:rPr>
                <w:sz w:val="15"/>
                <w:szCs w:val="15"/>
                <w:color w:val="auto"/>
              </w:rPr>
            </w:pPr>
          </w:p>
        </w:tc>
        <w:tc>
          <w:tcPr>
            <w:tcW w:w="56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Kristina Burow</w:t>
            </w:r>
          </w:p>
        </w:tc>
        <w:tc>
          <w:tcPr>
            <w:tcW w:w="940" w:type="dxa"/>
            <w:vAlign w:val="bottom"/>
            <w:tcBorders>
              <w:top w:val="single" w:sz="8" w:color="auto"/>
            </w:tcBorders>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Matthew Fust</w:t>
            </w:r>
          </w:p>
        </w:tc>
        <w:tc>
          <w:tcPr>
            <w:tcW w:w="2280" w:type="dxa"/>
            <w:vAlign w:val="bottom"/>
            <w:gridSpan w:val="2"/>
          </w:tcPr>
          <w:p>
            <w:pPr>
              <w:jc w:val="right"/>
              <w:ind w:right="1340"/>
              <w:spacing w:after="0"/>
              <w:rPr>
                <w:sz w:val="20"/>
                <w:szCs w:val="20"/>
                <w:color w:val="auto"/>
              </w:rPr>
            </w:pPr>
            <w:r>
              <w:rPr>
                <w:rFonts w:ascii="Arial" w:cs="Arial" w:eastAsia="Arial" w:hAnsi="Arial"/>
                <w:sz w:val="18"/>
                <w:szCs w:val="18"/>
                <w:color w:val="auto"/>
              </w:rPr>
              <w:t>40,000</w:t>
            </w:r>
          </w:p>
        </w:tc>
        <w:tc>
          <w:tcPr>
            <w:tcW w:w="198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40,000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Alaa Halawa</w:t>
            </w:r>
          </w:p>
        </w:tc>
        <w:tc>
          <w:tcPr>
            <w:tcW w:w="2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Maykin Ho, Ph.D.</w:t>
            </w:r>
          </w:p>
        </w:tc>
        <w:tc>
          <w:tcPr>
            <w:tcW w:w="2280" w:type="dxa"/>
            <w:vAlign w:val="bottom"/>
            <w:gridSpan w:val="2"/>
          </w:tcPr>
          <w:p>
            <w:pPr>
              <w:jc w:val="right"/>
              <w:ind w:right="1340"/>
              <w:spacing w:after="0"/>
              <w:rPr>
                <w:sz w:val="20"/>
                <w:szCs w:val="20"/>
                <w:color w:val="auto"/>
              </w:rPr>
            </w:pPr>
            <w:r>
              <w:rPr>
                <w:rFonts w:ascii="Arial" w:cs="Arial" w:eastAsia="Arial" w:hAnsi="Arial"/>
                <w:sz w:val="18"/>
                <w:szCs w:val="18"/>
                <w:color w:val="auto"/>
              </w:rPr>
              <w:t>40,000</w:t>
            </w:r>
          </w:p>
        </w:tc>
        <w:tc>
          <w:tcPr>
            <w:tcW w:w="198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40,000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Robert Nelsen</w:t>
            </w:r>
            <w:r>
              <w:rPr>
                <w:rFonts w:ascii="Arial" w:cs="Arial" w:eastAsia="Arial" w:hAnsi="Arial"/>
                <w:sz w:val="25"/>
                <w:szCs w:val="25"/>
                <w:color w:val="auto"/>
                <w:vertAlign w:val="superscript"/>
              </w:rPr>
              <w:t>(2)</w:t>
            </w:r>
          </w:p>
        </w:tc>
        <w:tc>
          <w:tcPr>
            <w:tcW w:w="2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6" w:lineRule="exact"/>
              <w:rPr>
                <w:sz w:val="20"/>
                <w:szCs w:val="20"/>
                <w:color w:val="auto"/>
              </w:rPr>
            </w:pPr>
            <w:r>
              <w:rPr>
                <w:rFonts w:ascii="Arial" w:cs="Arial" w:eastAsia="Arial" w:hAnsi="Arial"/>
                <w:sz w:val="17"/>
                <w:szCs w:val="17"/>
                <w:color w:val="auto"/>
              </w:rPr>
              <w:t>Kári Stefánsson</w:t>
            </w:r>
            <w:r>
              <w:rPr>
                <w:rFonts w:ascii="Arial" w:cs="Arial" w:eastAsia="Arial" w:hAnsi="Arial"/>
                <w:sz w:val="25"/>
                <w:szCs w:val="25"/>
                <w:color w:val="auto"/>
                <w:vertAlign w:val="superscript"/>
              </w:rPr>
              <w:t>(3)</w:t>
            </w:r>
          </w:p>
        </w:tc>
        <w:tc>
          <w:tcPr>
            <w:tcW w:w="22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Stacie Weninger</w:t>
            </w:r>
            <w:r>
              <w:rPr>
                <w:rFonts w:ascii="Arial" w:cs="Arial" w:eastAsia="Arial" w:hAnsi="Arial"/>
                <w:sz w:val="25"/>
                <w:szCs w:val="25"/>
                <w:color w:val="auto"/>
                <w:vertAlign w:val="superscript"/>
              </w:rPr>
              <w:t>(4)</w:t>
            </w:r>
          </w:p>
        </w:tc>
        <w:tc>
          <w:tcPr>
            <w:tcW w:w="2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w w:val="95"/>
              </w:rPr>
              <w:t>405,981</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right="60" w:hanging="424"/>
        <w:spacing w:after="0" w:line="264"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For the option awards column, amount shown represents the grant date fair value of the option granted during 2022 as calculated in accordance with ASC Topic 718. See Financial Accounting Standards Board,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Topic 718). Assumptions used in the calculation of these amounts are described in Note 13 to our audited consolidated financial statements and Note 11 to our unaudited condensed consolidated financial statements appearing elsewhere in this prospectus. As of December 31, 2022, each of Drs. Ho and Weninger and Mr. Fust held an option to purchase 95,586 shares of our common stock, and no other stock options or stock awards were held by any of our non-employee directors as of December 31, 2022.</w:t>
      </w:r>
    </w:p>
    <w:p>
      <w:pPr>
        <w:spacing w:after="0" w:line="4" w:lineRule="exact"/>
        <w:rPr>
          <w:rFonts w:ascii="Arial" w:cs="Arial" w:eastAsia="Arial" w:hAnsi="Arial"/>
          <w:sz w:val="16"/>
          <w:szCs w:val="16"/>
          <w:color w:val="auto"/>
        </w:rPr>
      </w:pPr>
    </w:p>
    <w:p>
      <w:pPr>
        <w:ind w:left="540" w:hanging="424"/>
        <w:spacing w:after="0"/>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Mr. Nelsen resigned as a director in September 2023.</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Dr. Stefánsson resigned as a director in September 2023.</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Dr. Weninger resigned as a director in August 2023.</w:t>
      </w:r>
    </w:p>
    <w:p>
      <w:pPr>
        <w:spacing w:after="0" w:line="22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Commencing on the completion of this offering, our non-employee directors will be compensated in accordance with our non-employee director compensation program (the Director Compensation Program). Pursuant to the Director Compensation Program, our non-employee directors will receive cash compensation, paid quarterly in arrears, as follows:</w:t>
      </w:r>
    </w:p>
    <w:p>
      <w:pPr>
        <w:spacing w:after="0" w:line="8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non-employee director will receive a cash retainer in the amount of $40,000 per year.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lead independent director will receive a cash retainer in the amount of $25,000 per year.</w:t>
      </w:r>
    </w:p>
    <w:p>
      <w:pPr>
        <w:spacing w:after="0" w:line="130"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 cash retainer in the amount of $20,000 per year for such chairperson’s service on the audit committee. Each non-chairperson member of the audit committee will receive a cash retainer in the amount of $10,000 per year for such member’s service on the audit committee.</w:t>
      </w:r>
    </w:p>
    <w:p>
      <w:pPr>
        <w:spacing w:after="0" w:line="89"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chairperson of the compensation committee will receive a cash retainer in the amount of $15,000 per year for such chairperson’s service on the compensation committee. Each non-chairperson member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940"/>
        <w:spacing w:after="0" w:line="277" w:lineRule="auto"/>
        <w:rPr>
          <w:sz w:val="20"/>
          <w:szCs w:val="20"/>
          <w:color w:val="auto"/>
        </w:rPr>
      </w:pPr>
      <w:r>
        <w:rPr>
          <w:rFonts w:ascii="Arial" w:cs="Arial" w:eastAsia="Arial" w:hAnsi="Arial"/>
          <w:sz w:val="18"/>
          <w:szCs w:val="18"/>
          <w:color w:val="auto"/>
        </w:rPr>
        <w:t>of the compensation committee will receive a cash retainer in the amount of $7,500 per year for such member’s service on the compensation committee.</w:t>
      </w:r>
    </w:p>
    <w:p>
      <w:pPr>
        <w:spacing w:after="0" w:line="76" w:lineRule="exact"/>
        <w:rPr>
          <w:sz w:val="20"/>
          <w:szCs w:val="20"/>
          <w:color w:val="auto"/>
        </w:rPr>
      </w:pPr>
    </w:p>
    <w:p>
      <w:pPr>
        <w:ind w:left="108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chairperson of the nominating and corporate governance committee will receive a cash retainer in the amount of $10,000 per year for such chairperson’s service on the nominating and corporate governance committee. Each non-chairperson member of the nominating and corporate governance committee will receive a cash retainer in the amount of $5,000 per year for such member’s service on the nominating and corporate governance committee.</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Each non-employee director may elect, on an annual basis, to convert all or a portion of such non-employee director’s annual retainer into a number of restricted stock units granted under the 2023 Plan, which will be fully vested on the date of grant, and settlement of the restricted stock units may be deferred at the election of the non-employee director.</w:t>
      </w:r>
    </w:p>
    <w:p>
      <w:pPr>
        <w:spacing w:after="0" w:line="18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Under the Director Compensation Program, each non-employee director will automatically be granted an option (the Initial Grant) under the 2023 Plan to purchase that number of shares of our common stock equal to (i) $600,000, divided by (ii) the per share grant date fair value of the option award. The Initial Grant will vest as to 1/36th of the underlying shares on a monthly basis over three years, subject to continued service through the applicable vesting date. In addition, on the date of each annual meeting of our stockholders following the completion of this offering, each non-employee director who (i) has been serving on our board of directors for at least four months and (ii) will continue to serve as a non-employee director immediately following such annual meeting will automatically be granted an option (the Annual Grant) under the 2023 Plan to purchase that number of shares of our common stock equal to (i) $350,000, divided by (ii) the per share grant date fair value of the option award. The Annual Grant will vest in full on the earlier of the (i) first anniversary of the grant date, and (ii) immediately prior to the annual meeting of our stockholders following the date of grant, subject to continued service through the applicable vesting date.</w:t>
      </w:r>
    </w:p>
    <w:p>
      <w:pPr>
        <w:spacing w:after="0" w:line="18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Director Compensation Program, upon a change in control transaction, all outstanding equity awards held by our non-employee directors will vest in full.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following is a discussion and analysis of compensation arrangements of our named executive officers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6"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NEOs for 2022 were as follows:</w:t>
      </w:r>
    </w:p>
    <w:p>
      <w:pPr>
        <w:spacing w:after="0" w:line="131"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Paul L. Berns, our Co-Founder, Executive Chairman and former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Joshua Pinto, Ph.D., our Chief Financial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John Dunlop, Ph.D., our former Head of Research and Development.</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July 2023, in connection with the appointment of Henry O. Gosebruch as our President and Chief Executive Officer, Mr. Berns transitioned to serve as our Executive Chairman. Dr. Dunlop ceased serving as our Head of Research and Development in May 2023.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2022 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total compensation paid to our named executive officers for the year ending on December 31,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Salary</w:t>
            </w: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7"/>
              </w:rPr>
              <w:t>Bonus</w:t>
            </w:r>
          </w:p>
        </w:tc>
        <w:tc>
          <w:tcPr>
            <w:tcW w:w="1080" w:type="dxa"/>
            <w:vAlign w:val="bottom"/>
            <w:gridSpan w:val="2"/>
            <w:vMerge w:val="continue"/>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11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6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26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(2)</w:t>
            </w:r>
          </w:p>
        </w:tc>
        <w:tc>
          <w:tcPr>
            <w:tcW w:w="2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(3)</w:t>
            </w: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Paul L. Berns</w:t>
            </w:r>
            <w:r>
              <w:rPr>
                <w:rFonts w:ascii="Arial" w:cs="Arial" w:eastAsia="Arial" w:hAnsi="Arial"/>
                <w:sz w:val="24"/>
                <w:szCs w:val="24"/>
                <w:color w:val="auto"/>
                <w:vertAlign w:val="superscript"/>
              </w:rPr>
              <w:t>(4)</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2022</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570,000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1,755,346</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308,798</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2,634,924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ind w:left="180"/>
              <w:spacing w:after="0" w:line="201" w:lineRule="exact"/>
              <w:rPr>
                <w:sz w:val="20"/>
                <w:szCs w:val="20"/>
                <w:color w:val="auto"/>
              </w:rPr>
            </w:pPr>
            <w:r>
              <w:rPr>
                <w:rFonts w:ascii="Arial" w:cs="Arial" w:eastAsia="Arial" w:hAnsi="Arial"/>
                <w:sz w:val="18"/>
                <w:szCs w:val="18"/>
                <w:i w:val="1"/>
                <w:iCs w:val="1"/>
                <w:color w:val="auto"/>
              </w:rPr>
              <w:t>Co-Founder, Executive Chairman and former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520,000</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13,000</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247,000</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Pinto, Ph.D.</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465,800</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2,945,778</w:t>
            </w: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188,882</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221,954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3,822,414</w:t>
            </w:r>
          </w:p>
        </w:tc>
        <w:tc>
          <w:tcPr>
            <w:tcW w:w="0" w:type="dxa"/>
            <w:vAlign w:val="bottom"/>
          </w:tcPr>
          <w:p>
            <w:pPr>
              <w:spacing w:after="0"/>
              <w:rPr>
                <w:sz w:val="1"/>
                <w:szCs w:val="1"/>
                <w:color w:val="auto"/>
              </w:rPr>
            </w:pPr>
          </w:p>
        </w:tc>
      </w:tr>
      <w:tr>
        <w:trPr>
          <w:trHeight w:val="216"/>
        </w:trPr>
        <w:tc>
          <w:tcPr>
            <w:tcW w:w="3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262,500</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510,000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2,388,353</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177,800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98,653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3,437,306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John Dunlop, Ph.D.</w:t>
            </w:r>
            <w:r>
              <w:rPr>
                <w:rFonts w:ascii="Arial" w:cs="Arial" w:eastAsia="Arial" w:hAnsi="Arial"/>
                <w:sz w:val="25"/>
                <w:szCs w:val="25"/>
                <w:color w:val="auto"/>
                <w:vertAlign w:val="superscript"/>
              </w:rPr>
              <w:t>(5)</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450,000</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715,918</w:t>
            </w: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166,725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1,333,423</w:t>
            </w:r>
          </w:p>
        </w:tc>
        <w:tc>
          <w:tcPr>
            <w:tcW w:w="0" w:type="dxa"/>
            <w:vAlign w:val="bottom"/>
          </w:tcPr>
          <w:p>
            <w:pPr>
              <w:spacing w:after="0"/>
              <w:rPr>
                <w:sz w:val="1"/>
                <w:szCs w:val="1"/>
                <w:color w:val="auto"/>
              </w:rPr>
            </w:pPr>
          </w:p>
        </w:tc>
      </w:tr>
      <w:tr>
        <w:trPr>
          <w:trHeight w:val="230"/>
        </w:trPr>
        <w:tc>
          <w:tcPr>
            <w:tcW w:w="396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Head of Research and Development</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8" w:lineRule="exact"/>
        <w:rPr>
          <w:sz w:val="20"/>
          <w:szCs w:val="20"/>
          <w:color w:val="auto"/>
        </w:rPr>
      </w:pPr>
    </w:p>
    <w:p>
      <w:pPr>
        <w:ind w:left="540" w:right="260" w:hanging="424"/>
        <w:spacing w:after="0" w:line="303"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 date fair value and incremental fair value of the stock options granted or modified in 2022, calculated in accordance with ASC Topic 718. The assumptions used in calculating the grant date fair value and incremental fair value of the options reported in this column will be included in the financial statements for the year ended December 31, 2022 that will be included in an amendment to this registration statement.</w:t>
      </w:r>
    </w:p>
    <w:p>
      <w:pPr>
        <w:spacing w:after="0" w:line="1" w:lineRule="exact"/>
        <w:rPr>
          <w:rFonts w:ascii="Arial" w:cs="Arial" w:eastAsia="Arial" w:hAnsi="Arial"/>
          <w:sz w:val="14"/>
          <w:szCs w:val="14"/>
          <w:color w:val="auto"/>
        </w:rPr>
      </w:pPr>
    </w:p>
    <w:p>
      <w:pPr>
        <w:ind w:left="540" w:right="620" w:hanging="424"/>
        <w:spacing w:after="0" w:line="264"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Annual cash incentive amounts for all NEOs were determined in January 2023, under our 2022 Bonus Plan, as described in the section below titled “2022 Bonuses.”</w:t>
      </w:r>
    </w:p>
    <w:p>
      <w:pPr>
        <w:ind w:left="540" w:right="140" w:hanging="424"/>
        <w:spacing w:after="0" w:line="264"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$780 of the amount reported for each NEO constitutes a technology allowance. $215,000 and $6,174 of the amount reported for Dr. Pinto constitutes a relocation allowance and employer matching contributions under our 401(k) plan, respectively.</w:t>
      </w:r>
    </w:p>
    <w:p>
      <w:pPr>
        <w:ind w:left="540" w:hanging="424"/>
        <w:spacing w:after="0"/>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Berns transitioned to serve as our Executive Chairman in July 2023.</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Dr. Dunlop’s employment with us terminated in May 2023.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Salaries</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Our NEOs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2022, Mr. Berns, Dr. Pinto and Dr. Dunlop had an annual base salary of $570,000, $465,800 and $450,000,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January 2023, Mr. Berns’ and Dr. Pinto’s annual base salary was increased to $625,000 and $484,432, respectively. In connection with Mr.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Berns’ transition to Executive Chairman in July 2023, his annual base salary was reduced to $450,000.</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connection with Mr. Gosebruch’s appointment as our President and Chief Executive Officer in July 2023, his annual base salary was established at $675,000.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and compensation committee may adjust base salaries from time to time in their discretion.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Bonuses</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maintain an annual performance-based cash bonus program in which each of our NEOs participated in 2022. Each NEO’s target bonus is expressed as a percentage of their annual base salary which can be achieved by meeting company and individual goals at target level. The 2022 annual bonuses for Mr. Berns, Dr. Pinto and Dr. Dunlop were targeted at 55%, 40% and 40% of their respective base salaries. Our board of directors has historically reviewed these target percentages to ensure they are adequate, but does not follow a formula. Instead, our board of directors set these rates based on each NEO’s experience in their role with us and the level of responsibility held by the NEO, which we believe directly correlates to their ability to influence corporate results.</w:t>
      </w:r>
    </w:p>
    <w:p>
      <w:pPr>
        <w:spacing w:after="0" w:line="19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For determining performance bonus amounts, our board of directors set certain corporate performance goals after receiving input from our Chief Executive Officer. Mr. Berns’ bonus is based 100% on the achievement of our corporate goals and Dr. Pinto’s and Dr. Dunlop’s bonus is based 75% on the achievement of our corporate goals and 25% on individual performance. In January 2023, our board of directors, upon recommendation of the compensation committee, determined corporate goal achievement at 98.5% and assessed Dr. Pinto’s and Dr. Dunlop’s individual performance. The actual amounts paid to our named executive officers are set forth in the Summary Compensation Table above under the column “Non-Equity Incentive Plan Compensation.”</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Dr. Pinto’s annual bonus opportunity remains 40% of his base salary for 2023. In July 2023, the annual bonus opportunity for each of Mr. Berns and Mr. Gosebruch was set at 60% of his respective base salary.</w:t>
      </w:r>
    </w:p>
    <w:p>
      <w:pPr>
        <w:spacing w:after="0" w:line="170"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Mr. Gosebruch was also provided a sign on bonus in the amount of $2,500,000 in connection with his commencement of employment with us as our President and Chief Executive Officer in July 2023. The sign on bonus must be repaid in full if Mr. Gosebruch’s employment with us is terminated prior to July 2025 for any reason other than a termination by us for cause, by Mr. Gosebruch for good reason or as a result of death or disability.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January 2022, our board of directors modified the performance goals applicable to the performance-based portion of the option granted to Dr. Pinto on June 7, 2021 in connection with his commencement of employment with us. The modified portion of the option, which covers 446,068 shares of our common stock, provides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vesting in three tranches. The first tranche commences vesting upon completion of this offering, with 50% of the shares underlying the tranche vesting on the closing of this offering and 50% of the shares underlying the tranche vesting in 24 equal monthly installments. The remaining two tranches commence vesting upon the achievement of two stock price goals, with the portion earned based on achievement vesting in equal monthly installments over the two years subsequent to achievement. In June 2023, the option vesting terms were further modified to remove the stock price goals applicable to the second and third tranches and, in lieu, a 36 month monthly time based vesting commencing on June 30, 2023 was implemented.</w:t>
      </w:r>
    </w:p>
    <w:p>
      <w:pPr>
        <w:spacing w:after="0" w:line="16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January 2022, our board of directors granted each of Mr. Berns, Dr. Pinto and Dr. Dunlop an option to purchase 497,049, 720,084 and 203,917 shares of our common stock, respectively, with an exercise price per share of $4.63, that vests as to 25% of the shares underlying the option on February 1, 2023 and as to 1/48th of the original number of shares underlying the option each month thereafter, subject to continued service to us through the applicable vesting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connection with Mr. Berns’ transition to serve as our Executive Chairman in July 2023, we granted Mr. Berns an option to purchase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955,864 shares of our common stock, with an exercise price per share of $0.81, that vests as to 25% of the shares underlying the option on July 3, 2024</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as to 1/48th of the original number of shares underlying the option each month thereafter, subject to continued service to us through the applicable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vesting date.</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Mr. Gosebruch’s commencement of employment with us in July 2023 as our President and Chief Executive Officer, we granted Mr. Gosebruch an option to purchase 2,039,177 shares of our common stock for $6.36 per share. Mr. Gosebruch’s option vests as to 25% of the shares underlying the option on July 3, 2024 and as to 1/48th of the original number of shares underlying the option each month thereafter, subject to continued service to us through the applicable vesting date.</w:t>
      </w:r>
    </w:p>
    <w:p>
      <w:pPr>
        <w:spacing w:after="0" w:line="187" w:lineRule="exact"/>
        <w:rPr>
          <w:sz w:val="20"/>
          <w:szCs w:val="20"/>
          <w:color w:val="auto"/>
        </w:rPr>
      </w:pPr>
    </w:p>
    <w:p>
      <w:pPr>
        <w:ind w:left="120" w:right="160" w:firstLine="440"/>
        <w:spacing w:after="0" w:line="251" w:lineRule="auto"/>
        <w:rPr>
          <w:sz w:val="20"/>
          <w:szCs w:val="20"/>
          <w:color w:val="auto"/>
        </w:rPr>
      </w:pPr>
      <w:r>
        <w:rPr>
          <w:rFonts w:ascii="Arial" w:cs="Arial" w:eastAsia="Arial" w:hAnsi="Arial"/>
          <w:sz w:val="17"/>
          <w:szCs w:val="17"/>
          <w:color w:val="auto"/>
        </w:rPr>
        <w:t>We also granted Mr. Gosebruch the right to purchase 127,448 fully vested shares of our common stock, the stock purchase right, for $6.36 per share and a restricted stock award covering 382,345 shares of our common stock if Mr. Gosebruch exercised the stock purchase right in full. In July 2023, Mr. Gosebruch exercised his stock purchase right in full and, in turn, the restricted stock award was granted covering 382,345 shares of our common stock, all of which were subject to a risk of forfeiture upon certain terminations of Mr. Gosebruch’s employment. The risk of forfeiture lapses as to 25% of the shares underlying the restricted stock award on July 3, 2024 and as to 1/48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of the original number of shares underlying the restricted stock award each month thereafter, subject to continued service to us.</w:t>
      </w:r>
    </w:p>
    <w:p>
      <w:pPr>
        <w:spacing w:after="0" w:line="18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connection with this offering, we have adopted the 2023 Plan in order to facilitate the grant of cash and equity incentives to directors, employees (including our NEOs) and consultants of our company and certain of its affiliates and to enable us to obtain and retain services of these individuals, which is essential to our long-term success. We expect that the 2023 Plan will be effective on the day prior to the first public trading date of our common stock, subject to approval of such plan by our stockholders. For additional information about the 2023 Plan, please see the section titled “Shares Eligible for Future Sale—Equity Incentive Plans.”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Elements of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1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During 2022, we matched 50% of up to 6% of employee, including NEO, compensation that is contributed to our 401(k) plan, up to plan limits.</w:t>
      </w:r>
    </w:p>
    <w:p>
      <w:pPr>
        <w:spacing w:after="0" w:line="14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 Our NEOs are eligible for certain enhanced benefits under our executive-level medical insurance, life insurance and short-term and long-term disability insurance.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did not provide any perquisites to our named executive officers during 2022, other than a $215,000 relocation allowance paid to Dr. Pinto in order to incentivize him to relocate his principal residence to the general vicinity of our offices.</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July 2023, in connection with Mr. Gosebruch’s commencement of employment with us as our President and Chief Executive Officer, we reimbursed Mr. Gosebruch legal fees incurred in negotiating his employment agreement with us.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compensation committee may from time to time approve perquisites in the future when our compensation committee determines that they are necessary or advisable to fairly compensate or incentivize our employees.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2022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lists all outstanding equity awards held by our NEOs as of December 31, 2022.</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2"/>
              </w:rPr>
              <w:t>Option Awards</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4"/>
          </w:tcPr>
          <w:p>
            <w:pPr>
              <w:ind w:left="54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Borders>
              <w:top w:val="single" w:sz="8" w:color="auto"/>
            </w:tcBorders>
            <w:gridSpan w:val="2"/>
          </w:tcPr>
          <w:p>
            <w:pPr>
              <w:jc w:val="center"/>
              <w:ind w:right="380"/>
              <w:spacing w:after="0" w:line="110" w:lineRule="exact"/>
              <w:rPr>
                <w:sz w:val="20"/>
                <w:szCs w:val="20"/>
                <w:color w:val="auto"/>
              </w:rPr>
            </w:pPr>
            <w:r>
              <w:rPr>
                <w:rFonts w:ascii="Arial" w:cs="Arial" w:eastAsia="Arial" w:hAnsi="Arial"/>
                <w:sz w:val="12"/>
                <w:szCs w:val="12"/>
                <w:b w:val="1"/>
                <w:bCs w:val="1"/>
                <w:color w:val="auto"/>
                <w:w w:val="98"/>
              </w:rPr>
              <w:t>Equity</w:t>
            </w:r>
          </w:p>
        </w:tc>
        <w:tc>
          <w:tcPr>
            <w:tcW w:w="7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8"/>
              </w:rPr>
              <w:t>Incentive</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7"/>
              </w:rPr>
              <w:t>Plan</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9"/>
              </w:rPr>
              <w:t>Awards:</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3"/>
              </w:rPr>
              <w:t>Number</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Equity</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2"/>
              </w:rPr>
              <w:t>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Incentive</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9"/>
              </w:rPr>
              <w:t>Unearned</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Plan Awards:</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0"/>
              </w:rPr>
              <w:t>Shares,</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Number of</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Number of</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7"/>
              </w:rPr>
              <w:t>Units, or</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8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2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Other</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Underlying</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1"/>
              </w:rPr>
              <w:t>Underlying</w:t>
            </w:r>
          </w:p>
        </w:tc>
        <w:tc>
          <w:tcPr>
            <w:tcW w:w="2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Underlying</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3"/>
              </w:rPr>
              <w:t>Rights</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2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Unexerdcised,</w:t>
            </w: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3"/>
              </w:rPr>
              <w:t>That Have</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Vesting</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Options</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7"/>
              </w:rPr>
              <w:t>Optiodns</w:t>
            </w:r>
          </w:p>
        </w:tc>
        <w:tc>
          <w:tcPr>
            <w:tcW w:w="2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Unearned</w:t>
            </w: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Exercise</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10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Not</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Arial" w:cs="Arial" w:eastAsia="Arial" w:hAnsi="Arial"/>
                <w:sz w:val="13"/>
                <w:szCs w:val="13"/>
                <w:b w:val="1"/>
                <w:bCs w:val="1"/>
                <w:color w:val="auto"/>
                <w:w w:val="84"/>
              </w:rPr>
              <w:t>Name</w:t>
            </w:r>
          </w:p>
        </w:tc>
        <w:tc>
          <w:tcPr>
            <w:tcW w:w="254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Commencement</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Exercisable</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3"/>
              </w:rPr>
              <w:t>Unexercisable</w:t>
            </w:r>
          </w:p>
        </w:tc>
        <w:tc>
          <w:tcPr>
            <w:tcW w:w="2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Options</w:t>
            </w: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Price</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Expiration</w:t>
            </w: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79"/>
              </w:rPr>
              <w:t>Vested</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60"/>
        </w:trPr>
        <w:tc>
          <w:tcPr>
            <w:tcW w:w="320" w:type="dxa"/>
            <w:vAlign w:val="bottom"/>
            <w:tcBorders>
              <w:bottom w:val="single" w:sz="8" w:color="auto"/>
            </w:tcBorders>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80"/>
              <w:spacing w:after="0" w:line="140" w:lineRule="exact"/>
              <w:rPr>
                <w:sz w:val="20"/>
                <w:szCs w:val="20"/>
                <w:color w:val="auto"/>
              </w:rPr>
            </w:pPr>
            <w:r>
              <w:rPr>
                <w:rFonts w:ascii="Arial" w:cs="Arial" w:eastAsia="Arial" w:hAnsi="Arial"/>
                <w:sz w:val="11"/>
                <w:szCs w:val="11"/>
                <w:b w:val="1"/>
                <w:bCs w:val="1"/>
                <w:color w:val="auto"/>
                <w:w w:val="95"/>
              </w:rPr>
              <w:t xml:space="preserve">Date </w:t>
            </w:r>
            <w:r>
              <w:rPr>
                <w:rFonts w:ascii="Arial" w:cs="Arial" w:eastAsia="Arial" w:hAnsi="Arial"/>
                <w:sz w:val="16"/>
                <w:szCs w:val="16"/>
                <w:b w:val="1"/>
                <w:bCs w:val="1"/>
                <w:color w:val="auto"/>
                <w:w w:val="95"/>
                <w:vertAlign w:val="superscript"/>
              </w:rPr>
              <w:t>(1)</w:t>
            </w:r>
          </w:p>
        </w:tc>
        <w:tc>
          <w:tcPr>
            <w:tcW w:w="7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8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3"/>
                <w:szCs w:val="13"/>
                <w:color w:val="auto"/>
              </w:rPr>
            </w:pPr>
          </w:p>
        </w:tc>
        <w:tc>
          <w:tcPr>
            <w:tcW w:w="1040" w:type="dxa"/>
            <w:vAlign w:val="bottom"/>
            <w:gridSpan w:val="2"/>
          </w:tcPr>
          <w:p>
            <w:pPr>
              <w:jc w:val="center"/>
              <w:ind w:left="154"/>
              <w:spacing w:after="0" w:line="140" w:lineRule="exact"/>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3"/>
                <w:szCs w:val="13"/>
                <w:color w:val="auto"/>
              </w:rPr>
            </w:pPr>
          </w:p>
        </w:tc>
        <w:tc>
          <w:tcPr>
            <w:tcW w:w="4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3"/>
                <w:szCs w:val="13"/>
                <w:color w:val="auto"/>
              </w:rPr>
            </w:pPr>
          </w:p>
        </w:tc>
        <w:tc>
          <w:tcPr>
            <w:tcW w:w="94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5"/>
              </w:rPr>
              <w:t>Date</w:t>
            </w:r>
          </w:p>
        </w:tc>
        <w:tc>
          <w:tcPr>
            <w:tcW w:w="6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w:t>
            </w:r>
          </w:p>
        </w:tc>
        <w:tc>
          <w:tcPr>
            <w:tcW w:w="380" w:type="dxa"/>
            <w:vAlign w:val="bottom"/>
          </w:tcPr>
          <w:p>
            <w:pPr>
              <w:spacing w:after="0"/>
              <w:rPr>
                <w:sz w:val="13"/>
                <w:szCs w:val="13"/>
                <w:color w:val="auto"/>
              </w:rPr>
            </w:pPr>
          </w:p>
        </w:tc>
        <w:tc>
          <w:tcPr>
            <w:tcW w:w="760" w:type="dxa"/>
            <w:vAlign w:val="bottom"/>
          </w:tcPr>
          <w:p>
            <w:pPr>
              <w:jc w:val="center"/>
              <w:spacing w:after="0" w:line="140" w:lineRule="exact"/>
              <w:rPr>
                <w:sz w:val="20"/>
                <w:szCs w:val="20"/>
                <w:color w:val="auto"/>
              </w:rPr>
            </w:pPr>
            <w:r>
              <w:rPr>
                <w:rFonts w:ascii="Arial" w:cs="Arial" w:eastAsia="Arial" w:hAnsi="Arial"/>
                <w:sz w:val="11"/>
                <w:szCs w:val="11"/>
                <w:b w:val="1"/>
                <w:bCs w:val="1"/>
                <w:color w:val="auto"/>
                <w:w w:val="94"/>
              </w:rPr>
              <w:t xml:space="preserve">($) </w:t>
            </w:r>
            <w:r>
              <w:rPr>
                <w:rFonts w:ascii="Arial" w:cs="Arial" w:eastAsia="Arial" w:hAnsi="Arial"/>
                <w:sz w:val="16"/>
                <w:szCs w:val="16"/>
                <w:b w:val="1"/>
                <w:bCs w:val="1"/>
                <w:color w:val="auto"/>
                <w:w w:val="94"/>
                <w:vertAlign w:val="superscript"/>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Paul L. Berns</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2/1/2022</w:t>
            </w:r>
          </w:p>
        </w:tc>
        <w:tc>
          <w:tcPr>
            <w:tcW w:w="3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497,049</w:t>
            </w: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4.63</w:t>
            </w: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1/26/2032</w:t>
            </w: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1/17/2020</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0.001</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1,725,866</w:t>
            </w:r>
            <w:r>
              <w:rPr>
                <w:rFonts w:ascii="Arial" w:cs="Arial" w:eastAsia="Arial" w:hAnsi="Arial"/>
                <w:sz w:val="10"/>
                <w:szCs w:val="10"/>
                <w:color w:val="auto"/>
              </w:rPr>
              <w:t>(3)</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11,238,229</w:t>
            </w: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11/1/2018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88,707</w:t>
            </w: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10.83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9/7/2030</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60" w:type="dxa"/>
            <w:vAlign w:val="bottom"/>
            <w:gridSpan w:val="2"/>
          </w:tcPr>
          <w:p>
            <w:pPr>
              <w:spacing w:after="0" w:line="130" w:lineRule="exact"/>
              <w:rPr>
                <w:sz w:val="20"/>
                <w:szCs w:val="20"/>
                <w:color w:val="auto"/>
              </w:rPr>
            </w:pPr>
            <w:r>
              <w:rPr>
                <w:rFonts w:ascii="Arial" w:cs="Arial" w:eastAsia="Arial" w:hAnsi="Arial"/>
                <w:sz w:val="14"/>
                <w:szCs w:val="14"/>
                <w:color w:val="auto"/>
              </w:rPr>
              <w:t>Joshua Pinto, Ph.D.</w:t>
            </w:r>
          </w:p>
        </w:tc>
        <w:tc>
          <w:tcPr>
            <w:tcW w:w="220" w:type="dxa"/>
            <w:vAlign w:val="bottom"/>
          </w:tcPr>
          <w:p>
            <w:pPr>
              <w:spacing w:after="0"/>
              <w:rPr>
                <w:sz w:val="11"/>
                <w:szCs w:val="11"/>
                <w:color w:val="auto"/>
              </w:rPr>
            </w:pPr>
          </w:p>
        </w:tc>
        <w:tc>
          <w:tcPr>
            <w:tcW w:w="12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2/1/2022</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720,084</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4.63</w:t>
            </w:r>
          </w:p>
        </w:tc>
        <w:tc>
          <w:tcPr>
            <w:tcW w:w="94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1/26/2032</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4"/>
                <w:szCs w:val="14"/>
                <w:color w:val="auto"/>
              </w:rPr>
              <w:t>6/1/2021</w:t>
            </w:r>
            <w:r>
              <w:rPr>
                <w:rFonts w:ascii="Arial" w:cs="Arial" w:eastAsia="Arial" w:hAnsi="Arial"/>
                <w:sz w:val="10"/>
                <w:szCs w:val="10"/>
                <w:color w:val="auto"/>
              </w:rPr>
              <w:t>(4)</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63,724</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318,621</w:t>
            </w:r>
          </w:p>
        </w:tc>
        <w:tc>
          <w:tcPr>
            <w:tcW w:w="1300" w:type="dxa"/>
            <w:vAlign w:val="bottom"/>
            <w:gridSpan w:val="3"/>
          </w:tcPr>
          <w:p>
            <w:pPr>
              <w:jc w:val="right"/>
              <w:ind w:right="260"/>
              <w:spacing w:after="0"/>
              <w:rPr>
                <w:sz w:val="20"/>
                <w:szCs w:val="20"/>
                <w:color w:val="auto"/>
              </w:rPr>
            </w:pPr>
            <w:r>
              <w:rPr>
                <w:rFonts w:ascii="Arial" w:cs="Arial" w:eastAsia="Arial" w:hAnsi="Arial"/>
                <w:sz w:val="14"/>
                <w:szCs w:val="14"/>
                <w:color w:val="auto"/>
              </w:rPr>
              <w:t>334,552</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2.51</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6/6/2031</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111,517</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370,387</w:t>
            </w:r>
          </w:p>
        </w:tc>
        <w:tc>
          <w:tcPr>
            <w:tcW w:w="0" w:type="dxa"/>
            <w:vAlign w:val="bottom"/>
          </w:tcPr>
          <w:p>
            <w:pPr>
              <w:spacing w:after="0"/>
              <w:rPr>
                <w:sz w:val="1"/>
                <w:szCs w:val="1"/>
                <w:color w:val="auto"/>
              </w:rPr>
            </w:pPr>
          </w:p>
        </w:tc>
      </w:tr>
      <w:tr>
        <w:trPr>
          <w:trHeight w:val="130"/>
        </w:trPr>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John Dunlop, Ph.D.</w:t>
            </w:r>
          </w:p>
        </w:tc>
        <w:tc>
          <w:tcPr>
            <w:tcW w:w="1500" w:type="dxa"/>
            <w:vAlign w:val="bottom"/>
            <w:gridSpan w:val="3"/>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2/1/2022</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203,917</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4.63</w:t>
            </w:r>
          </w:p>
        </w:tc>
        <w:tc>
          <w:tcPr>
            <w:tcW w:w="9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1/26/2032</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9/4/2020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35,844</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27,879</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2.51</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9/2/2030</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1/17/2020</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0.001</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138,069</w:t>
            </w:r>
            <w:r>
              <w:rPr>
                <w:rFonts w:ascii="Arial" w:cs="Arial" w:eastAsia="Arial" w:hAnsi="Arial"/>
                <w:sz w:val="10"/>
                <w:szCs w:val="10"/>
                <w:color w:val="auto"/>
              </w:rPr>
              <w:t>(3)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899,059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30"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Except as otherwise noted, each Option vests and becomes exercisable as to 25% of the underlying shares on the first anniversary of the vesting commencement date and as to 1/48</w:t>
      </w:r>
      <w:r>
        <w:rPr>
          <w:rFonts w:ascii="Arial" w:cs="Arial" w:eastAsia="Arial" w:hAnsi="Arial"/>
          <w:sz w:val="10"/>
          <w:szCs w:val="10"/>
          <w:color w:val="auto"/>
        </w:rPr>
        <w:t>th</w:t>
      </w:r>
      <w:r>
        <w:rPr>
          <w:rFonts w:ascii="Arial" w:cs="Arial" w:eastAsia="Arial" w:hAnsi="Arial"/>
          <w:sz w:val="14"/>
          <w:szCs w:val="14"/>
          <w:color w:val="auto"/>
        </w:rPr>
        <w:t xml:space="preserve"> of the underlying shares on each monthly anniversary of the vesting commencement date thereafter, in each case, subject to continued service to us.</w:t>
      </w:r>
    </w:p>
    <w:p>
      <w:pPr>
        <w:ind w:left="540" w:right="60" w:hanging="424"/>
        <w:spacing w:after="0" w:line="221"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Market value based on $6.51 per share, the fair market value of our common stock as of December 31, 2022, as determined by our board of directors, less the repurchase price payable by us.</w:t>
      </w:r>
    </w:p>
    <w:p>
      <w:pPr>
        <w:ind w:left="540" w:right="20" w:hanging="424"/>
        <w:spacing w:after="0" w:line="221"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Constitutes restricted shares of our common stock acquired upon exercise of a stock purchase right that remain subject to repurchase by us at their original purchase price of $0.001 per share. The restricted shares vest and our repurchase right lapses in substantially equal monthly installments through the fourth anniversary of the vesting commencement date, subject to continued service to us.</w:t>
      </w:r>
    </w:p>
    <w:p>
      <w:pPr>
        <w:ind w:left="540" w:hanging="424"/>
        <w:spacing w:after="0" w:line="243" w:lineRule="auto"/>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382,345 shares that remain subject to the option were subject to service-based vesting and 446,068 shares underlying the option were subject to performance-based vesting. The unvested portion of the service-based portion of the option vests in substantially equal monthly installments through the fourth anniversary of the vesting commencement date, subject to continued service to us. The performance-based portion of the option is split into three tranches. The first tranche will become eligible to vest upon the closing of this offering, with 50% of the shares in the first tranche vesting on the closing on this offering and 50% of the shares in the first tranche vesting in 24 equal monthly installments commencing on the closing of this offering. The remaining two tranches will vest in 36 equal monthly installments commencing June 30, 2023. The option was exercised in respect of 238,966 shares prior to vesting, of which 111,517 shares remain subject to performance-based vesting. The shares acquired prior to vesting are subject to a repurchase right in favor of us for $2.51 per share in the event the NEO terminates employment prior to vesting. Exercised shares vest prior to shares that remain subject to the option.</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entered into offer letters and proprietary information and invention assignment agreements with each of our NEOs. Each offer letter sets forth the title, base salary, target bonus opportunity and initial equity award for the executive. The offer letters entered into with Mr. Berns and Dr. Pinto provide the executive with four months’ base salary and up to four months of continued healthcare coverage or COBRA reimbursements in the event the executive’s employment is terminated by us without cause or by the executive for good reason. In addition, Dr. Pinto’s offer letter provided for a sign-on bonus and included a provision entitling Dr. Pinto to any better employment terms negotiated by any other executive directly reporting to our Chief Executive Officer.</w:t>
      </w:r>
    </w:p>
    <w:p>
      <w:pPr>
        <w:spacing w:after="0" w:line="192"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In April 2022, we entered into new employment agreements with Mr. Berns, Dr. Pinto and Dr. Dunlop that superseded their prior offer letters. In addition to setting forth the title, base salary and target bonus opportunity for each executive, the employment agreements provide for the executive to receive severance in the event the executive’s employment with us is terminated by us without cause or by the executive for good reason, each as defined in the applicable employment agreement. In the event the qualifying termination occurs more than 3 months prior to or more than 18 months after a change in control, as defined in each employment agreement, Mr. Berns is entitled to receive 12 months continued base salary and up to 12 months of continued health-care coverage or COBRA reimbursements and each of Dr. Pinto and Dr. Dunlop is entitled to receive 9 months continued base salary and up to 9 months of continued healthcare coverage or COBRA reimbursements. In the event the qualifying termination occurs within the period beginning 3 months prior to and ending 18 months after a change in control, Mr. Berns is entitled to a lump sum payment of 12 months base salary and his target bonus opportunity, continued healthcare coverage or COBRA reimbursements for up to 18 months and full vesting acceleration of all equity awards, and each of Dr. Pinto and Dr. Dunlop is entitled to a lump sum payment of 12 months base salary and his target bonus opportunity, continued healthcare coverage or COBRA reimbursement for up to 12 months and full vesting acceleration of all equity awards. Each executive must provide a general release of claims in order to receive severance benefits.</w:t>
      </w:r>
    </w:p>
    <w:p>
      <w:pPr>
        <w:spacing w:after="0" w:line="16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July 2023, Mr. Berns transitioned to serve as our Executive Chairman and Mr. Gosebruch commenced employment with us as our President and Chief Executive Officer. Dr. Dunlop’s employment with us terminated in May 2023.</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connection with Mr. Berns’ transition to the role of Executive Chairman in July 2023, we entered into an Executive Chairman Agreement with him that superseded the employment agreement described above. Under the Executive Chairman Agreement, Mr. Berns will be paid an annual base salary of $450,000 and be eligible for an annual bonus targeted at 60% of his base salary. The Executive Chairman Agreement also provided for Mr. Berns to be granted an option to purchase 955,864 shares of our common stock, with an exercise price per share of $6.36, which our board of directors determined was equal to the fair market value of a share on the date of grant, that vests as to 25% of the shares underlying the option on July 3, 2024 and as to 1/48th of the original number of shares underlying the option each month thereafter, subject to continued service to us through the applicable vesting date. Under the Executive Chairman Agreement, in the event of a change in control, as defined in the Executive Chairman Agreement, the vesting of each stock option and other equity award held by Mr. Berns will fully accelerate.</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July 2023, we entered into an Executive Employment Agreement with Mr. Gosebruch setting forth the terms and conditions of Mr. Gosebruch’s employment with us as our President and Chief Executive Officer. The Executive Employment Agreement provides for Mr. Gosebruch to be paid an annual base salary of $675,000 and an annual bonus targeted at 60% of Mr. Gosebruch’s base salary. The Executive Employment Agreement also provided for Mr. Gosebruch to be paid a sign on bonus in the amount of $2,500,000 that must be repaid in full if Mr. Gosebruch’s employment with us is terminated prior to July 2025 for any reason other than a termination by us for cause, by Mr. Gosebruch for good reason or as a result of death or disability, in each case, as defined in the Executive Employment Agreement.</w:t>
      </w:r>
    </w:p>
    <w:p>
      <w:pPr>
        <w:spacing w:after="0" w:line="178"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In addition, the Executive Employment Agreement provided for the grant to Mr. Gosebruch of an option to purchase 2,039,177 shares of our common stock for $6.36 per share, which our board of directors determined was equal to the fair market value of a share on the date of grant. Mr. Gosebruch’s option vests as to 25%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shares underlying the option on July 3, 2024 and as to 1/48th of the original number of shares underlying the option each month thereafter, subject to continued service to us through the applicable vesting date. The Executive Employment Agreement also provided for the grant to Mr. Gosebruch of a stock purchase right covering 127,448 fully vested shares of our common stock for $6.36 per share, which our board of directors determined was equal to the fair market value of a share on the date of grant and a restricted stock award covering 382,345 shares of our common stock if Mr. Gosebruch exercised the stock purchase right in full. In July 2023, Mr. Gosebruch exercised his stock purchase right in full and, in accordance with the Executive Employment Agreement, the restricted stock award was granted covering 382,345 shares of our common stock, all of which were subject to a risk of forfeiture upon certain terminations of Mr. Gosebruch’s employment. The risk of forfeiture lapses as to 25% of the shares underlying the restricted stock award on July 3, 2024 and as to 1/48th of the original number of shares underlying the restricted stock award each month thereafter, subject to continued service to us through the applicable vesting date.</w:t>
      </w:r>
    </w:p>
    <w:p>
      <w:pPr>
        <w:spacing w:after="0" w:line="18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Under the Executive Employment Agreement, Mr. Gosebruch is eligible to receive severance in the event the his employment with us is terminated by us without cause or by him for good reason. In the event the qualifying termination occurs more than 3 months prior to or more than 12 months after a change in control, as defined in the Executive Employment Agreement, Mr. Gosebruch is entitled to receive 12 months continued base salary, his target bonus opportunity, up to 12 months of continued health-care coverage or COBRA reimbursements and solely in the event of a termination by us without cause, extended exercisability of any portion of the initial stock option granted to Mr. Gosebruch that is vested and outstanding as of the date of termination through the earliest of the (i) the 10 year anniversary of the stock option grant, (ii) the nine-month anniversary of this offering, or (iii) immediately prior to a change in control. In the event the qualifying termination occurs within the period beginning 3 months prior to and ending 12 months after a change in control, Mr. Gosebruch is entitled to 24 months of base salary, two times his target annual bonus opportunity, continued healthcare coverage or COBRA reimbursements for up to 24 months and full vesting acceleration of all equity awards. Mr. Gosebruch must provide a general release of claims in order to receive severance benefits.</w:t>
      </w:r>
    </w:p>
    <w:p>
      <w:pPr>
        <w:spacing w:after="0" w:line="18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Executive Employment Agreement also provided for us to reimburse Mr. Gosebruch up to $20,000 for legal fees incurred in negotiating the Executive Employment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following summarizes the material terms of the long-term incentive compensation plan in which our named executive officers will be eligible to participate following the consummation of this offering and our 2020 Equity Incentive Plan (the 2020 Plan) and the Blackthorn Therapeutics, Inc. 2015 Equity Incentive Plan that we assumed in a transaction in 2020 (the 2015 Plan, and together with the 2020 Plan, the Prior Plans), under which we have previously made periodic grants of equity and equity-based awards to our named executive officers and other key employees.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Incentive Award Plan</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adopted the 2023 Plan, which will be effective on the day prior to the first public trading date of our common stock. The principal purpose of the 2023 Plan is to attract, retain and motivate selected employees, consultants and directors through the granting of stock-based compensation awards and cash-based performance bonus awards. The material terms of the 2023 Plan, as it is currently contemplated, are summarized below.</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Under the 2023 Plan, a number of shares of our common stock equal to 10% of our outstanding common stock after this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giving effect to the underwriters option to purchase additional shares in this offering) plus any shares of our common stock reserved for future issuance under our 2020 Plan that have not been issued pursuant to any outstanding equity grants, will be initially reserved for issuance pursuant to a variety of stock-based compensation awards, including stock options, stock appreciation rights, or SARs, restricted stock awards, restricted stock unit awards and other stock-based awards. The number of shares initially reserved for issuance or transfer pursuant to awards under the 2023 Plan will be increased by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hanging="4"/>
        <w:spacing w:after="0" w:line="287" w:lineRule="auto"/>
        <w:tabs>
          <w:tab w:leader="none" w:pos="33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number of shares represented by awards outstanding under our Prior Plans, or Prior Plan Awards, that become available for issuance under the counting provisions described below following the effective date and (ii) an annual increase on each January 1 beginning in 2024 and ending in 2032, equal to the lesser of (A) 5% of the shares of our common stock outstanding (on an as converted basis) on the immediately preceding December 31 and</w:t>
      </w:r>
    </w:p>
    <w:p>
      <w:pPr>
        <w:spacing w:after="0" w:line="2" w:lineRule="exact"/>
        <w:rPr>
          <w:rFonts w:ascii="Arial" w:cs="Arial" w:eastAsia="Arial" w:hAnsi="Arial"/>
          <w:sz w:val="16"/>
          <w:szCs w:val="16"/>
          <w:color w:val="auto"/>
        </w:rPr>
      </w:pPr>
    </w:p>
    <w:p>
      <w:pPr>
        <w:ind w:left="120" w:right="180"/>
        <w:spacing w:after="0" w:line="260" w:lineRule="auto"/>
        <w:rPr>
          <w:rFonts w:ascii="Arial" w:cs="Arial" w:eastAsia="Arial" w:hAnsi="Arial"/>
          <w:sz w:val="16"/>
          <w:szCs w:val="16"/>
          <w:color w:val="auto"/>
        </w:rPr>
      </w:pPr>
      <w:r>
        <w:rPr>
          <w:rFonts w:ascii="Arial" w:cs="Arial" w:eastAsia="Arial" w:hAnsi="Arial"/>
          <w:sz w:val="18"/>
          <w:szCs w:val="18"/>
          <w:color w:val="auto"/>
        </w:rPr>
        <w:t>(B) such smaller number of shares of stock as determined by our board of directors; provided, however, that no more than 85% shares of stock may be issued upon the exercise of incentive stock options.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counting provisions will be in effect for the share reserve under the 2023 Plan:</w:t>
      </w:r>
    </w:p>
    <w:p>
      <w:pPr>
        <w:spacing w:after="0" w:line="131" w:lineRule="exact"/>
        <w:rPr>
          <w:sz w:val="20"/>
          <w:szCs w:val="20"/>
          <w:color w:val="auto"/>
        </w:rPr>
      </w:pPr>
    </w:p>
    <w:p>
      <w:pPr>
        <w:ind w:left="1080" w:hanging="532"/>
        <w:spacing w:after="0" w:line="308"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2023 Plan;</w:t>
      </w:r>
    </w:p>
    <w:p>
      <w:pPr>
        <w:spacing w:after="0" w:line="51" w:lineRule="exact"/>
        <w:rPr>
          <w:rFonts w:ascii="Arial" w:cs="Arial" w:eastAsia="Arial" w:hAnsi="Arial"/>
          <w:sz w:val="17"/>
          <w:szCs w:val="17"/>
          <w:color w:val="auto"/>
        </w:rPr>
      </w:pPr>
    </w:p>
    <w:p>
      <w:pPr>
        <w:ind w:left="1080" w:right="340" w:hanging="532"/>
        <w:spacing w:after="0" w:line="34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the extent shares are tendered or withheld to satisfy the grant, exercise price or tax withholding obligation with respect to any award under the 2023 Plan or Prior Plan Award, such tendered or withheld shares will be available for future grants under the 2023 Plan;</w:t>
      </w:r>
    </w:p>
    <w:p>
      <w:pPr>
        <w:spacing w:after="0" w:line="2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2023 Plan;</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2023 Plan;</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Prior Plan Awards will not be counted against the shares available for issuance under the 2023 Plan; and</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2023 Plan.</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$1.5 million initially and $1.0 million annually thereafter.</w:t>
      </w:r>
    </w:p>
    <w:p>
      <w:pPr>
        <w:spacing w:after="0" w:line="18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compensation committee of our board of directors is expected to administer the 2023 Plan unless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2023 Plan provides that the board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7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Subject to the terms and conditions of the 2023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2023 Plan. The administrator is also authorized to adopt, amend or rescind rules relating to administration of the 2023 Plan. Our board of directors may at any time remove the compensation committee as the administrator and revest in itself the authority to administer the 2023 Plan. The full board of directors will administer the 2023 Plan with respect to awards to non-employee directors.</w:t>
      </w:r>
    </w:p>
    <w:p>
      <w:pPr>
        <w:spacing w:after="0" w:line="19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SARs, restricted stock and all other stock-based and cash-based awards under the 2022 Plan may be granted to individuals</w:t>
      </w:r>
      <w:r>
        <w:rPr>
          <w:rFonts w:ascii="Arial" w:cs="Arial" w:eastAsia="Arial" w:hAnsi="Arial"/>
          <w:sz w:val="16"/>
          <w:szCs w:val="16"/>
          <w:i w:val="1"/>
          <w:iCs w:val="1"/>
          <w:color w:val="auto"/>
        </w:rPr>
        <w:t xml:space="preserve"> </w:t>
      </w:r>
      <w:r>
        <w:rPr>
          <w:rFonts w:ascii="Arial" w:cs="Arial" w:eastAsia="Arial" w:hAnsi="Arial"/>
          <w:sz w:val="16"/>
          <w:szCs w:val="16"/>
          <w:color w:val="auto"/>
        </w:rPr>
        <w:t>who are then 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2023 Plan provides that the administrator may grant or issue stock options, SARs, restricted stock, restricted stock units, other stock-or cash-based awards and dividend equivalents, or any combination thereof. Each award will be set forth in a separate agreement with the person receiving the award and will indicate the type, terms and conditions of the award.</w:t>
      </w:r>
    </w:p>
    <w:p>
      <w:pPr>
        <w:spacing w:after="0" w:line="89" w:lineRule="exact"/>
        <w:rPr>
          <w:sz w:val="20"/>
          <w:szCs w:val="20"/>
          <w:color w:val="auto"/>
        </w:rPr>
      </w:pPr>
    </w:p>
    <w:p>
      <w:pPr>
        <w:ind w:left="1080" w:hanging="532"/>
        <w:spacing w:after="0" w:line="25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will provide for the right to purchase shares of our common stock at a specified price which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93" w:lineRule="exact"/>
        <w:rPr>
          <w:rFonts w:ascii="Arial" w:cs="Arial" w:eastAsia="Arial" w:hAnsi="Arial"/>
          <w:sz w:val="18"/>
          <w:szCs w:val="18"/>
          <w:color w:val="auto"/>
        </w:rPr>
      </w:pPr>
    </w:p>
    <w:p>
      <w:pPr>
        <w:ind w:left="1080" w:hanging="532"/>
        <w:spacing w:after="0" w:line="272"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or ISOs, will be designed in a manner intended to comply with the provisions of Section 422 of the Code,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2023 Plan provides that the exercise price must be at least 110% of the fair market value of a share of common stock on the date of grant and the ISO must not be exercisable after a period of five years measured from the date of grant.</w:t>
      </w:r>
    </w:p>
    <w:p>
      <w:pPr>
        <w:spacing w:after="0" w:line="82" w:lineRule="exact"/>
        <w:rPr>
          <w:rFonts w:ascii="Arial" w:cs="Arial" w:eastAsia="Arial" w:hAnsi="Arial"/>
          <w:sz w:val="17"/>
          <w:szCs w:val="17"/>
          <w:color w:val="auto"/>
        </w:rPr>
      </w:pPr>
    </w:p>
    <w:p>
      <w:pPr>
        <w:ind w:left="1080" w:right="20" w:hanging="532"/>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97" w:lineRule="exact"/>
        <w:rPr>
          <w:rFonts w:ascii="Arial" w:cs="Arial" w:eastAsia="Arial" w:hAnsi="Arial"/>
          <w:sz w:val="18"/>
          <w:szCs w:val="18"/>
          <w:color w:val="auto"/>
        </w:rPr>
      </w:pPr>
    </w:p>
    <w:p>
      <w:pPr>
        <w:ind w:left="1080" w:right="300" w:hanging="532"/>
        <w:spacing w:after="0" w:line="296"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66" w:lineRule="exact"/>
        <w:rPr>
          <w:rFonts w:ascii="Arial" w:cs="Arial" w:eastAsia="Arial" w:hAnsi="Arial"/>
          <w:sz w:val="16"/>
          <w:szCs w:val="16"/>
          <w:color w:val="auto"/>
        </w:rPr>
      </w:pPr>
    </w:p>
    <w:p>
      <w:pPr>
        <w:ind w:left="1080" w:right="280" w:hanging="532"/>
        <w:spacing w:after="0" w:line="275"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or SARs, may be granted in connection with stock options or other awards, or separately. SARs granted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stock options or other awards typically will provide for payments to the holder based upon increases in the price of our common stock over a set exercise price. The exercise price of any SAR granted under the 2023 Plan must be at least 100% of the fair market value of a share of our common stock on the date of grant. SARs under the 2023 Plan will be settled in cash or shares of our common stock, or in a combination of both, at the election of the administrator.</w:t>
      </w:r>
    </w:p>
    <w:p>
      <w:pPr>
        <w:spacing w:after="0" w:line="81" w:lineRule="exact"/>
        <w:rPr>
          <w:rFonts w:ascii="Arial" w:cs="Arial" w:eastAsia="Arial" w:hAnsi="Arial"/>
          <w:sz w:val="17"/>
          <w:szCs w:val="17"/>
          <w:color w:val="auto"/>
        </w:rPr>
      </w:pPr>
    </w:p>
    <w:p>
      <w:pPr>
        <w:ind w:left="1080" w:right="60" w:hanging="532"/>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common stock and other awards valued wholly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55"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 cash,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The administrator may also make appropriate adjustments to awards under the 2023 Plan and is authorized to provide for the acceleration, cash-out, termination, assumption, substitution or conversion of such awards in the event of a change in control or certain other unusual or nonrecurring events or transactions.</w:t>
      </w:r>
    </w:p>
    <w:p>
      <w:pPr>
        <w:spacing w:after="0" w:line="19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In the event of any stock dividend or other distribution, stock split, reverse stock split, reorganization, combination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2023 Plan or any awards under the 2023 Plan in order to prevent the dilution or enlargement of the potential benefits intended to be made available thereunder, the administrator will make appropriate, proportionate adjustments to: (i) the aggregate number and type of shares subject to the 2023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2023 Plan.</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2023 Plan at any time and from time to time. However, we</w:t>
      </w:r>
      <w:r>
        <w:rPr>
          <w:rFonts w:ascii="Arial" w:cs="Arial" w:eastAsia="Arial" w:hAnsi="Arial"/>
          <w:sz w:val="18"/>
          <w:szCs w:val="18"/>
          <w:i w:val="1"/>
          <w:iCs w:val="1"/>
          <w:color w:val="auto"/>
        </w:rPr>
        <w:t xml:space="preserve"> </w:t>
      </w:r>
      <w:r>
        <w:rPr>
          <w:rFonts w:ascii="Arial" w:cs="Arial" w:eastAsia="Arial" w:hAnsi="Arial"/>
          <w:sz w:val="18"/>
          <w:szCs w:val="18"/>
          <w:color w:val="auto"/>
        </w:rPr>
        <w:t>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88"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No incentive stock options may be granted pursuant to the 2023 Plan after the tenth anniversary of the effective date of the 2023 Plan, and no additional annual share increases to the 2023 Plan’s aggregate share limit will occur from and after such anniversary. Any award that is outstanding on the termination date of the 2023 Plan will remain in force according to the terms of the 2023 Plan and the applicable award agreement.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currently maintain the 2020 Plan, which was adopted by our board of directors in January 2020. We have previously granted stock options to our NEOs under the 2020 Plan, as described in more detail above. The principal purpose of the 2020 Plan is to enhance our ability to attract, retain and motivate persons who make (or are expected to make) important contributions to us by providing them with equity ownership opportunities.</w:t>
      </w:r>
    </w:p>
    <w:p>
      <w:pPr>
        <w:spacing w:after="0" w:line="14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Following the completion of this offering, we will not make any further grants under the 2020 Plan. However, the 2020 Plan will continue to govern the terms and conditions of the outstanding awards granted under the 2020 Plan which, as of the date of this prospectus, constitute 13,233,290 outstanding stock options and 1,019,586 restricted stock awards.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The 2020 Plan provides for the grant of non-qualified options, restricted stock, restricted stock units or other stock-based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non-employee members of the board of directors and consultants. The 2020 Plan provides for the grant of ISOs to employees.</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We have reserved an aggregate of 14,318,527 shares of our common stock for issuance under the 2020 Plan.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options to purchase a total of 9,176,991 shares of our common stock were issued and outstanding, a total of 1,620,877 shares of common stock had been issued upon the exercise of options or pursuant to other awards granted under the 2020 Plan and were outstanding, and 6,267,376 shares remained available for future grants.</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or a committee appointed by our board of directors administers the 2020 Plan. The administrator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select the service providers to whom equity awards will be granted under the 2020 Plan, the number of shares to be subject to those awards under the 2020 Plan, and the terms and conditions of the awards granted. In addition, the administrator has the authority to construe and interpret the 2020 Plan and to adopt rules for the administration, interpretation and application of the 2020 Plan that are consistent with the terms of the 2020 Plan.</w:t>
      </w:r>
    </w:p>
    <w:p>
      <w:pPr>
        <w:spacing w:after="0" w:line="15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2020 Plan provides that the administrator may grant or issue stock options, restricted stock, restricted stock units or stock awards,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combination thereof. Each award will be set forth in a separate agreement with the person receiving the award and will indicate the type, terms and conditions of the award.</w:t>
      </w:r>
    </w:p>
    <w:p>
      <w:pPr>
        <w:spacing w:after="0" w:line="89" w:lineRule="exact"/>
        <w:rPr>
          <w:sz w:val="20"/>
          <w:szCs w:val="20"/>
          <w:color w:val="auto"/>
        </w:rPr>
      </w:pPr>
    </w:p>
    <w:p>
      <w:pPr>
        <w:ind w:left="1080" w:right="8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NSOs will provide for the right to purchase shares of our common stock at a specified price which shall be not less than fair market value on the date of grant, and usually will become exercisable (at the discretion of the administrator) in one or more installments after the grant date, subject to the participant’s continued employment or service with us. NSOs may be granted for any term specified by the administrator, but in no event more than 10 years after they are granted.</w:t>
      </w:r>
    </w:p>
    <w:p>
      <w:pPr>
        <w:spacing w:after="0" w:line="92"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ISOs will be designed in a manner intended to comply with the provisions of Section 422 of the Code, and will be subject to specified restrictions contained in the Code. Among such restrictions, ISOs must have an exercise price of not less than the fair market value of a share of common stock on the date of grant (or 110% for an individual who owns (or is deemed to own) more than 10% of the total combined voting power of all classes of our capital stock), may only be granted to employees, and must not be exercisable after a period of ten years measured from the date of grant (or five years for an individual who owns (or is deemed to own) more than 10% of the total combined voting power of all classes of our capital stock).</w:t>
      </w:r>
    </w:p>
    <w:p>
      <w:pPr>
        <w:spacing w:after="0" w:line="97"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Restricted Stock may be granted to any eligible individual and made subject to such restrictions as may be determined by the administrator, including whether there is any purchase price.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Recipients of restricted stock awards will generally have rights equivalent to those of a stockholder with respect to such shares upon grant without regard to vesting.</w:t>
      </w:r>
    </w:p>
    <w:p>
      <w:pPr>
        <w:spacing w:after="0" w:line="81" w:lineRule="exact"/>
        <w:rPr>
          <w:rFonts w:ascii="Arial" w:cs="Arial" w:eastAsia="Arial" w:hAnsi="Arial"/>
          <w:sz w:val="17"/>
          <w:szCs w:val="17"/>
          <w:color w:val="auto"/>
        </w:rPr>
      </w:pPr>
    </w:p>
    <w:p>
      <w:pPr>
        <w:ind w:left="1080" w:right="60" w:hanging="532"/>
        <w:spacing w:after="0" w:line="279"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Restricted stock units are units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76" w:lineRule="exact"/>
        <w:rPr>
          <w:rFonts w:ascii="Arial" w:cs="Arial" w:eastAsia="Arial" w:hAnsi="Arial"/>
          <w:sz w:val="17"/>
          <w:szCs w:val="17"/>
          <w:color w:val="auto"/>
        </w:rPr>
      </w:pPr>
    </w:p>
    <w:p>
      <w:pPr>
        <w:ind w:left="1080" w:right="24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Stock Awards are awards of shares of our common stock and other awards valued wholly or partially by referring to, or otherwise based on, shares of our common stock. Stock awards may be granted to participants as standalone payments and as payment in lieu of base salary, bonus, fees or other cash compensation otherwise payable to any individual who is eligible to receive awards. The plan administrator will determine the terms and conditions of stock awards.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 participant may not transfer stock awards under our 2020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2020 Plan.</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i w:val="1"/>
          <w:iCs w:val="1"/>
          <w:color w:val="auto"/>
        </w:rPr>
        <w:t xml:space="preserve">Certain Events. </w:t>
      </w:r>
      <w:r>
        <w:rPr>
          <w:rFonts w:ascii="Arial" w:cs="Arial" w:eastAsia="Arial" w:hAnsi="Arial"/>
          <w:sz w:val="16"/>
          <w:szCs w:val="16"/>
          <w:color w:val="auto"/>
        </w:rPr>
        <w:t>In the event of any dividend or other distribution, reorganization, merger, consolidation, combination, repurchase,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liquidation, dissolution, or sale, transfer, exchange or other disposition of all or substantially all of the assets of the Company, or sale of exchange of our common stock or other securities, issuance of warrants or other rights to purchase common stock, or any other corporate transaction or event affecting the common stock that would require adjustments to the 2020 Plan or any awards under the 2020 Plan in order to prevent the dilution or enlargement of the potential benefits intended to be made available thereunder, the administrator will make appropriate, proportionate adjustments to: (i) the aggregate number and kind of shares with respect to which awards may be granted or awarded under the 2020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2020 Plan.</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the event of any transaction or event described above (including any change in control), the administrator may make appropriate adjustments to awards under the 2020 Plan and is authorized to provide for the acceleration, cash-out, termination, assumption, substitution or conversion of such awards in the event of a change in control or certain other unusual or nonrecurring events or transactions or to comply with changes in applicable laws or accounting principles.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Our board of directors may amend or terminate the 2020 Plan or any portion thereof at any time; an amendment of the</w:t>
      </w:r>
    </w:p>
    <w:p>
      <w:pPr>
        <w:spacing w:after="0" w:line="46"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2020 Plan shall be subject to the approval of our stockholders only to the extent required by applicable laws. As described above, the 2020 Plan will terminate when the 2023 Plan is effective. No awards may be granted under our 2020 Plan after it is terminated.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Blackthorn Therapeutics, Inc. 2015 Equity Incentive Plan</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previously had assumed the 2015 Plan as part of a transaction involving the acquisition of BlackThorn Therapeutics, Inc. in 2020. We have previously granted stock options to Mr. Berns under the 2015 Plan, as described in more detail below. The principal purpose of the 2015 Plan is to enhance our ability to attract, retain and motivate persons who make (or are expected to make) important contributions to us by providing them with equity ownership opportunities.</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2015 Plan was suspended in connection with the closing of the acquisition of BlackThorn in September 2020, and we will not make any further grants under the 2015 Plan. However, the 2015 Plan will continue to govern the terms and conditions of the outstanding awards granted under the 2015 Plan which, as of the date of this prospectus, constitute 185,562 outstanding stock options and zero restricted stock awards.</w:t>
      </w:r>
    </w:p>
    <w:p>
      <w:pPr>
        <w:spacing w:after="0" w:line="165"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The 2015 Plan provides for the grant of non-qualified options, restricted stock, restricted stock units or other stock-based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non-employee members of the board of directors and consultants. The 2015 Plan provides for the grant of ISOs to employees.</w:t>
      </w:r>
    </w:p>
    <w:p>
      <w:pPr>
        <w:spacing w:after="0" w:line="12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We have reserved an aggregate of 264,614 shares of our common stock for issuance under the 2015 Plan.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2022, options to purchase a total of 201,908 shares of our common stock were issued and outstanding, a total of 18,864 shares of common stock had been issued upon the exercise of options or pursuant to other awards granted under the 2015 Plan. As described above, the 2015 Plan was suspended in connection with the closing of the acquisition of BlackThorn in September 2020, and we will not make any further grants under the 2015 Plan.</w:t>
      </w:r>
    </w:p>
    <w:p>
      <w:pPr>
        <w:spacing w:after="0" w:line="15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committee appointed by our board of directors administers the 2015 Plan. The administrator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select the service providers to whom equity awards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granted under the 2015 Plan, the number of shares to be subject to those awards under the 2015 Plan, and the terms and conditions of the awards granted. In addition, the administrator has the authority to construe and interpret the 2015 Plan and to adopt rules for the administration, interpretation and application of the 2015 Plan that are consistent with the terms of the 2015 Plan.</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2015 Plan provides that the administrator may grant or issue stock options, restricted stock, restricted stock units or stock awards,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combination thereof. Each award will be set forth in a separate agreement with the person receiving the award and will indicate the type, terms and conditions of the award.</w:t>
      </w:r>
    </w:p>
    <w:p>
      <w:pPr>
        <w:spacing w:after="0" w:line="89" w:lineRule="exact"/>
        <w:rPr>
          <w:sz w:val="20"/>
          <w:szCs w:val="20"/>
          <w:color w:val="auto"/>
        </w:rPr>
      </w:pPr>
    </w:p>
    <w:p>
      <w:pPr>
        <w:ind w:left="1080" w:right="8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NSOs will provide for the right to purchase shares of our common stock at a specified price which shall be not less than fair market value on the date of grant, and usually will become exercisable (at the discretion of the administrator) in one or more installments after the grant date, subject to the participant’s continued employment or service with us. NSOs may be granted for any term specified by the administrator, but in no event more than 10 years after they are granted.</w:t>
      </w:r>
    </w:p>
    <w:p>
      <w:pPr>
        <w:spacing w:after="0" w:line="92"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ISOs will be designed in a manner intended to comply with the provisions of Section 422 of the Code, and will be subject to specified restrictions contained in the Code. Among such restrictions, ISOs must have an exercise price of not less than the fair market value of a share of common stock on the date of grant (or 110% for an individual who owns (or is deemed to own) more than 10% of the total combined voting power of all classes of our capital stock), may only be granted to employees, and must not be exercisable after a period of ten years measured from the date of grant (or five years for an individual who owns (or is deemed to own) more than 10% of the total combined voting power of all classes of our capital stock).</w:t>
      </w:r>
    </w:p>
    <w:p>
      <w:pPr>
        <w:spacing w:after="0" w:line="97"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Restricted Stock may be granted to any eligible individual and made subject to such restrictions as may be determined by the administrator, including whether there is any purchase price.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Recipients of restricted stock awards will generally have rights equivalent to those of a stockholder with respect to such shares upon grant without regard to vesting.</w:t>
      </w:r>
    </w:p>
    <w:p>
      <w:pPr>
        <w:spacing w:after="0" w:line="81" w:lineRule="exact"/>
        <w:rPr>
          <w:rFonts w:ascii="Arial" w:cs="Arial" w:eastAsia="Arial" w:hAnsi="Arial"/>
          <w:sz w:val="17"/>
          <w:szCs w:val="17"/>
          <w:color w:val="auto"/>
        </w:rPr>
      </w:pPr>
    </w:p>
    <w:p>
      <w:pPr>
        <w:ind w:left="1080" w:right="60" w:hanging="532"/>
        <w:spacing w:after="0" w:line="279"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Restricted stock units are units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76" w:lineRule="exact"/>
        <w:rPr>
          <w:rFonts w:ascii="Arial" w:cs="Arial" w:eastAsia="Arial" w:hAnsi="Arial"/>
          <w:sz w:val="17"/>
          <w:szCs w:val="17"/>
          <w:color w:val="auto"/>
        </w:rPr>
      </w:pPr>
    </w:p>
    <w:p>
      <w:pPr>
        <w:ind w:left="1080" w:right="24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Stock Awards are awards of shares of our common stock and other awards valued wholly or partially by referring to, or otherwise based on, shares of our common stock. Stock awards may be granted to participants as standalone payments and as payment in lieu of base salary, bonus, fees or other cash compensation otherwise payable to any individual who is eligible to receive awards. The plan administrator will determine the terms and conditions of stock awards.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 participant may not transfer stock awards under our 2015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2015 Plan.</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Certain Events. </w:t>
      </w:r>
      <w:r>
        <w:rPr>
          <w:rFonts w:ascii="Arial" w:cs="Arial" w:eastAsia="Arial" w:hAnsi="Arial"/>
          <w:sz w:val="18"/>
          <w:szCs w:val="18"/>
          <w:color w:val="auto"/>
        </w:rPr>
        <w:t>In the event of any dividend or other distribution, reorganization, merger, consolidation, combination, repurchase,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sale, transfer, exchange or other disposition of all or substantially all of the assets of the Company, or sale of exchange of our common stock or other securities, issuance of warrants or other rights to purchase common stock, or any other corporate transaction or event affecting the common stock that would require adjustments to the 2015 Plan or any awards under the 2015 Plan in order to prevent the dilution or enlargement of the potential benefits intended to be made available thereunder, the administrator will make appropriate, proportionate adjustments to: (i) the aggregate number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kind of shares with respect to which awards may be granted or awarded under the 2015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2015 Plan.</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the event of any transaction or event described above (including any change in control), the administrator may make appropriate adjustments to awards under the 2015 Plan and is authorized to provide for the acceleration, cash-out, termination, assumption, substitution or conversion of such awards in the event of a change in control or certain other unusual or nonrecurring events or transactions or to comply with changes in applicable laws or accounting principles. In the event a change in control occurs and the successor corporation refuses to assume or substitute for outstanding awards under the 2015 Plan, then the vesting of such awards (if held by a current service provider) will be fully accelerated immediately prior to the closing of such change in control, and such awards will terminate upon expiration of such period in exchange for a cash payment similar to holders of common stock in the transaction determined by reference to the number of shares subject to such awards and net of any applicable exercise price.</w:t>
      </w:r>
    </w:p>
    <w:p>
      <w:pPr>
        <w:spacing w:after="0" w:line="16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Our board of directors has the authority to amend, suspend or terminate our 2015 Plan, provided that such action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our stockholders to the extent stockholder approval is necessary. As described above, our 2015 Plan was suspended in connection with the closing of the acquisition of BlackThorn in September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Employee Stock Purchase Plan</w:t>
      </w:r>
    </w:p>
    <w:p>
      <w:pPr>
        <w:spacing w:after="0" w:line="11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have adopted the ESPP, which will be effective upon the day prior to the first public trading date of our common stock.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w:t>
      </w:r>
    </w:p>
    <w:p>
      <w:pPr>
        <w:spacing w:after="0" w:line="1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Components</w:t>
      </w:r>
      <w:r>
        <w:rPr>
          <w:rFonts w:ascii="Arial" w:cs="Arial" w:eastAsia="Arial" w:hAnsi="Arial"/>
          <w:sz w:val="18"/>
          <w:szCs w:val="18"/>
          <w:color w:val="auto"/>
        </w:rPr>
        <w:t>. The ESPP is comprised of two distinct components in order to provide increased flexibility to grant options to purchase shares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ESPP to U.S. and to non-U.S. employees. Specifically, the ESPP authorizes (1) the grant of options to U.S. employees that are intended to qualify for favorable U.S. federal tax treatment under Section 423 of the Code, (the Section 423 Component), and (2) the grant of options that are not intended to be tax-qualified under Section 423 of the Code to facilitate participation for employees located outside of the United States who do not benefit from favorable U.S. tax treatment and to provide flexibility to comply with non-U.S. law and other considerations (the Non-Section 423 Component). Where possible under local law and custom, we expect that the Non-Section 423 Component generally will be operated and administered on terms and conditions similar to the Section 423 Component.</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committee will administer the ESPP.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88"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The maximum number of shares of our common stock which will be authorized for sale under the ESPP is equal to the sum of (a)</w:t>
      </w:r>
      <w:r>
        <w:rPr>
          <w:rFonts w:ascii="Arial" w:cs="Arial" w:eastAsia="Arial" w:hAnsi="Arial"/>
          <w:sz w:val="17"/>
          <w:szCs w:val="17"/>
          <w:i w:val="1"/>
          <w:iCs w:val="1"/>
          <w:color w:val="auto"/>
        </w:rPr>
        <w:t xml:space="preserve"> </w:t>
      </w:r>
      <w:r>
        <w:rPr>
          <w:rFonts w:ascii="Arial" w:cs="Arial" w:eastAsia="Arial" w:hAnsi="Arial"/>
          <w:sz w:val="17"/>
          <w:szCs w:val="17"/>
          <w:color w:val="auto"/>
        </w:rPr>
        <w:t>1% of our outstanding common stock after this offering (without giving effect to the underwriters option to purchase additional shares in this offering) and (b) an annual increase on each January 1 beginning in 2024 and ending in 2033, equal to the lesser of (i) 1% of the shares of our common stock outstanding (on an as converted basis) on the immediately preceding December 31 and (ii) such number of shares of common stock as determined by our board of directors; provided, however, that no more than an amount of shares equal to 13.75% of our outstanding common stock after this offering (without giving effect to the underwriters option to purchase additional shares in this offering) may be issued under the ESPP. The shares reserved for issuance under the ESPP may be authorized but unissued shares or reacquired shares.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Employees eligible to participate in the ESPP for a given offering period generally include employees who are employed by us or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Employees will enroll under the ESPP by completing a payroll deduction form permitting the deduction from their compensation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1% of their compensation but not more than 15% of their compensation. Such payroll deductions shall be expressed as a whole number percentage, and the accumulated deductions will be applied to the purchase of shares on each purchase date. However, a participant may not purchase more than 100,000 shares in each offering period and may not subscribe for more than $25,000 in fair market value of shares of our common stock (determined at the time the option is granted) during any calendar year. The ESPP administrator has the authority to change these limitations for any subsequent offering period.</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Offering. </w:t>
      </w:r>
      <w:r>
        <w:rPr>
          <w:rFonts w:ascii="Arial" w:cs="Arial" w:eastAsia="Arial" w:hAnsi="Arial"/>
          <w:sz w:val="18"/>
          <w:szCs w:val="18"/>
          <w:color w:val="auto"/>
        </w:rPr>
        <w:t>Under the ESPP, participants are offered the option to purchase shares of our common stock at a discount during a series of successive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the duration and timing of which will be determined by the ESPP administrator. However, in no event may an offering period be longer than 27 months in length.</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6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 xml:space="preserve">Adjustments upon Changes in Recapitalization, Dissolution, Liquidation, Merger or Asset Sale. </w:t>
      </w:r>
      <w:r>
        <w:rPr>
          <w:rFonts w:ascii="Arial" w:cs="Arial" w:eastAsia="Arial" w:hAnsi="Arial"/>
          <w:sz w:val="18"/>
          <w:szCs w:val="18"/>
          <w:color w:val="auto"/>
        </w:rPr>
        <w:t>In the event of any increase or decrease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64"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suspend or terminate the ESPP at any time. However, the board of directors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amend the ESPP without obtaining stockholder approval within 12 months before or after such amendment to the extent required by applicable laws.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following includes a summary of transactions since January 1, 2020 and any currently proposed transactions, to which we were or are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sections titled “Director Compensation” and “Executive Compensation.”</w:t>
      </w:r>
    </w:p>
    <w:p>
      <w:pPr>
        <w:spacing w:after="0" w:line="188"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BlackThorn Therapeutics, Inc.</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connection with our acquisition of BlackThorn in September 2020, we issued (i) an aggregate of 5,757,901 shares of our Series A-1 convertible preferred stock (the Series A-1 Preferred), with an acquisition date fair value of $36.6 million and (ii) warrants to purchase 292,193 shares of the Series A-1 Preferred, with an acquisition date fair value of $0.7 million (the Preferred Stock Warrants). The Preferred Stock Warrants expire on the earlier of (i) December 31, 2021, (ii) immediately prior to the consummation of this offering and (iii) upon the closing of a deemed liquidation event. In addition, the former BlackThorn stockholders are entitled to contingent consideration (i) with respect to navacaprant, in the form of development and regulatory approval milestones of up to an aggregate amount of $365.0 million, which includes a milestone payment of $90.0 million that will become due upon dosing the first patient in the Phase 3 clinical trial for navacaprant, which we expect to pay by issuing an amount of our common stock equal to $90.0 million in the second half of 2023,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Certain of BlackThorn’s investors, funds affiliated with ARCH Venture Partners, and one of its board members, Kristina Burow, at the time of the acquisition are related parties of the Company. In addition, our Co-Founder and Executive Chairman, Paul L. Berns, served as Executive Chairman of BlackThorn at the time of the acquisition. For further detail, see “Management’s Discussion and Analysis of Financial Condition and Results of Operations—Recent Acquisitions of Assets—BlackThorn Therapeutics, Inc.”</w:t>
      </w:r>
    </w:p>
    <w:p>
      <w:pPr>
        <w:spacing w:after="0" w:line="17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December 2021, we amended the expiration date of the Preferred Stock Warrants to the earlier of: (i) December 31, 2022, (ii) immediately prior to the consummation of an IPO of our common stock, and (iii) upon the closing of a deemed liquidation event.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Preferred Stock Warrants expired on December 31, 2022. In December 2022, prior to their expiration, an entity affiliated with ARCH Venture Partners exercised the Preferred Stock Warrants for a total of 104,563 shares of Series A-1 Preferred.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Alairion, Inc.</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connection with our acquisition of Alairion in November 2020, Biomatics Capital Partners II L.P., an existing stockholder of both us and Alairion, purchased a total of $12.0 million of Alairion convertible notes immediately prior to the closing date that were settled with 1,529,383 shares of our Series A-2 convertible preferred stock upon closing.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Issuance</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January 2020, we entered into a stock subscription agreement pursuant to which we issued 6,372,430 shares of our common stock at a price of $0.001 per share to each of ARCH Venture Fund X, L.P. (ARCH X) and ARCH Venture Fund X Overage, L.P. (ARCH X Overage), for an aggregate of 12,744,860 shares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57" w:lineRule="auto"/>
        <w:rPr>
          <w:sz w:val="20"/>
          <w:szCs w:val="20"/>
          <w:color w:val="auto"/>
        </w:rPr>
      </w:pPr>
      <w:r>
        <w:rPr>
          <w:rFonts w:ascii="Arial" w:cs="Arial" w:eastAsia="Arial" w:hAnsi="Arial"/>
          <w:sz w:val="18"/>
          <w:szCs w:val="18"/>
          <w:color w:val="auto"/>
        </w:rPr>
        <w:t>common stock issued. In August 2020, we repurchased 1,062,071 shares of common stock at a price of $0.001 per share from each of ARCH X and ARCH X Overage, for an aggregate of 2,124,143 shares of common stock repurchased. The repurchased shares of common stock were cancelled and retired. Kristina Burow and Robert Nelsen, members of our board of directors at the time, were designated to our board by ARCH Venture Partners, a holder of more than 5% of our capital stock. For further details, see the information provided in footnote (2) to the table in the section titled “Principal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 and Convertible Preferred Stock Financings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 Purchase Agreement</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Between February and September 2020, we issued $55.9 million in convertible promissory notes (the 2020 Bridge Notes), $30.0 million of which notes were issued to ARCH X and ARCH X Overage. In September 2020, the 2020 Bridge Notes were settled with shares of our Series A-2 convertible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A-2 Convertible Preferred Stock Financing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September 2020, we entered into a Series A-2 convertible preferred stock purchase agreement (Series A-2 Purchase Agreement), with various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investors, pursuant to which we issued an aggregate of 15,755,181 shares of our Series A-2 convertible preferred stock (the Series A-2 Preferred)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$7.85 per share for aggregate proceeds of $123.6 million in the initial closing. Upon the initial closing, the right of forfeiture for 5,608,800 shares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issued with the 2020 Bridge Notes lapsed.</w:t>
      </w:r>
    </w:p>
    <w:p>
      <w:pPr>
        <w:spacing w:after="0" w:line="21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accordance with the terms of the Series A-2 Purchase Agreement, we also committed to selling 5,097,944 additional shares of Series A-2 Preferred to ARCH X, ARCH X Overage and their affiliates at a fixed price of $7.85 per share in one or more subsequent closings on or before March 8, 2021.</w:t>
      </w:r>
    </w:p>
    <w:p>
      <w:pPr>
        <w:spacing w:after="0" w:line="184"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Further, pursuant to the Series A-2 Purchase Agreement, a forfeiture provision was added to the terms of 4,248,286 shares of our common stock previously issued in January 2020 to ARCH X, ARCH X Overage and their affiliates, of which 1,699,314 remain subject to a forfeiture provision as of December 31, 2020.</w:t>
      </w:r>
    </w:p>
    <w:p>
      <w:pPr>
        <w:spacing w:after="0" w:line="184"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Between March and July 2021, we and certain investors entered into a series of amendments to the Series A-2 Purchase Agreement to extend the deadline to complete subsequent closings of our Series A-2 Preferred financing from March 2021 to September 2021. In August 2021, pursuant to the Series A-2 Purchase Agreement, as amended, we issued 5,097,944 shares of Series A-2 Preferred to ARCH X and ARCH X Overage and</w:t>
      </w:r>
    </w:p>
    <w:p>
      <w:pPr>
        <w:spacing w:after="0" w:line="2"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1,274,486 shares of Series A-2 Preferred to F-Prime Capital Partners Life Sciences Fund VII LP, an entity affiliated with F-Prime Capital Partners, at $7.85 per share for aggregate proceeds from these parties of $50.0 million.</w:t>
      </w:r>
    </w:p>
    <w:p>
      <w:pPr>
        <w:spacing w:after="0" w:line="18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table below sets forth the number of shares of our common stock, Series A-1 Preferred and Series A-2 Preferred purchased by our executive officers, directors, holders of more than 5% of our capital stock and their affiliated entities or immediate family members or issued to such parties as consideration in connection with various acquisitions of assets. Each share of Series A-1 Preferred and Series A-2 Preferred in the table below will convert into one share of our common stock upon the completion of this offering.</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Series A-1</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Series A-2</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120" w:type="dxa"/>
            <w:vAlign w:val="bottom"/>
            <w:vMerge w:val="restart"/>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2860" w:type="dxa"/>
            <w:vAlign w:val="bottom"/>
            <w:gridSpan w:val="2"/>
          </w:tcPr>
          <w:p>
            <w:pPr>
              <w:jc w:val="center"/>
              <w:ind w:left="1814"/>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Amgen Inc.</w:t>
            </w:r>
            <w:r>
              <w:rPr>
                <w:rFonts w:ascii="Arial" w:cs="Arial" w:eastAsia="Arial" w:hAnsi="Arial"/>
                <w:sz w:val="23"/>
                <w:szCs w:val="23"/>
                <w:color w:val="auto"/>
                <w:vertAlign w:val="superscript"/>
              </w:rPr>
              <w:t>(1)</w:t>
            </w:r>
          </w:p>
        </w:tc>
        <w:tc>
          <w:tcPr>
            <w:tcW w:w="19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32,754,291</w:t>
            </w: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257,000,000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line="216" w:lineRule="exact"/>
              <w:rPr>
                <w:sz w:val="20"/>
                <w:szCs w:val="20"/>
                <w:color w:val="auto"/>
              </w:rPr>
            </w:pPr>
            <w:r>
              <w:rPr>
                <w:rFonts w:ascii="Arial" w:cs="Arial" w:eastAsia="Arial" w:hAnsi="Arial"/>
                <w:sz w:val="17"/>
                <w:szCs w:val="17"/>
                <w:color w:val="auto"/>
              </w:rPr>
              <w:t>Entities affiliated with ARCH Venture Partners</w:t>
            </w:r>
            <w:r>
              <w:rPr>
                <w:rFonts w:ascii="Arial" w:cs="Arial" w:eastAsia="Arial" w:hAnsi="Arial"/>
                <w:sz w:val="25"/>
                <w:szCs w:val="25"/>
                <w:color w:val="auto"/>
                <w:vertAlign w:val="superscript"/>
              </w:rPr>
              <w:t>(2)</w:t>
            </w:r>
          </w:p>
        </w:tc>
        <w:tc>
          <w:tcPr>
            <w:tcW w:w="3020" w:type="dxa"/>
            <w:vAlign w:val="bottom"/>
            <w:gridSpan w:val="3"/>
          </w:tcPr>
          <w:p>
            <w:pPr>
              <w:jc w:val="right"/>
              <w:ind w:right="160"/>
              <w:spacing w:after="0"/>
              <w:rPr>
                <w:sz w:val="20"/>
                <w:szCs w:val="20"/>
                <w:color w:val="auto"/>
              </w:rPr>
            </w:pPr>
            <w:r>
              <w:rPr>
                <w:rFonts w:ascii="Arial" w:cs="Arial" w:eastAsia="Arial" w:hAnsi="Arial"/>
                <w:sz w:val="18"/>
                <w:szCs w:val="18"/>
                <w:color w:val="auto"/>
              </w:rPr>
              <w:t>10,620,716</w:t>
            </w:r>
          </w:p>
        </w:tc>
        <w:tc>
          <w:tcPr>
            <w:tcW w:w="1220" w:type="dxa"/>
            <w:vAlign w:val="bottom"/>
            <w:gridSpan w:val="2"/>
          </w:tcPr>
          <w:p>
            <w:pPr>
              <w:jc w:val="right"/>
              <w:ind w:right="200"/>
              <w:spacing w:after="0" w:line="216" w:lineRule="exact"/>
              <w:rPr>
                <w:sz w:val="20"/>
                <w:szCs w:val="20"/>
                <w:color w:val="auto"/>
              </w:rPr>
            </w:pPr>
            <w:r>
              <w:rPr>
                <w:rFonts w:ascii="Arial" w:cs="Arial" w:eastAsia="Arial" w:hAnsi="Arial"/>
                <w:sz w:val="17"/>
                <w:szCs w:val="17"/>
                <w:color w:val="auto"/>
              </w:rPr>
              <w:t>1,829,140</w:t>
            </w:r>
            <w:r>
              <w:rPr>
                <w:rFonts w:ascii="Arial" w:cs="Arial" w:eastAsia="Arial" w:hAnsi="Arial"/>
                <w:sz w:val="25"/>
                <w:szCs w:val="25"/>
                <w:color w:val="auto"/>
                <w:vertAlign w:val="superscript"/>
              </w:rPr>
              <w:t>(3)</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10,620,716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119,232,389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Biomatics Capital Partners</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1,656,831</w:t>
            </w:r>
          </w:p>
        </w:tc>
        <w:tc>
          <w:tcPr>
            <w:tcW w:w="122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7"/>
                <w:szCs w:val="17"/>
                <w:color w:val="auto"/>
              </w:rPr>
              <w:t>533,567</w:t>
            </w:r>
            <w:r>
              <w:rPr>
                <w:rFonts w:ascii="Arial" w:cs="Arial" w:eastAsia="Arial" w:hAnsi="Arial"/>
                <w:sz w:val="25"/>
                <w:szCs w:val="25"/>
                <w:color w:val="auto"/>
                <w:vertAlign w:val="superscript"/>
              </w:rPr>
              <w:t>(4)</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5,671,461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48,664,035</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line="216" w:lineRule="exact"/>
              <w:rPr>
                <w:sz w:val="20"/>
                <w:szCs w:val="20"/>
                <w:color w:val="auto"/>
              </w:rPr>
            </w:pPr>
            <w:r>
              <w:rPr>
                <w:rFonts w:ascii="Arial" w:cs="Arial" w:eastAsia="Arial" w:hAnsi="Arial"/>
                <w:sz w:val="17"/>
                <w:szCs w:val="17"/>
                <w:color w:val="auto"/>
              </w:rPr>
              <w:t>Entities affiliated with F-Prime Capital Partners</w:t>
            </w:r>
            <w:r>
              <w:rPr>
                <w:rFonts w:ascii="Arial" w:cs="Arial" w:eastAsia="Arial" w:hAnsi="Arial"/>
                <w:sz w:val="25"/>
                <w:szCs w:val="25"/>
                <w:color w:val="auto"/>
                <w:vertAlign w:val="superscript"/>
              </w:rPr>
              <w:t>(5)</w:t>
            </w:r>
          </w:p>
        </w:tc>
        <w:tc>
          <w:tcPr>
            <w:tcW w:w="3020" w:type="dxa"/>
            <w:vAlign w:val="bottom"/>
            <w:gridSpan w:val="3"/>
          </w:tcPr>
          <w:p>
            <w:pPr>
              <w:jc w:val="right"/>
              <w:ind w:right="160"/>
              <w:spacing w:after="0"/>
              <w:rPr>
                <w:sz w:val="20"/>
                <w:szCs w:val="20"/>
                <w:color w:val="auto"/>
              </w:rPr>
            </w:pPr>
            <w:r>
              <w:rPr>
                <w:rFonts w:ascii="Arial" w:cs="Arial" w:eastAsia="Arial" w:hAnsi="Arial"/>
                <w:sz w:val="18"/>
                <w:szCs w:val="18"/>
                <w:color w:val="auto"/>
              </w:rPr>
              <w:t>1,911,729</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3,627,659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28,463,722</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SVF II AIV (DE) LLC.</w:t>
            </w:r>
          </w:p>
        </w:tc>
        <w:tc>
          <w:tcPr>
            <w:tcW w:w="1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7,646,916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Kristina Burow.</w:t>
            </w:r>
          </w:p>
        </w:tc>
        <w:tc>
          <w:tcPr>
            <w:tcW w:w="19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13,620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106,873</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00" w:type="dxa"/>
            <w:vAlign w:val="bottom"/>
          </w:tcPr>
          <w:p>
            <w:pPr>
              <w:jc w:val="right"/>
              <w:ind w:right="654"/>
              <w:spacing w:after="0"/>
              <w:rPr>
                <w:sz w:val="20"/>
                <w:szCs w:val="20"/>
                <w:color w:val="auto"/>
              </w:rPr>
            </w:pPr>
            <w:r>
              <w:rPr>
                <w:rFonts w:ascii="Arial" w:cs="Arial" w:eastAsia="Arial" w:hAnsi="Arial"/>
                <w:sz w:val="18"/>
                <w:szCs w:val="18"/>
                <w:color w:val="auto"/>
              </w:rPr>
              <w:t>180</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40" w:right="120" w:hanging="424"/>
        <w:spacing w:after="0" w:line="266"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Kári Stefánsson, a member of our board of directors, was designated to our board by Amgen Inc. For further details, see the information provided in footnote (1) to the table in the section titled “Principal Stockholders.” Dr. Stefánsson resigned as a director in September 2023.</w:t>
      </w:r>
    </w:p>
    <w:p>
      <w:pPr>
        <w:spacing w:after="0" w:line="1" w:lineRule="exact"/>
        <w:rPr>
          <w:rFonts w:ascii="Arial" w:cs="Arial" w:eastAsia="Arial" w:hAnsi="Arial"/>
          <w:sz w:val="16"/>
          <w:szCs w:val="16"/>
          <w:color w:val="auto"/>
        </w:rPr>
      </w:pPr>
    </w:p>
    <w:p>
      <w:pPr>
        <w:ind w:left="540" w:right="220" w:hanging="424"/>
        <w:spacing w:after="0" w:line="264"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Kristina Burow and Robert Nelsen were designated to our board by ARCH Venture Partners. Kristina Burow is a member of our board of directors, and Robert Nelsen served as a member of our board of directors at the time of the Series A-2 Convertible Preferred Stock Financing. In addition, our Co-Founder and Executive Chairman, Paul L. Berns, is a Managing Director of ARCH Venture Partners. For further details, see the information provided in footnote (2) to the table in the section titled “Principal Stockholders.”</w:t>
      </w:r>
    </w:p>
    <w:p>
      <w:pPr>
        <w:ind w:left="540" w:hanging="424"/>
        <w:spacing w:after="0"/>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Includes 104,563 shares of Series A-1 Preferred issued upon the exercise of warrants in December 2022.</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Includes 2,867 shares of Series A-1 Preferred issued upon the exercise of warrants in December 2022.</w:t>
      </w:r>
    </w:p>
    <w:p>
      <w:pPr>
        <w:spacing w:after="0" w:line="18" w:lineRule="exact"/>
        <w:rPr>
          <w:rFonts w:ascii="Arial" w:cs="Arial" w:eastAsia="Arial" w:hAnsi="Arial"/>
          <w:sz w:val="16"/>
          <w:szCs w:val="16"/>
          <w:color w:val="auto"/>
        </w:rPr>
      </w:pPr>
    </w:p>
    <w:p>
      <w:pPr>
        <w:ind w:left="540" w:right="120" w:hanging="424"/>
        <w:spacing w:after="0" w:line="288"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Stacie Weninger, Ph.D., served as a member of our board of directors at the time of the Series A-2 Convertible Preferred Stock Financing and, was designated to our board by F-Prime Capital Partners. Dr. Weninger resigned as a director in August 2023.</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September 2022, we entered into a Series B convertible preferred stock purchase agreement (Series B Purchase Agreement) with various investors, pursuant to which we issued an aggregate of 7,425,572 shares of our Series B convertible preferred stock (the Series B Preferred) at $11.77 per share for aggregate proceeds of $87.4 million in the initial closing.</w:t>
      </w:r>
    </w:p>
    <w:p>
      <w:pPr>
        <w:spacing w:after="0" w:line="18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In accordance with the terms of the Series B Purchase Agreement, we issued an additional 2,124,143 shares of Series B Preferred to Sapphire Direct Holdings RSC Ltd. at a fixed price of $11.77 per share for aggregate proceeds of $25.0 million in a subsequent closing in October 2022.</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table below sets forth the number of shares of our Series B Preferred purchased by our executive officers, directors, holders of more than 5% of our capital stock and their affiliated entities or immediate family members or issued to such parties as consideration in connection with various acquisitions of assets. Each share of Series B Preferred in the table below will convert into one share of our common stock upon the completion of this offering.</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Series B</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220" w:type="dxa"/>
            <w:vAlign w:val="bottom"/>
            <w:vMerge w:val="restart"/>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Amgen Inc.</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849,657</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line="216" w:lineRule="exact"/>
              <w:rPr>
                <w:sz w:val="20"/>
                <w:szCs w:val="20"/>
                <w:color w:val="auto"/>
              </w:rPr>
            </w:pPr>
            <w:r>
              <w:rPr>
                <w:rFonts w:ascii="Arial" w:cs="Arial" w:eastAsia="Arial" w:hAnsi="Arial"/>
                <w:sz w:val="17"/>
                <w:szCs w:val="17"/>
                <w:color w:val="auto"/>
              </w:rPr>
              <w:t>Entities affiliated with ARCH Venture Partners</w:t>
            </w:r>
            <w:r>
              <w:rPr>
                <w:rFonts w:ascii="Arial" w:cs="Arial" w:eastAsia="Arial" w:hAnsi="Arial"/>
                <w:sz w:val="25"/>
                <w:szCs w:val="25"/>
                <w:color w:val="auto"/>
                <w:vertAlign w:val="superscript"/>
              </w:rPr>
              <w:t>(1)</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2,124,143</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25,000,000.50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Entities affiliated with F-Prime Capital Partners</w:t>
            </w:r>
            <w:r>
              <w:rPr>
                <w:rFonts w:ascii="Arial" w:cs="Arial" w:eastAsia="Arial" w:hAnsi="Arial"/>
                <w:sz w:val="25"/>
                <w:szCs w:val="25"/>
                <w:color w:val="auto"/>
                <w:vertAlign w:val="superscript"/>
              </w:rPr>
              <w:t>(2)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84,965</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540" w:hanging="424"/>
        <w:spacing w:after="0" w:line="265"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Kristina Burow and Robert Nelsen were designated to our board by ARCH Venture Partners. Kristina Burow is a member of our board of directors, and Robert Nelsen served as a member of our board of directors at the time of the Series B Convertible Preferred Stock Financing. In addition, our Co-Founder and Executive Chairman, Paul L. Berns, is a Managing Director of ARCH Venture Partners. For further details, see the information provided in footnote (2) to the table in the section titled “Principal Stockholders.”</w:t>
      </w:r>
    </w:p>
    <w:p>
      <w:pPr>
        <w:spacing w:after="0" w:line="1" w:lineRule="exact"/>
        <w:rPr>
          <w:rFonts w:ascii="Arial" w:cs="Arial" w:eastAsia="Arial" w:hAnsi="Arial"/>
          <w:sz w:val="16"/>
          <w:szCs w:val="16"/>
          <w:color w:val="auto"/>
        </w:rPr>
      </w:pPr>
    </w:p>
    <w:p>
      <w:pPr>
        <w:ind w:left="540" w:hanging="424"/>
        <w:spacing w:after="0" w:line="288"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Stacie Weninger, Ph.D., served as a member of our board of directors at the time of the Series B Convertible Preferred Stock Financing and, was designated to our board by F-Prime Capital Partners. Dr. Weninger resigned as a director in August 2023.</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Amgen Agreements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Amgen Inc., one of our greater than 5% stockholders, is party to two license agreements and a research and collaboration agreement with us as described above under “Business—In-Licensing and Collaboration Agreements—Exclusive License Agreements with Amgen for CK1d and GCase” and “Business—In-Licensing and Collaboration Agreements—Research Collaboration Agreement with Amgen”. As of June 30, 2023, we have made seven quarterly payments to Amgen in an amount of $6.3 million each under the Amgen Collaboration Agreement. The eighth non-refundable quarterly payment of $6.3 million became due as of June 30, 2023.</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Further, subject to certain conditions, Amgen is also obligated to provide us additional financing of up to $100.0 million. This obligation will terminate upon the completion of this offering.</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Amgen also has the right to designate one member to be elected to our board of directors pursuant to our voting agreement, as described below under “—Voting Agreement”.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party to an investors’ rights agreement with the purchasers of our outstanding convertible preferred stock, including entities with which certain of our directors are affiliated. Following the consummation of this offering, the holders of approximately 123.8 million shares of our common stock, including the shares of common stock issuable upon the conversion of our convertible preferred stock, are entitled to rights with respect to the registration of their shares under the Securities Act. For a more detailed description of these registration rights, see the section titled “Description of Capital Stock—Registration Rights.” The investors’ rights agreement also provides for a right of first offer in favor of certain holders of convertible preferred stock with regard to certain issuances of our capital stock. The rights of first offer will not apply to, and will terminate upon the consummation of, this offering.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party to a voting agreement with certain holders of our common stock and convertible preferred stock. Pursuant to the voting agreement, as amended, ARCH Venture Fund X, L.P. and ARCH Venture Fund X Overage, L.P., collectively, have the right to designate two members to be elected to our board of directors. In addition, Amgen has the right to designate one member to be elected to our board of directors. Upon the conversion of all outstanding shares of convertible preferred stock into common stock in connection with the consummation of this offering, the voting agreement will terminate. For a description of the voting agreement, see the section titled “Management—Board Structure and Composition—Voting Arrangements.”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21"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We are party an amended and restated right of first refusal and co-sale agreement with certain holders of our common stock and convertible preferred stock.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entered into offer letter agreements with our executive officers that, among other things, provide for certain compensatory and change in control benefits, as well as severance benefits. For a description of these agreements with our named executive officers, see the subsection titled “Executive Compensation—Executive Compensation Arrangements.”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have also granted stock options and restricted stock to our executive officers and certain of our directors. For a description of these equity awards, see the sections titled “Executive Compensation” and “Director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Officer Indemnification</w:t>
      </w:r>
    </w:p>
    <w:p>
      <w:pPr>
        <w:spacing w:after="0" w:line="121"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color w:val="auto"/>
        </w:rPr>
        <w:t>We have entered into indemnification agreements with certain of our current executive officers and directors, and intend to enter into new indemnification agreements with each of our current executive officers and directors before the completion of this offering.</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amended and restated certificate of incorporation also provides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a written related-person transaction policy, to be effective upon the closing of this offering, that applies to our executive officers, directors, director nominees, holders of more than five percent of any class of our voting securities and any member of the immediate family of, and any entity affiliated with, any of the foregoing persons. Such persons will not be permitted to enter into a related person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beneficial ownership of our common stock as of September 8, 2023 by:</w:t>
      </w:r>
    </w:p>
    <w:p>
      <w:pPr>
        <w:spacing w:after="0" w:line="131"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whom we know to beneficially own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accordance with the rules of the SEC, beneficial ownership includes voting or investment power with respect to securities and includes the shares issuable pursuant to stock options that are exercisable within 60 days of September 8, 2023. Shares issuable pursuant to stock options are deemed outstanding for computing the percentage of the person holding such options but are not outstanding for computing the percentage of any other person.</w:t>
      </w:r>
    </w:p>
    <w:p>
      <w:pPr>
        <w:spacing w:after="0" w:line="14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based our calculation of the percentage of beneficial ownership prior to this offering on 137,798,937 shares of our common stock outstanding and held of record by approximately 198 stockholders as of September 8, 2023, which reflects (i) the filing and effectiveness of our amended and restated certificate of incorporation; and (ii) the conversion of shares of all outstanding convertible preferred stock into shares of our common stock, as if such filing and effectiveness and conversion had taken place as of September 8, 2023. We have based our calculation of the percentage of beneficial ownership after this offering on 152,508,937 shares of our common stock outstanding as of September 8, 2023, which reflects the adjustments described in the prior sentence and further reflects the issuance of 14,710,000 shares of common stock in this offering, assuming that the underwriters will not exercise their option to purchase up to an additional 2,206,500 shares of our common stock.</w:t>
      </w:r>
    </w:p>
    <w:p>
      <w:pPr>
        <w:spacing w:after="0" w:line="17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Unless otherwise indicated, the address for each listed stockholder is: c/o Neumora Therapeutics, Inc., 490 Arsenal Way, Suite 200, Watertown, Massachusetts 02472. To our knowledge, except as indicated in the footnotes to this table and pursuant to applicable community property laws, the persons named in the table have sole voting and investment power with respect to all shares of common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Percentage of Shares</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40" w:type="dxa"/>
            <w:vAlign w:val="bottom"/>
            <w:gridSpan w:val="2"/>
            <w:vMerge w:val="restart"/>
          </w:tcPr>
          <w:p>
            <w:pPr>
              <w:jc w:val="center"/>
              <w:ind w:right="380"/>
              <w:spacing w:after="0" w:line="126"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70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Before</w:t>
            </w: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owned</w:t>
            </w: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Offering</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920" w:type="dxa"/>
            <w:vAlign w:val="bottom"/>
            <w:gridSpan w:val="2"/>
          </w:tcPr>
          <w:p>
            <w:pPr>
              <w:jc w:val="center"/>
              <w:ind w:left="2971"/>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540" w:type="dxa"/>
            <w:vAlign w:val="bottom"/>
          </w:tcPr>
          <w:p>
            <w:pPr>
              <w:jc w:val="right"/>
              <w:ind w:right="53"/>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Greater Beneficial Owners:</w:t>
            </w:r>
          </w:p>
        </w:tc>
        <w:tc>
          <w:tcPr>
            <w:tcW w:w="30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Arial" w:cs="Arial" w:eastAsia="Arial" w:hAnsi="Arial"/>
                <w:sz w:val="17"/>
                <w:szCs w:val="17"/>
                <w:color w:val="auto"/>
              </w:rPr>
              <w:t>Amgen Inc.</w:t>
            </w:r>
            <w:r>
              <w:rPr>
                <w:rFonts w:ascii="Arial" w:cs="Arial" w:eastAsia="Arial" w:hAnsi="Arial"/>
                <w:sz w:val="25"/>
                <w:szCs w:val="25"/>
                <w:color w:val="auto"/>
                <w:vertAlign w:val="superscript"/>
              </w:rPr>
              <w:t>(1)</w:t>
            </w:r>
          </w:p>
        </w:tc>
        <w:tc>
          <w:tcPr>
            <w:tcW w:w="4300" w:type="dxa"/>
            <w:vAlign w:val="bottom"/>
            <w:gridSpan w:val="3"/>
          </w:tcPr>
          <w:p>
            <w:pPr>
              <w:jc w:val="right"/>
              <w:ind w:right="380"/>
              <w:spacing w:after="0"/>
              <w:rPr>
                <w:sz w:val="20"/>
                <w:szCs w:val="20"/>
                <w:color w:val="auto"/>
              </w:rPr>
            </w:pPr>
            <w:r>
              <w:rPr>
                <w:rFonts w:ascii="Arial" w:cs="Arial" w:eastAsia="Arial" w:hAnsi="Arial"/>
                <w:sz w:val="18"/>
                <w:szCs w:val="18"/>
                <w:color w:val="auto"/>
              </w:rPr>
              <w:t>33,603,948</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Entities affiliated with ARCH Venture Partners </w:t>
            </w:r>
            <w:r>
              <w:rPr>
                <w:rFonts w:ascii="Arial" w:cs="Arial" w:eastAsia="Arial" w:hAnsi="Arial"/>
                <w:sz w:val="25"/>
                <w:szCs w:val="25"/>
                <w:color w:val="auto"/>
                <w:vertAlign w:val="superscript"/>
              </w:rPr>
              <w:t>(2)</w:t>
            </w:r>
          </w:p>
        </w:tc>
        <w:tc>
          <w:tcPr>
            <w:tcW w:w="4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28,045,420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Arial" w:cs="Arial" w:eastAsia="Arial" w:hAnsi="Arial"/>
                <w:sz w:val="17"/>
                <w:szCs w:val="17"/>
                <w:color w:val="auto"/>
              </w:rPr>
              <w:t>Entities affiliated with Biomatics Capital Partners</w:t>
            </w:r>
            <w:r>
              <w:rPr>
                <w:rFonts w:ascii="Arial" w:cs="Arial" w:eastAsia="Arial" w:hAnsi="Arial"/>
                <w:sz w:val="25"/>
                <w:szCs w:val="25"/>
                <w:color w:val="auto"/>
                <w:vertAlign w:val="superscript"/>
              </w:rPr>
              <w:t>(3)</w:t>
            </w:r>
          </w:p>
        </w:tc>
        <w:tc>
          <w:tcPr>
            <w:tcW w:w="4300" w:type="dxa"/>
            <w:vAlign w:val="bottom"/>
            <w:gridSpan w:val="3"/>
          </w:tcPr>
          <w:p>
            <w:pPr>
              <w:jc w:val="right"/>
              <w:ind w:right="380"/>
              <w:spacing w:after="0"/>
              <w:rPr>
                <w:sz w:val="20"/>
                <w:szCs w:val="20"/>
                <w:color w:val="auto"/>
              </w:rPr>
            </w:pPr>
            <w:r>
              <w:rPr>
                <w:rFonts w:ascii="Arial" w:cs="Arial" w:eastAsia="Arial" w:hAnsi="Arial"/>
                <w:sz w:val="18"/>
                <w:szCs w:val="18"/>
                <w:color w:val="auto"/>
              </w:rPr>
              <w:t>7,861,859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Entities affiliated with SoftBank</w:t>
            </w:r>
            <w:r>
              <w:rPr>
                <w:rFonts w:ascii="Arial" w:cs="Arial" w:eastAsia="Arial" w:hAnsi="Arial"/>
                <w:sz w:val="25"/>
                <w:szCs w:val="25"/>
                <w:color w:val="auto"/>
                <w:vertAlign w:val="superscript"/>
              </w:rPr>
              <w:t>(4)</w:t>
            </w:r>
          </w:p>
        </w:tc>
        <w:tc>
          <w:tcPr>
            <w:tcW w:w="4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7,646,916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3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Henry O. Gosebruch</w:t>
            </w:r>
            <w:r>
              <w:rPr>
                <w:rFonts w:ascii="Arial" w:cs="Arial" w:eastAsia="Arial" w:hAnsi="Arial"/>
                <w:sz w:val="25"/>
                <w:szCs w:val="25"/>
                <w:color w:val="auto"/>
                <w:vertAlign w:val="superscript"/>
              </w:rPr>
              <w:t>(5)</w:t>
            </w:r>
          </w:p>
        </w:tc>
        <w:tc>
          <w:tcPr>
            <w:tcW w:w="4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509,793</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Arial" w:cs="Arial" w:eastAsia="Arial" w:hAnsi="Arial"/>
                <w:sz w:val="17"/>
                <w:szCs w:val="17"/>
                <w:color w:val="auto"/>
              </w:rPr>
              <w:t>Paul L. Berns</w:t>
            </w:r>
            <w:r>
              <w:rPr>
                <w:rFonts w:ascii="Arial" w:cs="Arial" w:eastAsia="Arial" w:hAnsi="Arial"/>
                <w:sz w:val="25"/>
                <w:szCs w:val="25"/>
                <w:color w:val="auto"/>
                <w:vertAlign w:val="superscript"/>
              </w:rPr>
              <w:t>(6)</w:t>
            </w:r>
          </w:p>
        </w:tc>
        <w:tc>
          <w:tcPr>
            <w:tcW w:w="4300" w:type="dxa"/>
            <w:vAlign w:val="bottom"/>
            <w:gridSpan w:val="3"/>
          </w:tcPr>
          <w:p>
            <w:pPr>
              <w:jc w:val="right"/>
              <w:ind w:right="380"/>
              <w:spacing w:after="0"/>
              <w:rPr>
                <w:sz w:val="20"/>
                <w:szCs w:val="20"/>
                <w:color w:val="auto"/>
              </w:rPr>
            </w:pPr>
            <w:r>
              <w:rPr>
                <w:rFonts w:ascii="Arial" w:cs="Arial" w:eastAsia="Arial" w:hAnsi="Arial"/>
                <w:sz w:val="18"/>
                <w:szCs w:val="18"/>
                <w:color w:val="auto"/>
              </w:rPr>
              <w:t>7,953,082</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Joshua Pinto, Ph.D.</w:t>
            </w:r>
            <w:r>
              <w:rPr>
                <w:rFonts w:ascii="Arial" w:cs="Arial" w:eastAsia="Arial" w:hAnsi="Arial"/>
                <w:sz w:val="25"/>
                <w:szCs w:val="25"/>
                <w:color w:val="auto"/>
                <w:vertAlign w:val="superscript"/>
              </w:rPr>
              <w:t>(7)</w:t>
            </w:r>
          </w:p>
        </w:tc>
        <w:tc>
          <w:tcPr>
            <w:tcW w:w="4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647,816</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Arial" w:cs="Arial" w:eastAsia="Arial" w:hAnsi="Arial"/>
                <w:sz w:val="17"/>
                <w:szCs w:val="17"/>
                <w:color w:val="auto"/>
              </w:rPr>
              <w:t>John Dunlop, Ph.D.</w:t>
            </w:r>
            <w:r>
              <w:rPr>
                <w:rFonts w:ascii="Arial" w:cs="Arial" w:eastAsia="Arial" w:hAnsi="Arial"/>
                <w:sz w:val="25"/>
                <w:szCs w:val="25"/>
                <w:color w:val="auto"/>
                <w:vertAlign w:val="superscript"/>
              </w:rPr>
              <w:t>(8)</w:t>
            </w:r>
          </w:p>
        </w:tc>
        <w:tc>
          <w:tcPr>
            <w:tcW w:w="4300" w:type="dxa"/>
            <w:vAlign w:val="bottom"/>
            <w:gridSpan w:val="3"/>
          </w:tcPr>
          <w:p>
            <w:pPr>
              <w:jc w:val="right"/>
              <w:ind w:right="380"/>
              <w:spacing w:after="0"/>
              <w:rPr>
                <w:sz w:val="20"/>
                <w:szCs w:val="20"/>
                <w:color w:val="auto"/>
              </w:rPr>
            </w:pPr>
            <w:r>
              <w:rPr>
                <w:rFonts w:ascii="Arial" w:cs="Arial" w:eastAsia="Arial" w:hAnsi="Arial"/>
                <w:sz w:val="18"/>
                <w:szCs w:val="18"/>
                <w:color w:val="auto"/>
              </w:rPr>
              <w:t>649,454</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Kristina Burow</w:t>
            </w:r>
            <w:r>
              <w:rPr>
                <w:rFonts w:ascii="Arial" w:cs="Arial" w:eastAsia="Arial" w:hAnsi="Arial"/>
                <w:sz w:val="25"/>
                <w:szCs w:val="25"/>
                <w:color w:val="auto"/>
                <w:vertAlign w:val="superscript"/>
              </w:rPr>
              <w:t>(9)</w:t>
            </w:r>
          </w:p>
        </w:tc>
        <w:tc>
          <w:tcPr>
            <w:tcW w:w="4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26,229,900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Arial" w:cs="Arial" w:eastAsia="Arial" w:hAnsi="Arial"/>
                <w:sz w:val="17"/>
                <w:szCs w:val="17"/>
                <w:color w:val="auto"/>
              </w:rPr>
              <w:t>Matthew Fust</w:t>
            </w:r>
            <w:r>
              <w:rPr>
                <w:rFonts w:ascii="Arial" w:cs="Arial" w:eastAsia="Arial" w:hAnsi="Arial"/>
                <w:sz w:val="25"/>
                <w:szCs w:val="25"/>
                <w:color w:val="auto"/>
                <w:vertAlign w:val="superscript"/>
              </w:rPr>
              <w:t>(10)</w:t>
            </w:r>
          </w:p>
        </w:tc>
        <w:tc>
          <w:tcPr>
            <w:tcW w:w="4300" w:type="dxa"/>
            <w:vAlign w:val="bottom"/>
            <w:gridSpan w:val="3"/>
          </w:tcPr>
          <w:p>
            <w:pPr>
              <w:jc w:val="right"/>
              <w:ind w:right="380"/>
              <w:spacing w:after="0"/>
              <w:rPr>
                <w:sz w:val="20"/>
                <w:szCs w:val="20"/>
                <w:color w:val="auto"/>
              </w:rPr>
            </w:pPr>
            <w:r>
              <w:rPr>
                <w:rFonts w:ascii="Arial" w:cs="Arial" w:eastAsia="Arial" w:hAnsi="Arial"/>
                <w:sz w:val="18"/>
                <w:szCs w:val="18"/>
                <w:color w:val="auto"/>
              </w:rPr>
              <w:t>102,064</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Alaa Halawa</w:t>
            </w:r>
          </w:p>
        </w:tc>
        <w:tc>
          <w:tcPr>
            <w:tcW w:w="30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Arial" w:cs="Arial" w:eastAsia="Arial" w:hAnsi="Arial"/>
                <w:sz w:val="17"/>
                <w:szCs w:val="17"/>
                <w:color w:val="auto"/>
              </w:rPr>
              <w:t>Maykin Ho, Ph.D.</w:t>
            </w:r>
            <w:r>
              <w:rPr>
                <w:rFonts w:ascii="Arial" w:cs="Arial" w:eastAsia="Arial" w:hAnsi="Arial"/>
                <w:sz w:val="25"/>
                <w:szCs w:val="25"/>
                <w:color w:val="auto"/>
                <w:vertAlign w:val="superscript"/>
              </w:rPr>
              <w:t>(11)</w:t>
            </w:r>
          </w:p>
        </w:tc>
        <w:tc>
          <w:tcPr>
            <w:tcW w:w="4300" w:type="dxa"/>
            <w:vAlign w:val="bottom"/>
            <w:gridSpan w:val="3"/>
          </w:tcPr>
          <w:p>
            <w:pPr>
              <w:jc w:val="right"/>
              <w:ind w:right="380"/>
              <w:spacing w:after="0"/>
              <w:rPr>
                <w:sz w:val="20"/>
                <w:szCs w:val="20"/>
                <w:color w:val="auto"/>
              </w:rPr>
            </w:pPr>
            <w:r>
              <w:rPr>
                <w:rFonts w:ascii="Arial" w:cs="Arial" w:eastAsia="Arial" w:hAnsi="Arial"/>
                <w:sz w:val="18"/>
                <w:szCs w:val="18"/>
                <w:color w:val="auto"/>
              </w:rPr>
              <w:t>79,655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Piacquad</w:t>
            </w:r>
          </w:p>
        </w:tc>
        <w:tc>
          <w:tcPr>
            <w:tcW w:w="306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w w:val="97"/>
              </w:rPr>
              <w:t>All executive officers and directors as a group (11 persons)</w:t>
            </w:r>
            <w:r>
              <w:rPr>
                <w:rFonts w:ascii="Arial" w:cs="Arial" w:eastAsia="Arial" w:hAnsi="Arial"/>
                <w:sz w:val="26"/>
                <w:szCs w:val="26"/>
                <w:color w:val="auto"/>
                <w:w w:val="97"/>
                <w:vertAlign w:val="superscript"/>
              </w:rPr>
              <w:t>(12)</w:t>
            </w:r>
          </w:p>
        </w:tc>
        <w:tc>
          <w:tcPr>
            <w:tcW w:w="30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920" w:type="dxa"/>
            <w:vAlign w:val="bottom"/>
            <w:gridSpan w:val="3"/>
            <w:vMerge w:val="continue"/>
          </w:tcPr>
          <w:p>
            <w:pPr>
              <w:spacing w:after="0"/>
              <w:rPr>
                <w:sz w:val="24"/>
                <w:szCs w:val="24"/>
                <w:color w:val="auto"/>
              </w:rPr>
            </w:pPr>
          </w:p>
        </w:tc>
        <w:tc>
          <w:tcPr>
            <w:tcW w:w="3060" w:type="dxa"/>
            <w:vAlign w:val="bottom"/>
            <w:vMerge w:val="continue"/>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36,694,561</w:t>
            </w:r>
          </w:p>
        </w:tc>
        <w:tc>
          <w:tcPr>
            <w:tcW w:w="380" w:type="dxa"/>
            <w:vAlign w:val="bottom"/>
            <w:vMerge w:val="continue"/>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26.4%</w:t>
            </w:r>
          </w:p>
        </w:tc>
        <w:tc>
          <w:tcPr>
            <w:tcW w:w="54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4560" w:type="dxa"/>
            <w:vAlign w:val="bottom"/>
            <w:gridSpan w:val="2"/>
          </w:tcPr>
          <w:p>
            <w:pPr>
              <w:ind w:left="60"/>
              <w:spacing w:after="0"/>
              <w:rPr>
                <w:sz w:val="20"/>
                <w:szCs w:val="20"/>
                <w:color w:val="auto"/>
              </w:rPr>
            </w:pPr>
            <w:r>
              <w:rPr>
                <w:rFonts w:ascii="Arial" w:cs="Arial" w:eastAsia="Arial" w:hAnsi="Arial"/>
                <w:sz w:val="18"/>
                <w:szCs w:val="18"/>
                <w:color w:val="auto"/>
              </w:rPr>
              <w:t>less than 1.0%.</w:t>
            </w:r>
          </w:p>
        </w:tc>
        <w:tc>
          <w:tcPr>
            <w:tcW w:w="3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60" w:type="dxa"/>
            <w:vAlign w:val="bottom"/>
          </w:tcPr>
          <w:p>
            <w:pPr>
              <w:jc w:val="right"/>
              <w:ind w:right="2251"/>
              <w:spacing w:after="0"/>
              <w:rPr>
                <w:sz w:val="20"/>
                <w:szCs w:val="20"/>
                <w:color w:val="auto"/>
              </w:rPr>
            </w:pPr>
            <w:r>
              <w:rPr>
                <w:rFonts w:ascii="Arial" w:cs="Arial" w:eastAsia="Arial" w:hAnsi="Arial"/>
                <w:sz w:val="18"/>
                <w:szCs w:val="18"/>
                <w:color w:val="auto"/>
              </w:rPr>
              <w:t>184</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40" w:right="80" w:hanging="424"/>
        <w:spacing w:after="0" w:line="265"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32,754,291 shares of common stock issuable upon the conversion of Series A-2 convertible preferred stock and (ii) 849,657 shares of common stock issuable upon the conversion of Series B convertible preferred stock. Investment and voting decisions for Amgen Inc. are made by an investment committee comprised of three or more individuals, and therefore no individual is the beneficial owner of the shares held by Amgen Inc. The address of Amgen Inc. is One Amgen Center Drive, Thousand Oaks, California 91320.</w:t>
      </w:r>
    </w:p>
    <w:p>
      <w:pPr>
        <w:spacing w:after="0" w:line="1" w:lineRule="exact"/>
        <w:rPr>
          <w:rFonts w:ascii="Arial" w:cs="Arial" w:eastAsia="Arial" w:hAnsi="Arial"/>
          <w:sz w:val="16"/>
          <w:szCs w:val="16"/>
          <w:color w:val="auto"/>
        </w:rPr>
      </w:pPr>
    </w:p>
    <w:p>
      <w:pPr>
        <w:ind w:left="540" w:right="20" w:hanging="424"/>
        <w:spacing w:after="0" w:line="304"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Consists of (i) 5,310,358 shares of common stock held by ARCH Venture Fund X, L.P. (ARCH X), (ii) 6,895,021 shares of common stock issuable upon the conversion of Series A-2 convertible preferred stock held by ARCH X, (iii) 5,310,358 shares of common stock held by ARCH Venture Fund X Overage, L.P. (ARCH X Overage), (iv) 6,576,400 shares of common stock issuable upon the conversion of Series A-2 convertible preferred stock held by ARCH X Overage, (v) 684,167 shares of common stock issuable upon the conversion of Series A-1 convertible preferred stock held by ARCH Venture Fund VII, L.P. (ARCH VII), (vi) 1,144,973 shares of common stock issuable upon the conversion of Series A-2 convertible preferred stock held by ARCH Venture Fund VIII Overage, L.P. (ARCH VIII Overage) and (vii) 2,124,143 shares of common stock issuable upon the conversion of Series B convertible preferred stock held by ARCH Venture Fund XII, L.P. (ARCH XII). ARCH Venture Partners X, L.P. (AVP X LP) is the sole general partner of ARCH X. ARCH Venture Partners X Overage, L.P. (AVP X Overage LP) is the sole general partner of ARCH X Overage. ARCH Venture Partners XII, L.P. (AVP XII LP) is the general partner of ARCH XII. ARCH Venture Partners X, LLC (AVP X LLC) is the sole general partner of each of AVP X LP and AVP X Overage LP. ARCH Venture Partners VII, L.P. (AVP VII LP) is the sole general partner of ARCH VII, and ARCH Venture Partners VII, LLC (AVP VII LLC) is the sole general partner of AVP VII LP. ARCH Venture Partners VIII, LLC (AVP VIII LLC) is the general partner of ARCH VIII Overage. ARCH Venture Partners XII, LLC (AVP XII LLC) is the general partner of AVP XII LP. Keith Crandell, Kristina Burow, Steven Gillis and Robert Nelsen comprise the investment committee of AVP X LLC (the AVP X Committee Members). AVP X LLC may be deemed to beneficially own the shares held by ARCH X and ARCH X Overage, and each of the AVP X Committee Members may be deemed to share the power to direct the disposition and vote of the shares held by ARCH X and ARCH X Overage. Clinton Bybee, Keith Crandell and Robert Nelsen are the managing directors of AVP VII LLC (AVP VII LLC Managing Directors). AVP VII LLC may be deemed to beneficially own the shares held by ARCH VII, and each of the AVP VII LLC Managing Directors may be deemed to share the power to direct the disposition and vote of the shares held by ARCH VII. Clinton Bybee, Keith Crandell and Robert Nelsen are the managing directors of AVP VIII LLC (the AVP VIII LLC Managing Directors). AVP VIII LLC may be deemed to beneficially own the shares held by ARCH VIII Overage, and each of the AVP VIII LLC Managing Directors may be deemed to share the power to direct the disposition and vote of the shares held by ARCH VIII Overage. Keith Crandell, Kristina Burow, Steven Gillis and Robert Nelsen comprise the investment committee of AVP XII LLC (the AVP XII LLC Committee Members). AVP XII LLC may be deemed to beneficially own the shares held by ARCH XII, and each of the AVP XII LLC Committee Members may be deemed to share the power to direct the disposition and vote of the shares held by ARCH XII. AVP X Committee Members, AVP VII LLC Managing Directors, AVP VIII LLC Managing Directors and AVP XII LLC Committee Members each disclaim beneficial ownership except to the extent of their pecuniary interest therein, if any. Further, Mr. Berns does not have dispositive control over any of the shares held beneficially by AVP X LLC, ARCH VII LLC, ARCH VIII LLC and AVP XII LLC. The address of ARCH Venture Partners is 8755 West Higgins Road, Suite 1025. Chicago, IL 60631.</w:t>
      </w:r>
    </w:p>
    <w:p>
      <w:pPr>
        <w:spacing w:after="0" w:line="169" w:lineRule="exact"/>
        <w:rPr>
          <w:rFonts w:ascii="Arial" w:cs="Arial" w:eastAsia="Arial" w:hAnsi="Arial"/>
          <w:sz w:val="14"/>
          <w:szCs w:val="14"/>
          <w:color w:val="auto"/>
        </w:rPr>
      </w:pPr>
    </w:p>
    <w:p>
      <w:pPr>
        <w:ind w:left="540" w:right="80" w:hanging="424"/>
        <w:spacing w:after="0" w:line="281" w:lineRule="auto"/>
        <w:tabs>
          <w:tab w:leader="none" w:pos="5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Consists of (i) 802,880 shares of common stock held by Biomatics Capital Partners, L.P. (Biomatics), (ii) 533,567 shares of common stock issuable upon the conversion of Series A-1 convertible preferred stock held by Biomatics, (iii) 2,071,039 shares of common stock issuable upon the conversion of Series A-2 convertible preferred stock held by Biomatics, (iv) 853,951 shares of common stock held by Biomatics Capital Partners II L.P. (Biomatics II, and together with Biomatics, Biomatics Capital Partners) and (v) 3,600,422 shares of common stock issuable upon the conversion of Series A-2 convertible preferred stock held by Biomatics II. Biomatics Capital Management, L.L.C. (Biomatics LLC) is the managing partner of Biomatics and Biomatics II. Julie Sunderland and Boris Nikolic are the general managers of Biomatics LLC (the Biomatics LLC Committee Members). Biomatics LLC may be deemed to beneficially own the shares held Biomatics and Biomatics II, and each of the Biomatics LLC Committee Members may be deemed to share the power to direct the disposition and vote of the shares held by Biomatics and Biomatics II. The Biomatics LLC Committee Members each disclaim beneficial ownership except to the extent of their pecuniary interest therein, if any. The address of Biomatics Capital Partners is 188 E. Blaine Street, Suite 126, Seattle, Washington 98102.</w:t>
      </w:r>
    </w:p>
    <w:p>
      <w:pPr>
        <w:spacing w:after="0" w:line="4" w:lineRule="exact"/>
        <w:rPr>
          <w:rFonts w:ascii="Arial" w:cs="Arial" w:eastAsia="Arial" w:hAnsi="Arial"/>
          <w:sz w:val="15"/>
          <w:szCs w:val="15"/>
          <w:color w:val="auto"/>
        </w:rPr>
      </w:pPr>
    </w:p>
    <w:p>
      <w:pPr>
        <w:ind w:left="540" w:hanging="424"/>
        <w:spacing w:after="0" w:line="268"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7,646,916 shares of common stock issuable upon the conversion of Series A-2 convertible preferred stock. The security holder of record is SVF II AIV (DE) LLC (SVF). SoftBank, which is a publicly traded company listed on the Tokyo Stock Exchange, is the sole shareholder of SB Global Advisers Limited (SBGA) has been appointed as manager and is responsible for making all decisions related to the acquisition, structuring, financing and disposal of SoftBank Vision Fund II-2 L.P.’s investments, including as held by SVF. SoftBank Vision Fund II-2 L.P. is the managing member of SVF II Aggregator (Jersey) LP, which is the sole member of SVF II Holdings (DE) LLC, which is the sole member of SVF II Investments Holdings LLC, which is the sole member of SVF II Investment Holdings (Subco)</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40" w:right="80"/>
        <w:spacing w:after="0" w:line="264" w:lineRule="auto"/>
        <w:rPr>
          <w:sz w:val="20"/>
          <w:szCs w:val="20"/>
          <w:color w:val="auto"/>
        </w:rPr>
      </w:pPr>
      <w:r>
        <w:rPr>
          <w:rFonts w:ascii="Arial" w:cs="Arial" w:eastAsia="Arial" w:hAnsi="Arial"/>
          <w:sz w:val="16"/>
          <w:szCs w:val="16"/>
          <w:color w:val="auto"/>
        </w:rPr>
        <w:t>LLC, which is the sole member of SVF. Alex Clavel, Yoshimitsu Goto, Navneet Govil, Timothy A. Mackey and Gyu Hak Moon are the directors of SBGA. As a result of these relationships, each of these entities and individuals may be deemed to share beneficial ownership of the securities referenced herein. The registered address for each of SVF, SVF II Holdings (DE) LLC, SVF II Investments Holdings LLC, and SVF II Investment Holdings (Subco) LLC is c/o Corporation Service Company, 251 Little Falls Drive, Wilmington, DE 19808. The registered address of SoftBank Vision Fund II-2 L.P. and SVF II Aggregator (Jersey) LP is c/o Crestbridge Limited, 47 Esplanade, St. Helier, Jersey, JE1 0BD. The business address of SB Global Advisers Limited is 69 Grosvenor Street, London W1K 3JP, England, United Kingdom.</w:t>
      </w:r>
    </w:p>
    <w:p>
      <w:pPr>
        <w:spacing w:after="0" w:line="5" w:lineRule="exact"/>
        <w:rPr>
          <w:sz w:val="20"/>
          <w:szCs w:val="20"/>
          <w:color w:val="auto"/>
        </w:rPr>
      </w:pPr>
    </w:p>
    <w:p>
      <w:pPr>
        <w:ind w:left="540" w:right="340" w:hanging="424"/>
        <w:spacing w:after="0" w:line="264"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(i) 382,345 shares of common stock held directly by Mr. Gosebruch, zero of which shares will be vested within 60 days of September 8, 2023 and 382,345 of which shares will continue to be subject to our repurchase right, and (ii) 127,448 shares of common stock held by the Lu Leng Felicia Chua Descendants 2012 Irrevocable Trust.</w:t>
      </w:r>
    </w:p>
    <w:p>
      <w:pPr>
        <w:ind w:left="540" w:hanging="424"/>
        <w:spacing w:after="0" w:line="264"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(i) 7,646,916 shares of common stock held directly by Mr. Berns, 5,708,635 of which shares will be vested within 60 days of September 8, 2023 and 663,795 of which shares will continue to be subject to our repurchase right, and (ii) 306,166 shares issuable pursuant to stock options exercisable within 60 days of September 8, 2023.</w:t>
      </w:r>
    </w:p>
    <w:p>
      <w:pPr>
        <w:ind w:left="540" w:right="60" w:hanging="424"/>
        <w:spacing w:after="0" w:line="264"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(i) 238,965 shares of common stock held directly by Dr. Pinto, and (ii) 408,851 shares issuable pursuant to stock options exercisable within 60 days of September 8, 2023.</w:t>
      </w:r>
    </w:p>
    <w:p>
      <w:pPr>
        <w:ind w:left="540" w:right="160" w:hanging="424"/>
        <w:spacing w:after="0" w:line="264"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(i) 573,517 shares of common stock held directly by Dr. Dunlop, 520,415 of which shares will be vested within 60 days of September 8, 2023 and 53,102 of which shares will continue to be subject to our repurchase right, and (ii) 75,937 shares issuable pursuant to stock options exercisable within 60 days of September 8, 2023.</w:t>
      </w:r>
    </w:p>
    <w:p>
      <w:pPr>
        <w:ind w:left="540" w:right="140" w:hanging="424"/>
        <w:spacing w:after="0" w:line="301"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(i) 13,620 shares of common stock and (ii) certain of the shares discussed in footnote (2). Ms. Burow is an AVP XII LLC Committee Member and an AVP X Committee Member and may be deemed to beneficially own the shares held by ARCH X, ARCH X Overage and ARCH XII, as discussed in footnote</w:t>
      </w:r>
    </w:p>
    <w:p>
      <w:pPr>
        <w:spacing w:after="0" w:line="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6"/>
          <w:szCs w:val="16"/>
          <w:color w:val="auto"/>
        </w:rPr>
        <w:t>(2). Ms. Burow disclaims beneficial ownership of the shares discussed in footnote (2) except to the extent of her pecuniary interest therein, if any.</w:t>
      </w:r>
    </w:p>
    <w:p>
      <w:pPr>
        <w:spacing w:after="0" w:line="18" w:lineRule="exact"/>
        <w:rPr>
          <w:rFonts w:ascii="Arial" w:cs="Arial" w:eastAsia="Arial" w:hAnsi="Arial"/>
          <w:sz w:val="14"/>
          <w:szCs w:val="14"/>
          <w:color w:val="auto"/>
        </w:rPr>
      </w:pPr>
    </w:p>
    <w:p>
      <w:pPr>
        <w:ind w:left="540" w:hanging="424"/>
        <w:spacing w:after="0"/>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102,064 shares issuable pursuant to stock options exercisable within 60 days of September 8, 2023.</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79,655 shares issuable pursuant to stock options exercisable within 60 days of September 8, 2023.</w:t>
      </w:r>
    </w:p>
    <w:p>
      <w:pPr>
        <w:spacing w:after="0" w:line="18" w:lineRule="exact"/>
        <w:rPr>
          <w:rFonts w:ascii="Arial" w:cs="Arial" w:eastAsia="Arial" w:hAnsi="Arial"/>
          <w:sz w:val="16"/>
          <w:szCs w:val="16"/>
          <w:color w:val="auto"/>
        </w:rPr>
      </w:pPr>
    </w:p>
    <w:p>
      <w:pPr>
        <w:ind w:left="540" w:right="300" w:hanging="424"/>
        <w:spacing w:after="0" w:line="270"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(i) 13,620 shares of common stock issuable upon the conversion of Series A-1 convertible preferred stock, (ii) 13,471,421 shares of common stock issuable upon the conversion of Series A-2 convertible preferred stock, (iii) 2,124,143 shares of common stock issuable upon the conversion of Series B convertible preferred stock, (iv) 19,994,284 shares of common stock, 18,895,042 of which shares will be vested within 60 days of September 8, 2023, and 1,099,242 of which shares will continue to be subject to our repurchase right, and (v) 1,091,093 shares issuable pursuant to stock options exercisable within 60 days of September 8, 2023.</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which will become effective immediately prior to the completion of this offering, the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investors’ rights agreement, copies of which have been filed as exhibits to the registration statement of which this prospectus is part.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Upon the completion of this offering and the filing of our amended and restated certificate of incorporation, our authorized capital stock will consist of 700,000,000 shares of common stock, par value $0.0001 per share, and 50,000,000 shares of preferred stock, par value $0.0001 per share.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As of June 30, 2023, we had 137,239,096 shares of common stock outstanding, held of record by 193 stockholders, assuming the conversion of all of our outstanding shares of convertible preferred stock into 104,417,415 shares of common stock immediately prior to the completion of this offering.</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including the provisions relating to amending our amended and restated bylaws, the classified board and director liability.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as may be declared from time to time by our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Preferences and Privileges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Upon the completion of this offering, all of our currently outstanding shares of convertible preferred stock will convert into common stock and we will not have any shares of preferred stock outstanding. Immediately prior to the completion of this offering, our amended and restated certificate of incorporation will be amended and restated to delete all references to such shares of convertible preferred stock. From and after the consummation of this offering, our board of directors will have the authority, without further action by our stockholders, to issue up to 50,000,000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of June 30, 2023, we had outstanding options to purchase an aggregate of 11,251,230 shares of our common stock, with a weighted-average exercise price of $4.69 per share. For additional information regarding terms of our equity incentive plans, see the section titled “Executive Compensation—Equity Compensation Plans.”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6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the earliest of</w:t>
      </w:r>
    </w:p>
    <w:p>
      <w:pPr>
        <w:ind w:left="120" w:right="240" w:hanging="4"/>
        <w:spacing w:after="0" w:line="255"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respect to each stockholder, such date, on or after the closing of this offering, on which all registrable shares held by such stockholder may immediately be sold during any 90-day period pursuant to Rule 144 of the Securities Act, or Rule 144 and (ii) the occurrence of a deemed liquidation event, as defined in our amended and restated certificate of incorporation, as currently in effect.</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Upon the completion of this offering, holders of approximately 123.8 million shares of our common stock issuable upon conversion of outstanding convertible preferred stock will be entitled to certain demand registration rights. Beginning 180 days following the effectiveness of the registration statement of which this prospectus is a part, certain major investors holding, collectively, holding at least 40% of registrable securities may, on not more than two occasions, request that we register all or a portion of their shares, subject to certain specified exceptions. If any of these holders exercises its demand registration rights, then holders of approximately 104.4 milion shares of our common stock issuable upon the shares of our convertible preferred stock in connection with this offering will be entitled to register their shares, subject to specified conditions and limitations in the corresponding offering.</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connection with this offering, holders of approximately 123.8 million shares of our common stock issuable upon conversion of outstanding convertible preferred stock are entitled to their rights to notice of this offering and to include their shares of registrable securities in this offering. The requisite percentage of these stockholders are expected to waive all such stockholders’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Upon the completion of this offering, the holders of approximately 123.8 million shares of our common stock issuable upon conversion of outstanding convertible preferred stock will initially be entitled to certain Form S-3 registration rights. Certain major investors holding at least 20% of registrable securities may, on not more than two registrations on Form S-3 within any 12-month period, request that we register all or a portion of their shares on Form S-3 if we are qualified to file a registration statement on Form S-3, subject to specified exceptions. Such request for registration</w:t>
      </w:r>
    </w:p>
    <w:p>
      <w:pPr>
        <w:spacing w:after="0" w:line="1"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on Form S-3 must cover securities with an aggregate offering price which equals or exceeds $5.0 million, net of selling expenses. The right to have such shares registered on Form S-3 is further subject to other specified conditions and limitations.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and Removal of Directors; Vacancies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exact number of directors will be fixed from time to time by resolution of the board. Directors will be elected by a plurality of the votes of the shares of our capital stock present in person or represented by proxy at the meeting and entitled to vote on the election of directors.</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 director may be removed except for cause, and directors may be removed for cause only by an affirmative vote of shares representing not less than a majority of the shares then entitled to vote at an election of directors.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Any vacancy occurring on the board of directors and any newly created directorship may be filled only by a majority of the remaining directors in office.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Staggered Board</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Upon the closing of this offering, our board of directors will be divided into three classes serving staggered three-year terms. Class I, Class II, and Class III directors will serve until our annual meetings of stockholders in 2024, 2025 and 2026,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typically be necessary for stockholders to effect a change in a majority of the members of the board of directors.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Action by Written Consent</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holders of our common stock will not be able to act by written consent without a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special meetings of our stockholders may be called only by the chairman of the board, our chief executive officer (or president, in the absence of a chief executive officer) or a majority of the directors. Our amended and restated certificate of incorporation and our amended and restated bylaws specifically deny any power of any other person to call a special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provisions of our amended and restated certificate of incorporation described under the subsections titled “—Election and Removal of Directors; Vacancies,” “—Stockholder Meetings,” “—Limitation on Action by Written Consent,” “—Limitation of Liability of Directors and Officers,” “—Common Stock—Voting Rights” and “—Forum Selection” and provisions relating to amendments to our amended and restated certificate of incorporation may be amended only by the affirmative vote of holders of at least 66-2/3% of the voting power of our outstanding shares of voting stock. The affirmative vote of holders of at least a majority of the voting power of our outstanding shares of stock will generally be required to amend other provisions of our amended and restated certificate of incorporation.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Bylaws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Certain provisions of our amended and restated bylaws may generally be altered, amended, or repealed, and new bylaws may be adopted, with the affirmative vote of a majority of directors present at any regular or special meeting of the board of directors called for that purpose, provided that any alteration, amendment, or repeal of, or adoption of any bylaw inconsistent with specified provisions of the bylaws, including those related to special and annual meetings of stockholders, action of stockholders by written consent, nomination of directors, transfers of capital stock and dividends requires the affirmative vote of at least 66-2/3% of all directors in office at a meeting called for that purpose.</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All other provisions of our amended and restated bylaws may generally be altered, amended, or repealed, and new bylaws may be adopted, with the affirmative vote of holders of 66-2/3 % of the voting power of our outstanding shares of voting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Limitations on Stockholder 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bylaws impose some procedural requirements on stockholders who wish to:</w:t>
      </w:r>
    </w:p>
    <w:p>
      <w:pPr>
        <w:spacing w:after="0" w:line="131"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propose any repeal or change in our amended and restated bylaws;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52" w:lineRule="exact"/>
        <w:rPr>
          <w:sz w:val="20"/>
          <w:szCs w:val="20"/>
          <w:color w:val="auto"/>
        </w:rPr>
      </w:pPr>
    </w:p>
    <w:p>
      <w:pPr>
        <w:ind w:left="5480" w:right="120" w:hanging="4932"/>
        <w:spacing w:after="0" w:line="449" w:lineRule="auto"/>
        <w:tabs>
          <w:tab w:leader="none" w:pos="10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description of the business or nomination to be brought before the meeting and the reasons for conducting such business at the meeting; 190</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and evidence of such ownership; and</w:t>
      </w:r>
    </w:p>
    <w:p>
      <w:pPr>
        <w:spacing w:after="0" w:line="130"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31" w:lineRule="exact"/>
        <w:rPr>
          <w:sz w:val="20"/>
          <w:szCs w:val="20"/>
          <w:color w:val="auto"/>
        </w:rPr>
      </w:pPr>
    </w:p>
    <w:p>
      <w:pPr>
        <w:ind w:left="1080" w:right="40" w:hanging="532"/>
        <w:spacing w:after="0" w:line="296"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connection with an annual meeting of stockholders, not less than 120 nor more than 150 days prior to the date on which the annual meeting of stockholders was held in the immediately preceding year, but in the event that the date of the annual meeting is more than 30 days before or more than 70 days after the anniversary date of the preceding annual meeting of stockholders, a stockholder notice will be timely if received by us not later than the close of business on the later of (i) not less than 70 nor more than 120 days prior to the date of the annual meeting and (ii) the 10th day following the day on which we first publicly announce the date of the annual meeting; or</w:t>
      </w:r>
    </w:p>
    <w:p>
      <w:pPr>
        <w:spacing w:after="0" w:line="66" w:lineRule="exact"/>
        <w:rPr>
          <w:rFonts w:ascii="Arial" w:cs="Arial" w:eastAsia="Arial" w:hAnsi="Arial"/>
          <w:sz w:val="16"/>
          <w:szCs w:val="16"/>
          <w:color w:val="auto"/>
        </w:rPr>
      </w:pPr>
    </w:p>
    <w:p>
      <w:pPr>
        <w:jc w:val="both"/>
        <w:ind w:left="1080" w:right="180" w:hanging="532"/>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during the period not less than 120 nor more than 150 days prior to the date of the special meeting, or the 10th day following the day on which a notice of the date of the special meeting was mailed to the stockholders or the public disclosure of that date was made.</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order to submit a nomination for our board of directors,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121"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Our amended and restated certificate of incorporation provides that no director will be personally liable to us or our stockholders for monetary damages for breach of fiduciary duty as a director, except as required by applicable law, as in effect from time to time. 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for:</w:t>
      </w:r>
    </w:p>
    <w:p>
      <w:pPr>
        <w:spacing w:after="0" w:line="63"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also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0980"/>
          </w:cols>
          <w:pgMar w:left="320" w:top="459" w:right="59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behalf of us; (ii) any action asserting a claim of breach of fiduciary duty owed by any director, officer, or other employee of our company to us or our stockholders; (iii) any action asserting a claim arising pursuant to any provision of the Delaware General Corporation Law or our amended and restated certificate of incorporation and our amended and restated bylaws; or (iv) any action asserting a claim governed by the internal affairs doctrine. This provision would not apply to claims brought to enforce a duty or liability created by the Securities Exchange Act of 1934, as amended, or any other claim for which the federal courts have exclusive jurisdiction.</w:t>
      </w:r>
    </w:p>
    <w:p>
      <w:pPr>
        <w:spacing w:after="0" w:line="17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our shares of capital stock shall be deemed to have notice of and consented to the foregoing forum selection provisions.</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amended and restated certificate of incorporation or amended and restated bylaws to be inapplicable or unenforceable in an action, we may incur additional costs associated with resolving such action in other jurisdictions.</w:t>
      </w:r>
    </w:p>
    <w:p>
      <w:pPr>
        <w:spacing w:after="0" w:line="17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choice of forum provisions may limit a stockholder’s ability to bring a claim in a judicial forum that it finds favorable for disputes with the company or our directors, officers or other employees, which may discourage such lawsuits against the company and our directors, officers and other employees and result in increased costs for investors to bring a claim.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Business Combination Statute</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have elected to be subject to Section 203 of the Delaware General Corporation Law.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71" w:lineRule="exact"/>
        <w:rPr>
          <w:sz w:val="20"/>
          <w:szCs w:val="20"/>
          <w:color w:val="auto"/>
        </w:rPr>
      </w:pPr>
    </w:p>
    <w:p>
      <w:pPr>
        <w:ind w:left="1080" w:right="30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board of directors of the corporation had previously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100" w:hanging="532"/>
        <w:spacing w:after="0" w:line="34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that person owned at least 85% of the voting stock of the corporation outstanding at the time the transaction commenced, other than statutorily excluded shares; or</w:t>
      </w:r>
    </w:p>
    <w:p>
      <w:pPr>
        <w:spacing w:after="0" w:line="29" w:lineRule="exact"/>
        <w:rPr>
          <w:rFonts w:ascii="Arial" w:cs="Arial" w:eastAsia="Arial" w:hAnsi="Arial"/>
          <w:sz w:val="16"/>
          <w:szCs w:val="16"/>
          <w:color w:val="auto"/>
        </w:rPr>
      </w:pPr>
    </w:p>
    <w:p>
      <w:pPr>
        <w:ind w:left="1080" w:right="320" w:hanging="532"/>
        <w:spacing w:after="0" w:line="34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12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80"/>
          </w:cols>
          <w:pgMar w:left="320" w:top="459" w:right="49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that our stockholders may otherwise deem to be in their best interests.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Some Provisions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could make the following more difficult:</w:t>
      </w:r>
    </w:p>
    <w:p>
      <w:pPr>
        <w:spacing w:after="0" w:line="76"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tender offer, or otherwise;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We have applied to list our common stock on the Nasdaq Global Market under the symbol “NMRA,” and this offering is contingent upon obtaining such approval.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transfer agent and registrar for the common stock will be Computershare Trust Company, N.A. The transfer agent and registrar’s address is 150 Royall Street, Canton, Massachusetts 02021.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77"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described in the section 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the subsection titled “—Sale or Other Taxable Disposition.”</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9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will be subject to U.S. federal income tax on a net income basis at the regular rates applicable to U.S. persons. A Non-U.S. Holder that is a corporation also may be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76" w:lineRule="exact"/>
        <w:rPr>
          <w:sz w:val="20"/>
          <w:szCs w:val="20"/>
          <w:color w:val="auto"/>
        </w:rPr>
      </w:pPr>
    </w:p>
    <w:p>
      <w:pPr>
        <w:ind w:left="1080" w:right="40" w:hanging="532"/>
        <w:spacing w:after="0" w:line="263"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9"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70" w:lineRule="exact"/>
        <w:rPr>
          <w:sz w:val="20"/>
          <w:szCs w:val="20"/>
          <w:color w:val="auto"/>
        </w:rPr>
      </w:pPr>
    </w:p>
    <w:p>
      <w:pPr>
        <w:ind w:left="120" w:right="460" w:firstLine="440"/>
        <w:spacing w:after="0" w:line="286"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6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certain U.S.-source capital losses of the Non-U.S. Holder (even though the individual is not considered a resident of the United States), provided the Non-U.S. Holder has timely filed U.S. federal income tax returns with respect to such losses.</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that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w:t>
      </w:r>
    </w:p>
    <w:p>
      <w:pPr>
        <w:spacing w:after="0" w:line="1" w:lineRule="exact"/>
        <w:rPr>
          <w:sz w:val="20"/>
          <w:szCs w:val="20"/>
          <w:color w:val="auto"/>
        </w:rPr>
      </w:pPr>
    </w:p>
    <w:p>
      <w:pPr>
        <w:ind w:left="120" w:right="120" w:hanging="4"/>
        <w:spacing w:after="0" w:line="268" w:lineRule="auto"/>
        <w:tabs>
          <w:tab w:leader="none" w:pos="33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Under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beginning on January 1, 2019, proposed Treasury Regulations eliminate FATCA withholding on payments of gross proceeds entirely. Taxpayers generally may rely on these proposed Treasury Regulations until final Treasury Regulations are issued.</w:t>
      </w:r>
    </w:p>
    <w:p>
      <w:pPr>
        <w:spacing w:after="0" w:line="17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88" w:lineRule="exact"/>
        <w:rPr>
          <w:sz w:val="20"/>
          <w:szCs w:val="20"/>
          <w:color w:val="auto"/>
        </w:rPr>
      </w:pPr>
    </w:p>
    <w:p>
      <w:pPr>
        <w:jc w:val="center"/>
        <w:ind w:right="500"/>
        <w:spacing w:after="0" w:line="291" w:lineRule="auto"/>
        <w:rPr>
          <w:sz w:val="20"/>
          <w:szCs w:val="20"/>
          <w:color w:val="auto"/>
        </w:rPr>
      </w:pPr>
      <w:r>
        <w:rPr>
          <w:rFonts w:ascii="Arial" w:cs="Arial" w:eastAsia="Arial" w:hAnsi="Arial"/>
          <w:sz w:val="16"/>
          <w:szCs w:val="16"/>
          <w:color w:val="auto"/>
        </w:rPr>
        <w:t>Based on the number of shares of our common stock outstanding as of June 30, 2023, upon completion of this offering, we will have 151,949,096 shares of common stock outstanding, assuming (i) the conversion of all 104,417,415 shares of our outstanding preferred stock as of</w:t>
      </w:r>
    </w:p>
    <w:p>
      <w:pPr>
        <w:ind w:left="120" w:right="20"/>
        <w:spacing w:after="0" w:line="287" w:lineRule="auto"/>
        <w:rPr>
          <w:sz w:val="20"/>
          <w:szCs w:val="20"/>
          <w:color w:val="auto"/>
        </w:rPr>
      </w:pPr>
      <w:r>
        <w:rPr>
          <w:rFonts w:ascii="Arial" w:cs="Arial" w:eastAsia="Arial" w:hAnsi="Arial"/>
          <w:sz w:val="16"/>
          <w:szCs w:val="16"/>
          <w:color w:val="auto"/>
        </w:rPr>
        <w:t>June 30, 2023 into 104,417,415 shares of common stock, (ii) no exercise of the underwriters’ option to purchase additional shares and (iii) no exercise of any options after June 30, 2023. Of these shares, 14,710,000 (or 16,916,500 shares of our common stock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 under the Securities Act. The remaining 137,239,096 shares of common stock outstanding will bear “restricted shares” as defined in Rule 144. Restricted shares and the shares of common stock into which such securities are convertible may be sold in the public market only if registered or if they qualify for an exemption from registration under Rules 144 or 701 of the Securities Act, which rules are summarized below. As a result of the contractual lock-up period ending 180 days after the date of this prospectus described below and the provisions of Rules 144 and 701, these shares will be available for sale in the public market as follows: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Number of Shares</w:t>
            </w:r>
          </w:p>
        </w:tc>
        <w:tc>
          <w:tcPr>
            <w:tcW w:w="4720" w:type="dxa"/>
            <w:vAlign w:val="bottom"/>
          </w:tcPr>
          <w:p>
            <w:pPr>
              <w:spacing w:after="0"/>
              <w:rPr>
                <w:sz w:val="16"/>
                <w:szCs w:val="16"/>
                <w:color w:val="auto"/>
              </w:rPr>
            </w:pPr>
          </w:p>
        </w:tc>
        <w:tc>
          <w:tcPr>
            <w:tcW w:w="518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Date</w:t>
            </w:r>
          </w:p>
        </w:tc>
      </w:tr>
      <w:tr>
        <w:trPr>
          <w:trHeight w:val="189"/>
        </w:trPr>
        <w:tc>
          <w:tcPr>
            <w:tcW w:w="1120" w:type="dxa"/>
            <w:vAlign w:val="bottom"/>
          </w:tcPr>
          <w:p>
            <w:pPr>
              <w:spacing w:after="0" w:line="189" w:lineRule="exact"/>
              <w:rPr>
                <w:sz w:val="20"/>
                <w:szCs w:val="20"/>
                <w:color w:val="auto"/>
              </w:rPr>
            </w:pPr>
            <w:r>
              <w:rPr>
                <w:rFonts w:ascii="Arial" w:cs="Arial" w:eastAsia="Arial" w:hAnsi="Arial"/>
                <w:sz w:val="18"/>
                <w:szCs w:val="18"/>
                <w:color w:val="auto"/>
              </w:rPr>
              <w:t>137,239,096</w:t>
            </w:r>
          </w:p>
        </w:tc>
        <w:tc>
          <w:tcPr>
            <w:tcW w:w="4720" w:type="dxa"/>
            <w:vAlign w:val="bottom"/>
          </w:tcPr>
          <w:p>
            <w:pPr>
              <w:spacing w:after="0"/>
              <w:rPr>
                <w:sz w:val="16"/>
                <w:szCs w:val="16"/>
                <w:color w:val="auto"/>
              </w:rPr>
            </w:pPr>
          </w:p>
        </w:tc>
        <w:tc>
          <w:tcPr>
            <w:tcW w:w="5180" w:type="dxa"/>
            <w:vAlign w:val="bottom"/>
          </w:tcPr>
          <w:p>
            <w:pPr>
              <w:spacing w:after="0" w:line="189" w:lineRule="exact"/>
              <w:rPr>
                <w:sz w:val="20"/>
                <w:szCs w:val="20"/>
                <w:color w:val="auto"/>
              </w:rPr>
            </w:pPr>
            <w:r>
              <w:rPr>
                <w:rFonts w:ascii="Arial" w:cs="Arial" w:eastAsia="Arial" w:hAnsi="Arial"/>
                <w:sz w:val="18"/>
                <w:szCs w:val="18"/>
                <w:color w:val="auto"/>
                <w:w w:val="90"/>
              </w:rPr>
              <w:t>After 180 days from the date of this prospectus (subject, in some cases,</w:t>
            </w:r>
          </w:p>
        </w:tc>
      </w:tr>
      <w:tr>
        <w:trPr>
          <w:trHeight w:val="230"/>
        </w:trPr>
        <w:tc>
          <w:tcPr>
            <w:tcW w:w="1120" w:type="dxa"/>
            <w:vAlign w:val="bottom"/>
          </w:tcPr>
          <w:p>
            <w:pPr>
              <w:spacing w:after="0"/>
              <w:rPr>
                <w:sz w:val="20"/>
                <w:szCs w:val="20"/>
                <w:color w:val="auto"/>
              </w:rPr>
            </w:pPr>
          </w:p>
        </w:tc>
        <w:tc>
          <w:tcPr>
            <w:tcW w:w="9900" w:type="dxa"/>
            <w:vAlign w:val="bottom"/>
            <w:gridSpan w:val="2"/>
          </w:tcPr>
          <w:p>
            <w:pPr>
              <w:ind w:left="4720"/>
              <w:spacing w:after="0"/>
              <w:rPr>
                <w:sz w:val="20"/>
                <w:szCs w:val="20"/>
                <w:color w:val="auto"/>
              </w:rPr>
            </w:pPr>
            <w:r>
              <w:rPr>
                <w:rFonts w:ascii="Arial" w:cs="Arial" w:eastAsia="Arial" w:hAnsi="Arial"/>
                <w:sz w:val="18"/>
                <w:szCs w:val="18"/>
                <w:color w:val="auto"/>
              </w:rPr>
              <w:t>to volume limitations)</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8" w:lineRule="exact"/>
        <w:rPr>
          <w:sz w:val="20"/>
          <w:szCs w:val="20"/>
          <w:color w:val="auto"/>
        </w:rPr>
      </w:pPr>
    </w:p>
    <w:p>
      <w:pPr>
        <w:ind w:left="1080" w:right="22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1.5 million shares immediately after this offering, assuming no exercise of the underwriters’ option to purchase additional shares; or</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average weekly trading volume of shares of our common stock on the Nasdaq Global Market during the four calendar weeks preceding the filing of a notice on Form 144 with respect to the sale;</w:t>
      </w:r>
    </w:p>
    <w:p>
      <w:pPr>
        <w:spacing w:after="0" w:line="17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which this prospectus is a part (to the extent such common stock is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In connection with this offering, we, our directors, our executive officers and holders of substantially all of our other outstanding shares of common stock or securities convertible into or exchangeable for shares of our common stock outstanding upon the completion of this offering, have entered into or will enter into lock-up agreements with the underwriters, subject to certain exceptions more fully described under the section titled “Underwriting,” not to, among other things and subject to certain exceptions, dispose of or hedge any of their common stock or securities convertible into or exchangeable for shares of common stock during the period from the date of this prospectus continuing through the date 180 days after the date of this prospectus, except with the prior consent of J.P. Morgan Securities LLC and BofA Securities, Inc. See the section titled “Underwriting” for additional information.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Upon the completion of this offering, the holders of approximately 123.8 million shares of our common stock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stockholders could have a material adverse effect on the trading price of our common stock. The requisite percentage of these stockholders will waive all such stockholders’ rights to notice of this offering and to include their shares of registrable securities in this offering. See the section titled “Description of Capital Stock—Registration Rights.”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We intend to file with the SEC a registration statement on Form S-8 under the Securities Act covering the shares of common stock underlying outstanding equity awards and shares of common stock reserved for issuance under the 2015 Plan, the 2020 Plan, the 2023 Plan and the ESPP.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and BofA Securities,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0340" w:type="dxa"/>
            <w:vAlign w:val="bottom"/>
          </w:tcPr>
          <w:p>
            <w:pPr>
              <w:jc w:val="center"/>
              <w:ind w:left="96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10340" w:type="dxa"/>
            <w:vAlign w:val="bottom"/>
          </w:tcPr>
          <w:p>
            <w:pPr>
              <w:jc w:val="center"/>
              <w:ind w:left="960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William Blair &amp; Company, L.L.C.</w:t>
      </w: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9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980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14,710,000</w:t>
            </w:r>
          </w:p>
        </w:tc>
      </w:tr>
      <w:tr>
        <w:trPr>
          <w:trHeight w:val="20"/>
        </w:trPr>
        <w:tc>
          <w:tcPr>
            <w:tcW w:w="9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underwriters propose to offer the common stock directly to the public at the initial public offering price set forth on the cover page of this</w:t>
      </w:r>
    </w:p>
    <w:p>
      <w:pPr>
        <w:spacing w:after="0" w:line="35" w:lineRule="exact"/>
        <w:rPr>
          <w:sz w:val="20"/>
          <w:szCs w:val="20"/>
          <w:color w:val="auto"/>
        </w:rPr>
      </w:pPr>
    </w:p>
    <w:p>
      <w:pPr>
        <w:jc w:val="both"/>
        <w:ind w:left="120" w:right="220"/>
        <w:spacing w:after="0" w:line="255"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9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underwriters have an option to buy up to 2,206,500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w:t>
      </w:r>
    </w:p>
    <w:p>
      <w:pPr>
        <w:spacing w:after="0" w:line="46" w:lineRule="exact"/>
        <w:rPr>
          <w:sz w:val="20"/>
          <w:szCs w:val="20"/>
          <w:color w:val="auto"/>
        </w:rPr>
      </w:pPr>
    </w:p>
    <w:p>
      <w:pPr>
        <w:ind w:left="120" w:right="200"/>
        <w:spacing w:after="0" w:line="290" w:lineRule="auto"/>
        <w:rPr>
          <w:sz w:val="20"/>
          <w:szCs w:val="20"/>
          <w:color w:val="auto"/>
        </w:rPr>
      </w:pPr>
      <w:r>
        <w:rPr>
          <w:rFonts w:ascii="Arial" w:cs="Arial" w:eastAsia="Arial" w:hAnsi="Arial"/>
          <w:sz w:val="17"/>
          <w:szCs w:val="17"/>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Without Option</w:t>
            </w:r>
          </w:p>
        </w:tc>
        <w:tc>
          <w:tcPr>
            <w:tcW w:w="26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With Full Option</w:t>
            </w:r>
          </w:p>
        </w:tc>
      </w:tr>
      <w:tr>
        <w:trPr>
          <w:trHeight w:val="148"/>
        </w:trPr>
        <w:tc>
          <w:tcPr>
            <w:tcW w:w="44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Purchase</w:t>
            </w:r>
          </w:p>
        </w:tc>
        <w:tc>
          <w:tcPr>
            <w:tcW w:w="26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 Purchase</w:t>
            </w:r>
          </w:p>
        </w:tc>
      </w:tr>
      <w:tr>
        <w:trPr>
          <w:trHeight w:val="149"/>
        </w:trPr>
        <w:tc>
          <w:tcPr>
            <w:tcW w:w="44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Additional</w:t>
            </w:r>
          </w:p>
        </w:tc>
      </w:tr>
      <w:tr>
        <w:trPr>
          <w:trHeight w:val="171"/>
        </w:trPr>
        <w:tc>
          <w:tcPr>
            <w:tcW w:w="4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Exercise</w:t>
            </w:r>
          </w:p>
        </w:tc>
        <w:tc>
          <w:tcPr>
            <w:tcW w:w="26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Shares Exercise</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37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4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4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2"/>
          </w:tcPr>
          <w:p>
            <w:pPr>
              <w:jc w:val="right"/>
              <w:ind w:right="1044"/>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4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 approximately $5.1 million. We have agreed to reimburse the underwriters for expenses relating to the clearance of this offering with the Financial Industry Regulatory Authority, Inc. in an amount up to $40,000.</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have agreed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any securities convertible into or exercisable or exchangeable for any shares of our common stock, or publicly disclose the intention to undertake any of the foregoing, or (ii) enter into any swap, hedging, or other agreement that transfers, in whole or in part, any of the economic consequences of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BofA Securities, Inc. for a period of 180 days after the date of this prospectus, other than the shares of our common stock to be sold in this offering.</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date of this offering and described in this prospectus, provided that such recipients enter into a lock-up agreement with the underwriters; (iii) the issuance of up to 10% of the outstanding shares of common stock, or securities convertible into, exercisable for, or which are otherwise exchangeable for, common stock, immediately following the closing date of this offering, in acquisitions or other similar strategic transactions, provided that such recipients enter into a lock-up agreement with the underwriters; or (iv) the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16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directors and executive officers, and substantially all of our securityholders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BofA Securities, Inc.,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the lock-up party in accordance with the rules and regulations of the Securities and Exchange Commission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the lock up securities, or (iv) publicly disclose the intention to do any of the foregoing.</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Such persons or entities have further acknowledged that these undertakings preclude them from engaging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Such persons or entities further confirm that they have furnished the representatives with the details of any transaction such persons or entities, or any of their respective affiliates, is a party to as of the date hereof, which transaction would have been restricted by the lock-up agreements if it had been entered into by such persons or entities during the restricted period.</w:t>
      </w:r>
    </w:p>
    <w:p>
      <w:pPr>
        <w:spacing w:after="0" w:line="16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distribution, disposition or surrender of lock-up securities: (i) as bona fide gifts, or for bona fide estate planning purposes, (ii) by will, testamentary document or intestacy, (iii) to any trust for the direct or indirect benefit of the lock-up party or any immediate family member, (iv) to a corporation,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partners, members or stockholders of the lock-up party; (vii) by operation of law, (viii) to us from an employee upon death, disability or termination of employment of such employee, (ix) as part of a sale of lock-up securities acquired in this offering or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convertible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Section 16 of the Exchange Act, provided that such plan does not provide for the transfer of lock-up securities during the restricted period.</w:t>
      </w:r>
    </w:p>
    <w:p>
      <w:pPr>
        <w:spacing w:after="0" w:line="39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J.P. Morgan Securities LLC and BofA Securities, Inc. in their sole discretion, may release the securities subject to any of the lock-up agreements with the underwriters described above, in whole or in part at any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We have applied to list our common stock on the Nasdaq Global Market under the symbol “NMRA,” and this offering is contingent upon obtaining such approval.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w:t>
      </w:r>
    </w:p>
    <w:p>
      <w:pPr>
        <w:spacing w:after="0" w:line="16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78"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60"/>
          </w:cols>
          <w:pgMar w:left="320" w:top="459" w:right="51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63"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9" w:lineRule="exact"/>
        <w:rPr>
          <w:sz w:val="20"/>
          <w:szCs w:val="20"/>
          <w:color w:val="auto"/>
        </w:rPr>
      </w:pPr>
    </w:p>
    <w:p>
      <w:pPr>
        <w:ind w:left="5480" w:right="2260" w:hanging="4932"/>
        <w:spacing w:after="0" w:line="449" w:lineRule="auto"/>
        <w:tabs>
          <w:tab w:leader="none" w:pos="107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 204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FSMA, 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9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53" w:lineRule="exact"/>
        <w:rPr>
          <w:rFonts w:ascii="Arial" w:cs="Arial" w:eastAsia="Arial" w:hAnsi="Arial"/>
          <w:sz w:val="16"/>
          <w:szCs w:val="16"/>
          <w:color w:val="auto"/>
        </w:rPr>
      </w:pPr>
    </w:p>
    <w:p>
      <w:pPr>
        <w:jc w:val="both"/>
        <w:ind w:left="1080" w:right="40" w:hanging="532"/>
        <w:spacing w:after="0" w:line="263"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the Laws of Hong Kong) (the SFO) of Hong Kong and any rules made thereunder; or (ii)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67" w:lineRule="exact"/>
        <w:rPr>
          <w:sz w:val="20"/>
          <w:szCs w:val="20"/>
          <w:color w:val="auto"/>
        </w:rPr>
      </w:pPr>
    </w:p>
    <w:p>
      <w:pPr>
        <w:ind w:left="108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6" w:lineRule="exact"/>
        <w:rPr>
          <w:rFonts w:ascii="Arial" w:cs="Arial" w:eastAsia="Arial" w:hAnsi="Arial"/>
          <w:sz w:val="16"/>
          <w:szCs w:val="16"/>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Singapore SFA Product Classification—In connection with Section 309B of the SFA and the CMP Regulations 2018, unless otherwise specified before an offer of the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us or on our behalf.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No prospectus or other offering material or document in connection with the offer and sale of the shares has been or will be registered with the Securities Commission of Malaysia (the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Taiwan. No person or entity in Taiwan has been authorized to offer, sell, give advice regarding or otherwise intermediate the offering and sale of the shares in Taiwan.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222" w:lineRule="exact"/>
        <w:rPr>
          <w:sz w:val="20"/>
          <w:szCs w:val="20"/>
          <w:color w:val="auto"/>
        </w:rPr>
      </w:pPr>
    </w:p>
    <w:p>
      <w:pPr>
        <w:ind w:left="120"/>
        <w:spacing w:after="0"/>
        <w:tabs>
          <w:tab w:leader="none" w:pos="230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131"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ectPr>
          <w:pgSz w:w="11900" w:h="16838" w:orient="portrait"/>
          <w:cols w:equalWidth="0" w:num="1">
            <w:col w:w="11100"/>
          </w:cols>
          <w:pgMar w:left="320" w:top="459" w:right="47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96 (1)(b)</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84" w:lineRule="exact"/>
        <w:rPr>
          <w:sz w:val="20"/>
          <w:szCs w:val="20"/>
          <w:color w:val="auto"/>
        </w:rPr>
      </w:pPr>
    </w:p>
    <w:p>
      <w:pPr>
        <w:sectPr>
          <w:pgSz w:w="11900" w:h="16838" w:orient="portrait"/>
          <w:cols w:equalWidth="0" w:num="2">
            <w:col w:w="1600" w:space="720"/>
            <w:col w:w="8780"/>
          </w:cols>
          <w:pgMar w:left="320" w:top="459" w:right="479" w:bottom="1440" w:gutter="0" w:footer="0" w:header="0"/>
          <w:type w:val="continuous"/>
        </w:sectPr>
      </w:pPr>
    </w:p>
    <w:p>
      <w:pPr>
        <w:ind w:left="120" w:right="540" w:firstLine="440"/>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9" w:right="479"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validity of the issuance of the shares of common stock offered hereby will be passed upon for Neumora Therapeutics, Inc. by Latham &amp; Watkins LLP, San Francisco, California. Cooley LLP, San Diego, California, is representing the underwriters.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as of December 31, 2021 and 2022, and for each of the two years in the period ended December 31, 2022,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our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from which interested persons can electronically access the registration statement, including the exhibits and any schedules thereto.</w:t>
      </w:r>
    </w:p>
    <w:p>
      <w:pPr>
        <w:spacing w:after="0" w:line="166"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As a result of the offering, we will be required to file periodic reports and other information with the SEC. We also maintain a website at www.neumoratx.com, at which, following this offering, you may access these materials free of charge as soon as reasonably practicable after they are electronically filed with or furnished to the SEC. Our website and the information contained therein or connected thereto shall not be deemed to be incorporated into this prospectus or the registration statement of which it forms a part. We have included our website address as an inactive textual reference only.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8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7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8880" w:type="dxa"/>
            <w:vAlign w:val="bottom"/>
            <w:gridSpan w:val="13"/>
            <w:vMerge w:val="continue"/>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2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4300" w:type="dxa"/>
            <w:vAlign w:val="bottom"/>
            <w:gridSpan w:val="6"/>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520" w:type="dxa"/>
            <w:vAlign w:val="bottom"/>
            <w:gridSpan w:val="12"/>
          </w:tcPr>
          <w:p>
            <w:pPr>
              <w:spacing w:after="0" w:line="196" w:lineRule="exact"/>
              <w:rPr>
                <w:sz w:val="20"/>
                <w:szCs w:val="20"/>
                <w:color w:val="auto"/>
              </w:rPr>
            </w:pPr>
            <w:r>
              <w:rPr>
                <w:rFonts w:ascii="Arial" w:cs="Arial" w:eastAsia="Arial" w:hAnsi="Arial"/>
                <w:sz w:val="18"/>
                <w:szCs w:val="18"/>
                <w:color w:val="0000EE"/>
              </w:rPr>
              <w:t>Consolidated Balance Sheets</w:t>
            </w:r>
          </w:p>
        </w:tc>
        <w:tc>
          <w:tcPr>
            <w:tcW w:w="17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Consolidated Statements of Operations and Comprehensive Loss</w:t>
            </w:r>
          </w:p>
        </w:tc>
        <w:tc>
          <w:tcPr>
            <w:tcW w:w="3840" w:type="dxa"/>
            <w:vAlign w:val="bottom"/>
            <w:gridSpan w:val="5"/>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9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Consolidated Statements of Convertible Preferred Stock and Stockholders’ Deficit</w:t>
            </w:r>
          </w:p>
        </w:tc>
        <w:tc>
          <w:tcPr>
            <w:tcW w:w="2600" w:type="dxa"/>
            <w:vAlign w:val="bottom"/>
            <w:gridSpan w:val="2"/>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520" w:type="dxa"/>
            <w:vAlign w:val="bottom"/>
            <w:gridSpan w:val="12"/>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17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520" w:type="dxa"/>
            <w:vAlign w:val="bottom"/>
            <w:gridSpan w:val="12"/>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17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880" w:type="dxa"/>
            <w:vAlign w:val="bottom"/>
            <w:gridSpan w:val="13"/>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520" w:type="dxa"/>
            <w:vAlign w:val="bottom"/>
            <w:gridSpan w:val="12"/>
          </w:tcPr>
          <w:p>
            <w:pPr>
              <w:spacing w:after="0"/>
              <w:rPr>
                <w:sz w:val="20"/>
                <w:szCs w:val="20"/>
                <w:color w:val="auto"/>
              </w:rPr>
            </w:pPr>
            <w:r>
              <w:rPr>
                <w:rFonts w:ascii="Arial" w:cs="Arial" w:eastAsia="Arial" w:hAnsi="Arial"/>
                <w:sz w:val="18"/>
                <w:szCs w:val="18"/>
                <w:color w:val="0000EE"/>
              </w:rPr>
              <w:t>Condensed Consolidated Balance Sheets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5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 and Comprehensive Loss</w:t>
            </w:r>
          </w:p>
        </w:tc>
        <w:tc>
          <w:tcPr>
            <w:tcW w:w="3000" w:type="dxa"/>
            <w:vAlign w:val="bottom"/>
            <w:gridSpan w:val="3"/>
          </w:tcPr>
          <w:p>
            <w:pPr>
              <w:spacing w:after="0"/>
              <w:rPr>
                <w:sz w:val="17"/>
                <w:szCs w:val="17"/>
                <w:color w:val="auto"/>
              </w:rPr>
            </w:pPr>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520" w:type="dxa"/>
            <w:vAlign w:val="bottom"/>
            <w:gridSpan w:val="12"/>
          </w:tcPr>
          <w:p>
            <w:pPr>
              <w:spacing w:after="0" w:line="196" w:lineRule="exact"/>
              <w:rPr>
                <w:sz w:val="20"/>
                <w:szCs w:val="20"/>
                <w:color w:val="auto"/>
              </w:rPr>
            </w:pPr>
            <w:r>
              <w:rPr>
                <w:rFonts w:ascii="Arial" w:cs="Arial" w:eastAsia="Arial" w:hAnsi="Arial"/>
                <w:sz w:val="18"/>
                <w:szCs w:val="18"/>
                <w:color w:val="0000EE"/>
              </w:rPr>
              <w:t>Condensed Consolidated Statements of Convertible Preferred Stock and Stockholders’ Deficit</w:t>
            </w:r>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76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1760" w:type="dxa"/>
            <w:vAlign w:val="bottom"/>
          </w:tcPr>
          <w:p>
            <w:pPr>
              <w:spacing w:after="0"/>
              <w:rPr>
                <w:sz w:val="17"/>
                <w:szCs w:val="17"/>
                <w:color w:val="auto"/>
              </w:rPr>
            </w:pPr>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520" w:type="dxa"/>
            <w:vAlign w:val="bottom"/>
            <w:gridSpan w:val="12"/>
          </w:tcPr>
          <w:p>
            <w:pPr>
              <w:spacing w:after="0" w:line="196" w:lineRule="exact"/>
              <w:rPr>
                <w:sz w:val="20"/>
                <w:szCs w:val="20"/>
                <w:color w:val="auto"/>
              </w:rPr>
            </w:pPr>
            <w:r>
              <w:rPr>
                <w:rFonts w:ascii="Arial" w:cs="Arial" w:eastAsia="Arial" w:hAnsi="Arial"/>
                <w:sz w:val="18"/>
                <w:szCs w:val="18"/>
                <w:color w:val="0000EE"/>
              </w:rPr>
              <w:t>Notes to Unaudited Condensed Consolidated Financial Statements</w:t>
            </w:r>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740" w:type="dxa"/>
            <w:vAlign w:val="bottom"/>
            <w:gridSpan w:val="4"/>
          </w:tcPr>
          <w:p>
            <w:pPr>
              <w:ind w:left="240"/>
              <w:spacing w:after="0"/>
              <w:rPr>
                <w:sz w:val="20"/>
                <w:szCs w:val="20"/>
                <w:color w:val="auto"/>
              </w:rPr>
            </w:pPr>
            <w:r>
              <w:rPr>
                <w:rFonts w:ascii="Arial" w:cs="Arial" w:eastAsia="Arial" w:hAnsi="Arial"/>
                <w:sz w:val="18"/>
                <w:szCs w:val="18"/>
                <w:color w:val="auto"/>
              </w:rPr>
              <w:t>F-1</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Neumora Therapeutics, Inc.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We have audited the accompanying consolidated balance sheets of Neumora Therapeutics, Inc. (the Company) as of December 31, 2021 and 2022, the related consolidated statements of operations and comprehensive loss, convertible preferred stock and stockholders’ deficit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2021 and 2022, and the results of its operations and its cash flows for each of the two years in the period ended December 31, 2022, in conformity with U.S. generally accepted accounting principles.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 2023, except for the effects of the reverse stock split described in Note 1 and Note 18, as to which the date is September 11, 2023</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par values)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409,247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240,943</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130,941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6,231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16,021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415,603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387,955</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23,511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1,871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9,653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429,297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426,234</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1,639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11,536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Early exercise liability, current portion</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current portion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Convertible preferred stock warrant liability</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23,697</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Early exercise liability, net of current portion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4"/>
        </w:trPr>
        <w:tc>
          <w:tcPr>
            <w:tcW w:w="87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80" w:type="dxa"/>
            <w:vAlign w:val="bottom"/>
          </w:tcPr>
          <w:p>
            <w:pPr>
              <w:spacing w:after="0"/>
              <w:rPr>
                <w:sz w:val="20"/>
                <w:szCs w:val="20"/>
                <w:color w:val="auto"/>
              </w:rPr>
            </w:pPr>
            <w:r>
              <w:rPr>
                <w:rFonts w:ascii="Arial" w:cs="Arial" w:eastAsia="Arial" w:hAnsi="Arial"/>
                <w:sz w:val="18"/>
                <w:szCs w:val="18"/>
                <w:color w:val="auto"/>
                <w:w w:val="93"/>
              </w:rPr>
              <w:t>Convertible preferred stock, $0.0001 par value; 755,000 and 820,349 shares authorized as of December 31, 2021 and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8"/>
                <w:szCs w:val="18"/>
                <w:color w:val="auto"/>
                <w:w w:val="92"/>
              </w:rPr>
              <w:t>December 31, 2022, respectively; 94,710 and 104,417 shares issued and outstanding as of December 31, 2021 and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December 31, 2022, respectively; aggregate liquidation preference of $856,756 as of December 31, 2022</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729,858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843,687</w:t>
            </w:r>
          </w:p>
        </w:tc>
        <w:tc>
          <w:tcPr>
            <w:tcW w:w="0" w:type="dxa"/>
            <w:vAlign w:val="bottom"/>
          </w:tcPr>
          <w:p>
            <w:pPr>
              <w:spacing w:after="0"/>
              <w:rPr>
                <w:sz w:val="1"/>
                <w:szCs w:val="1"/>
                <w:color w:val="auto"/>
              </w:rPr>
            </w:pPr>
          </w:p>
        </w:tc>
      </w:tr>
      <w:tr>
        <w:trPr>
          <w:trHeight w:val="108"/>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rPr>
              <w:t>Common stock, $0.0001 par value; 1,125,000 and 1,210,000 shares authorized as of December 31, 2021 and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8"/>
                <w:szCs w:val="18"/>
                <w:color w:val="auto"/>
                <w:w w:val="93"/>
              </w:rPr>
              <w:t>December 31, 2022, respectively; 31,985 and 32,612 shares issued and outstanding as of December 31, 2021 and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December 31, 2022, respectively</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21,430</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(336,605)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(467,509)</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(325,221)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(446,850)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429,297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426,234</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Year Ended</w:t>
      </w:r>
    </w:p>
    <w:p>
      <w:pPr>
        <w:jc w:val="center"/>
        <w:ind w:left="8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8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55,776</w:t>
            </w:r>
          </w:p>
        </w:tc>
        <w:tc>
          <w:tcPr>
            <w:tcW w:w="160" w:type="dxa"/>
            <w:vAlign w:val="bottom"/>
          </w:tcPr>
          <w:p>
            <w:pPr>
              <w:spacing w:after="0"/>
              <w:rPr>
                <w:sz w:val="18"/>
                <w:szCs w:val="18"/>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91,749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135,870</w:t>
            </w:r>
          </w:p>
        </w:tc>
        <w:tc>
          <w:tcPr>
            <w:tcW w:w="0" w:type="dxa"/>
            <w:vAlign w:val="bottom"/>
          </w:tcPr>
          <w:p>
            <w:pPr>
              <w:spacing w:after="0"/>
              <w:rPr>
                <w:sz w:val="1"/>
                <w:szCs w:val="1"/>
                <w:color w:val="auto"/>
              </w:rPr>
            </w:pPr>
          </w:p>
        </w:tc>
      </w:tr>
      <w:tr>
        <w:trPr>
          <w:trHeight w:val="224"/>
        </w:trPr>
        <w:tc>
          <w:tcPr>
            <w:tcW w:w="880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(237,323)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(135,870)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(237,312)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(130,904)</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(237,312</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(131,678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080" w:type="dxa"/>
            <w:vAlign w:val="bottom"/>
          </w:tcPr>
          <w:p>
            <w:pPr>
              <w:spacing w:after="0"/>
              <w:rPr>
                <w:sz w:val="3"/>
                <w:szCs w:val="3"/>
                <w:color w:val="auto"/>
              </w:rPr>
            </w:pPr>
          </w:p>
        </w:tc>
        <w:tc>
          <w:tcPr>
            <w:tcW w:w="162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Convertible</w:t>
            </w: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08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620" w:type="dxa"/>
            <w:vAlign w:val="bottom"/>
            <w:gridSpan w:val="6"/>
            <w:vMerge w:val="continue"/>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7"/>
                <w:szCs w:val="7"/>
                <w:color w:val="auto"/>
              </w:rPr>
            </w:pPr>
          </w:p>
        </w:tc>
        <w:tc>
          <w:tcPr>
            <w:tcW w:w="8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3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280" w:type="dxa"/>
            <w:vAlign w:val="bottom"/>
            <w:vMerge w:val="restart"/>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5"/>
              </w:rPr>
              <w:t>Common Stock</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080" w:type="dxa"/>
            <w:vAlign w:val="bottom"/>
          </w:tcPr>
          <w:p>
            <w:pPr>
              <w:spacing w:after="0"/>
              <w:rPr>
                <w:sz w:val="9"/>
                <w:szCs w:val="9"/>
                <w:color w:val="auto"/>
              </w:rPr>
            </w:pPr>
          </w:p>
        </w:tc>
        <w:tc>
          <w:tcPr>
            <w:tcW w:w="1340" w:type="dxa"/>
            <w:vAlign w:val="bottom"/>
            <w:tcBorders>
              <w:bottom w:val="single" w:sz="8" w:color="auto"/>
            </w:tcBorders>
            <w:gridSpan w:val="5"/>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1120" w:type="dxa"/>
            <w:vAlign w:val="bottom"/>
            <w:tcBorders>
              <w:bottom w:val="single" w:sz="8" w:color="auto"/>
            </w:tcBorders>
            <w:gridSpan w:val="4"/>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9"/>
                <w:szCs w:val="9"/>
                <w:color w:val="auto"/>
              </w:rPr>
            </w:pP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left w:val="single" w:sz="8" w:color="auto"/>
            </w:tcBorders>
          </w:tcPr>
          <w:p>
            <w:pPr>
              <w:spacing w:after="0"/>
              <w:rPr>
                <w:sz w:val="2"/>
                <w:szCs w:val="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0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37,582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281,679</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30,607</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(99,293)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Pr>
          <w:p>
            <w:pPr>
              <w:ind w:left="320"/>
              <w:spacing w:after="0"/>
              <w:rPr>
                <w:sz w:val="20"/>
                <w:szCs w:val="20"/>
                <w:color w:val="auto"/>
              </w:rPr>
            </w:pPr>
            <w:r>
              <w:rPr>
                <w:rFonts w:ascii="Arial" w:cs="Arial" w:eastAsia="Arial" w:hAnsi="Arial"/>
                <w:sz w:val="16"/>
                <w:szCs w:val="16"/>
                <w:color w:val="auto"/>
                <w:w w:val="97"/>
              </w:rPr>
              <w:t>Issuance of Series A-2 convertible preferred stock, net</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80"/>
              <w:spacing w:after="0"/>
              <w:rPr>
                <w:sz w:val="20"/>
                <w:szCs w:val="20"/>
                <w:color w:val="auto"/>
              </w:rPr>
            </w:pPr>
            <w:r>
              <w:rPr>
                <w:rFonts w:ascii="Arial" w:cs="Arial" w:eastAsia="Arial" w:hAnsi="Arial"/>
                <w:sz w:val="16"/>
                <w:szCs w:val="16"/>
                <w:color w:val="auto"/>
              </w:rPr>
              <w:t>of issuance costs of $71</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37,119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291,179</w:t>
            </w:r>
          </w:p>
        </w:tc>
        <w:tc>
          <w:tcPr>
            <w:tcW w:w="80" w:type="dxa"/>
            <w:vAlign w:val="bottom"/>
            <w:tcBorders>
              <w:left w:val="single" w:sz="8" w:color="auto"/>
            </w:tcBorders>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Issuance of Series A-2 convertible preferred stock for an</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acquisition of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157,000</w:t>
            </w:r>
          </w:p>
        </w:tc>
        <w:tc>
          <w:tcPr>
            <w:tcW w:w="80" w:type="dxa"/>
            <w:vAlign w:val="bottom"/>
            <w:tcBorders>
              <w:left w:val="single" w:sz="8" w:color="auto"/>
            </w:tcBorders>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Issuance of common stock</w:t>
            </w:r>
          </w:p>
        </w:tc>
        <w:tc>
          <w:tcPr>
            <w:tcW w:w="6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w w:val="82"/>
              </w:rPr>
              <w:t>382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960</w:t>
            </w:r>
          </w:p>
        </w:tc>
        <w:tc>
          <w:tcPr>
            <w:tcW w:w="200" w:type="dxa"/>
            <w:vAlign w:val="bottom"/>
          </w:tcPr>
          <w:p>
            <w:pPr>
              <w:spacing w:after="0"/>
              <w:rPr>
                <w:sz w:val="17"/>
                <w:szCs w:val="17"/>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Issuance of common stock upon early exercise of stock</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options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2"/>
              </w:rPr>
              <w:t>563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080" w:type="dxa"/>
            <w:vAlign w:val="bottom"/>
          </w:tcPr>
          <w:p>
            <w:pPr>
              <w:ind w:left="320"/>
              <w:spacing w:after="0"/>
              <w:rPr>
                <w:sz w:val="20"/>
                <w:szCs w:val="20"/>
                <w:color w:val="auto"/>
              </w:rPr>
            </w:pPr>
            <w:r>
              <w:rPr>
                <w:rFonts w:ascii="Arial" w:cs="Arial" w:eastAsia="Arial" w:hAnsi="Arial"/>
                <w:sz w:val="16"/>
                <w:szCs w:val="16"/>
                <w:color w:val="auto"/>
              </w:rPr>
              <w:t>Issuance of common stock upon exercise of stock</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80"/>
              <w:spacing w:after="0"/>
              <w:rPr>
                <w:sz w:val="20"/>
                <w:szCs w:val="20"/>
                <w:color w:val="auto"/>
              </w:rPr>
            </w:pPr>
            <w:r>
              <w:rPr>
                <w:rFonts w:ascii="Arial" w:cs="Arial" w:eastAsia="Arial" w:hAnsi="Arial"/>
                <w:sz w:val="16"/>
                <w:szCs w:val="16"/>
                <w:color w:val="auto"/>
              </w:rPr>
              <w:t>options</w:t>
            </w:r>
          </w:p>
        </w:tc>
        <w:tc>
          <w:tcPr>
            <w:tcW w:w="6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w w:val="82"/>
              </w:rPr>
              <w:t>407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1,099</w:t>
            </w:r>
          </w:p>
        </w:tc>
        <w:tc>
          <w:tcPr>
            <w:tcW w:w="2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Issuance of common stock as noncash consideration for</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an acquisition of assets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Vesting of restricted common stock</w:t>
            </w:r>
          </w:p>
        </w:tc>
        <w:tc>
          <w:tcPr>
            <w:tcW w:w="6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7"/>
                <w:szCs w:val="17"/>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4,274</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Net loss and comprehensive loss</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(237,312)</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(237,312)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2021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94,710</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729,858</w:t>
            </w:r>
          </w:p>
        </w:tc>
        <w:tc>
          <w:tcPr>
            <w:tcW w:w="80" w:type="dxa"/>
            <w:vAlign w:val="bottom"/>
            <w:tcBorders>
              <w:left w:val="single" w:sz="8" w:color="auto"/>
            </w:tcBorders>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31,985</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11,381</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(336,605)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(325,221)</w:t>
            </w:r>
          </w:p>
        </w:tc>
        <w:tc>
          <w:tcPr>
            <w:tcW w:w="0" w:type="dxa"/>
            <w:vAlign w:val="bottom"/>
          </w:tcPr>
          <w:p>
            <w:pPr>
              <w:spacing w:after="0"/>
              <w:rPr>
                <w:sz w:val="1"/>
                <w:szCs w:val="1"/>
                <w:color w:val="auto"/>
              </w:rPr>
            </w:pPr>
          </w:p>
        </w:tc>
      </w:tr>
      <w:tr>
        <w:trPr>
          <w:trHeight w:val="193"/>
        </w:trPr>
        <w:tc>
          <w:tcPr>
            <w:tcW w:w="4080" w:type="dxa"/>
            <w:vAlign w:val="bottom"/>
          </w:tcPr>
          <w:p>
            <w:pPr>
              <w:ind w:left="320"/>
              <w:spacing w:after="0"/>
              <w:rPr>
                <w:sz w:val="20"/>
                <w:szCs w:val="20"/>
                <w:color w:val="auto"/>
              </w:rPr>
            </w:pPr>
            <w:r>
              <w:rPr>
                <w:rFonts w:ascii="Arial" w:cs="Arial" w:eastAsia="Arial" w:hAnsi="Arial"/>
                <w:sz w:val="16"/>
                <w:szCs w:val="16"/>
                <w:color w:val="auto"/>
                <w:w w:val="94"/>
              </w:rPr>
              <w:t>Issuance of Series A-1 convertible preferred stock upon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80"/>
              <w:spacing w:after="0"/>
              <w:rPr>
                <w:sz w:val="20"/>
                <w:szCs w:val="20"/>
                <w:color w:val="auto"/>
              </w:rPr>
            </w:pPr>
            <w:r>
              <w:rPr>
                <w:rFonts w:ascii="Arial" w:cs="Arial" w:eastAsia="Arial" w:hAnsi="Arial"/>
                <w:sz w:val="16"/>
                <w:szCs w:val="16"/>
                <w:color w:val="auto"/>
              </w:rPr>
              <w:t>exercise of warrants</w:t>
            </w:r>
          </w:p>
        </w:tc>
        <w:tc>
          <w:tcPr>
            <w:tcW w:w="580" w:type="dxa"/>
            <w:vAlign w:val="bottom"/>
          </w:tcPr>
          <w:p>
            <w:pPr>
              <w:ind w:left="340"/>
              <w:spacing w:after="0"/>
              <w:rPr>
                <w:sz w:val="20"/>
                <w:szCs w:val="20"/>
                <w:color w:val="auto"/>
              </w:rPr>
            </w:pPr>
            <w:r>
              <w:rPr>
                <w:rFonts w:ascii="Arial" w:cs="Arial" w:eastAsia="Arial" w:hAnsi="Arial"/>
                <w:sz w:val="16"/>
                <w:szCs w:val="16"/>
                <w:color w:val="auto"/>
                <w:w w:val="82"/>
              </w:rPr>
              <w:t>157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1,613</w:t>
            </w:r>
          </w:p>
        </w:tc>
        <w:tc>
          <w:tcPr>
            <w:tcW w:w="80" w:type="dxa"/>
            <w:vAlign w:val="bottom"/>
            <w:tcBorders>
              <w:left w:val="single" w:sz="8" w:color="auto"/>
            </w:tcBorders>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Issuance of Series B convertible preferred stock, net of</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issuance costs of $179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112,216</w:t>
            </w:r>
          </w:p>
        </w:tc>
        <w:tc>
          <w:tcPr>
            <w:tcW w:w="80" w:type="dxa"/>
            <w:vAlign w:val="bottom"/>
            <w:tcBorders>
              <w:left w:val="single" w:sz="8" w:color="auto"/>
            </w:tcBorders>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080" w:type="dxa"/>
            <w:vAlign w:val="bottom"/>
          </w:tcPr>
          <w:p>
            <w:pPr>
              <w:ind w:left="320"/>
              <w:spacing w:after="0"/>
              <w:rPr>
                <w:sz w:val="20"/>
                <w:szCs w:val="20"/>
                <w:color w:val="auto"/>
              </w:rPr>
            </w:pPr>
            <w:r>
              <w:rPr>
                <w:rFonts w:ascii="Arial" w:cs="Arial" w:eastAsia="Arial" w:hAnsi="Arial"/>
                <w:sz w:val="16"/>
                <w:szCs w:val="16"/>
                <w:color w:val="auto"/>
                <w:w w:val="95"/>
              </w:rPr>
              <w:t>Issuance of common stock upon early exercise of stock</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80"/>
              <w:spacing w:after="0"/>
              <w:rPr>
                <w:sz w:val="20"/>
                <w:szCs w:val="20"/>
                <w:color w:val="auto"/>
              </w:rPr>
            </w:pPr>
            <w:r>
              <w:rPr>
                <w:rFonts w:ascii="Arial" w:cs="Arial" w:eastAsia="Arial" w:hAnsi="Arial"/>
                <w:sz w:val="16"/>
                <w:szCs w:val="16"/>
                <w:color w:val="auto"/>
              </w:rPr>
              <w:t>options</w:t>
            </w:r>
          </w:p>
        </w:tc>
        <w:tc>
          <w:tcPr>
            <w:tcW w:w="6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w w:val="82"/>
              </w:rPr>
              <w:t>442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upon exercise of stock</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options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2"/>
              </w:rPr>
              <w:t>228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80" w:type="dxa"/>
            <w:vAlign w:val="bottom"/>
          </w:tcPr>
          <w:p>
            <w:pPr>
              <w:ind w:left="320"/>
              <w:spacing w:after="0"/>
              <w:rPr>
                <w:sz w:val="20"/>
                <w:szCs w:val="20"/>
                <w:color w:val="auto"/>
              </w:rPr>
            </w:pPr>
            <w:r>
              <w:rPr>
                <w:rFonts w:ascii="Arial" w:cs="Arial" w:eastAsia="Arial" w:hAnsi="Arial"/>
                <w:sz w:val="16"/>
                <w:szCs w:val="16"/>
                <w:color w:val="auto"/>
                <w:w w:val="99"/>
              </w:rPr>
              <w:t>Issuance of common stock as noncash consideration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80"/>
              <w:spacing w:after="0"/>
              <w:rPr>
                <w:sz w:val="20"/>
                <w:szCs w:val="20"/>
                <w:color w:val="auto"/>
              </w:rPr>
            </w:pPr>
            <w:r>
              <w:rPr>
                <w:rFonts w:ascii="Arial" w:cs="Arial" w:eastAsia="Arial" w:hAnsi="Arial"/>
                <w:sz w:val="16"/>
                <w:szCs w:val="16"/>
                <w:color w:val="auto"/>
              </w:rPr>
              <w:t>related to an acquisition of assets</w:t>
            </w:r>
          </w:p>
        </w:tc>
        <w:tc>
          <w:tcPr>
            <w:tcW w:w="6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Forfeiture of restricted stock subject to repurchase</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Vesting of restricted common stock</w:t>
            </w:r>
          </w:p>
        </w:tc>
        <w:tc>
          <w:tcPr>
            <w:tcW w:w="6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1,115</w:t>
            </w:r>
          </w:p>
        </w:tc>
        <w:tc>
          <w:tcPr>
            <w:tcW w:w="200" w:type="dxa"/>
            <w:vAlign w:val="bottom"/>
          </w:tcPr>
          <w:p>
            <w:pPr>
              <w:spacing w:after="0"/>
              <w:rPr>
                <w:sz w:val="17"/>
                <w:szCs w:val="17"/>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marketable debt securities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7"/>
                <w:szCs w:val="17"/>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(774)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03"/>
        </w:trPr>
        <w:tc>
          <w:tcPr>
            <w:tcW w:w="408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6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8,298</w:t>
            </w:r>
          </w:p>
        </w:tc>
        <w:tc>
          <w:tcPr>
            <w:tcW w:w="200" w:type="dxa"/>
            <w:vAlign w:val="bottom"/>
          </w:tcPr>
          <w:p>
            <w:pPr>
              <w:spacing w:after="0"/>
              <w:rPr>
                <w:sz w:val="17"/>
                <w:szCs w:val="17"/>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(130,904)</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(130,904)</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6"/>
                <w:szCs w:val="16"/>
                <w:color w:val="auto"/>
              </w:rPr>
              <w:t>Balance as of December 31, 2022</w:t>
            </w: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8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104,417</w:t>
            </w:r>
          </w:p>
        </w:tc>
        <w:tc>
          <w:tcPr>
            <w:tcW w:w="40" w:type="dxa"/>
            <w:vAlign w:val="bottom"/>
          </w:tcPr>
          <w:p>
            <w:pPr>
              <w:spacing w:after="0"/>
              <w:rPr>
                <w:sz w:val="17"/>
                <w:szCs w:val="17"/>
                <w:color w:val="auto"/>
              </w:rPr>
            </w:pPr>
          </w:p>
        </w:tc>
        <w:tc>
          <w:tcPr>
            <w:tcW w:w="1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843,687</w:t>
            </w:r>
          </w:p>
        </w:tc>
        <w:tc>
          <w:tcPr>
            <w:tcW w:w="80" w:type="dxa"/>
            <w:vAlign w:val="bottom"/>
            <w:tcBorders>
              <w:left w:val="single" w:sz="8" w:color="auto"/>
            </w:tcBorders>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32,612</w:t>
            </w:r>
          </w:p>
        </w:tc>
        <w:tc>
          <w:tcPr>
            <w:tcW w:w="120" w:type="dxa"/>
            <w:vAlign w:val="bottom"/>
          </w:tcPr>
          <w:p>
            <w:pPr>
              <w:spacing w:after="0"/>
              <w:rPr>
                <w:sz w:val="17"/>
                <w:szCs w:val="17"/>
                <w:color w:val="auto"/>
              </w:rPr>
            </w:pPr>
          </w:p>
        </w:tc>
        <w:tc>
          <w:tcPr>
            <w:tcW w:w="5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21,430</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(774)</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(467,509)</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(446,850)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9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(237,312)</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(130,904)</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Acquired in-process research and development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8,298</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Noncash operating lease expense</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Realized loss on investments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Change in fair value of convertible preferred stock warrants</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(3,628)</w:t>
            </w:r>
          </w:p>
        </w:tc>
        <w:tc>
          <w:tcPr>
            <w:tcW w:w="0" w:type="dxa"/>
            <w:vAlign w:val="bottom"/>
          </w:tcPr>
          <w:p>
            <w:pPr>
              <w:spacing w:after="0"/>
              <w:rPr>
                <w:sz w:val="1"/>
                <w:szCs w:val="1"/>
                <w:color w:val="auto"/>
              </w:rPr>
            </w:pPr>
          </w:p>
        </w:tc>
      </w:tr>
      <w:tr>
        <w:trPr>
          <w:trHeight w:val="203"/>
        </w:trPr>
        <w:tc>
          <w:tcPr>
            <w:tcW w:w="9020" w:type="dxa"/>
            <w:vAlign w:val="bottom"/>
          </w:tcPr>
          <w:p>
            <w:pPr>
              <w:ind w:left="640"/>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(3,663)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03"/>
        </w:trPr>
        <w:tc>
          <w:tcPr>
            <w:tcW w:w="9020" w:type="dxa"/>
            <w:vAlign w:val="bottom"/>
          </w:tcPr>
          <w:p>
            <w:pPr>
              <w:ind w:left="640"/>
              <w:spacing w:after="0"/>
              <w:rPr>
                <w:sz w:val="20"/>
                <w:szCs w:val="20"/>
                <w:color w:val="auto"/>
              </w:rPr>
            </w:pPr>
            <w:r>
              <w:rPr>
                <w:rFonts w:ascii="Arial" w:cs="Arial" w:eastAsia="Arial" w:hAnsi="Arial"/>
                <w:sz w:val="16"/>
                <w:szCs w:val="16"/>
                <w:color w:val="auto"/>
              </w:rPr>
              <w:t>Accrued liabilities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960"/>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(75,420)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(114,896)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(226,369)</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Cash paid for an acquisition of assets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Proceeds from maturities of marketable securities</w:t>
            </w: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71,867</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96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(168,013)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Proceeds from issuance of convertible preferred stock, net of issuance costs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291,179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112,216</w:t>
            </w: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common stock</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warrants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Payments for deferred offering costs</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115,743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Net change in cash and cash equivalents and restricted cash</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217,270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(167,166)</w:t>
            </w:r>
          </w:p>
        </w:tc>
        <w:tc>
          <w:tcPr>
            <w:tcW w:w="0" w:type="dxa"/>
            <w:vAlign w:val="bottom"/>
          </w:tcPr>
          <w:p>
            <w:pPr>
              <w:spacing w:after="0"/>
              <w:rPr>
                <w:sz w:val="1"/>
                <w:szCs w:val="1"/>
                <w:color w:val="auto"/>
              </w:rPr>
            </w:pPr>
          </w:p>
        </w:tc>
      </w:tr>
      <w:tr>
        <w:trPr>
          <w:trHeight w:val="205"/>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192,102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409,372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Cash and cash equivalents and restricted cash at end of year</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409,372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242,206</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Components of cash and restricted cash:</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409,247</w:t>
            </w:r>
          </w:p>
        </w:tc>
        <w:tc>
          <w:tcPr>
            <w:tcW w:w="180" w:type="dxa"/>
            <w:vAlign w:val="bottom"/>
          </w:tcPr>
          <w:p>
            <w:pPr>
              <w:spacing w:after="0"/>
              <w:rPr>
                <w:sz w:val="17"/>
                <w:szCs w:val="17"/>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240,943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cash and cash equivalents and restricted cash</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409,372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242,206</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activities: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1,039</w:t>
            </w:r>
          </w:p>
        </w:tc>
        <w:tc>
          <w:tcPr>
            <w:tcW w:w="180" w:type="dxa"/>
            <w:vAlign w:val="bottom"/>
          </w:tcPr>
          <w:p>
            <w:pPr>
              <w:spacing w:after="0"/>
              <w:rPr>
                <w:sz w:val="17"/>
                <w:szCs w:val="17"/>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8,865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Issuance of convertible preferred stock as noncash consideration for acquisition of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157,000</w:t>
            </w:r>
          </w:p>
        </w:tc>
        <w:tc>
          <w:tcPr>
            <w:tcW w:w="180" w:type="dxa"/>
            <w:vAlign w:val="bottom"/>
          </w:tcPr>
          <w:p>
            <w:pPr>
              <w:spacing w:after="0"/>
              <w:rPr>
                <w:sz w:val="17"/>
                <w:szCs w:val="17"/>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 included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Deferred offering costs related to initial public offering included in accrued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0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688</w:t>
            </w:r>
          </w:p>
        </w:tc>
        <w:tc>
          <w:tcPr>
            <w:tcW w:w="180" w:type="dxa"/>
            <w:vAlign w:val="bottom"/>
          </w:tcPr>
          <w:p>
            <w:pPr>
              <w:spacing w:after="0"/>
              <w:rPr>
                <w:sz w:val="16"/>
                <w:szCs w:val="16"/>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right="8460" w:hanging="4"/>
        <w:spacing w:after="0" w:line="425" w:lineRule="auto"/>
        <w:tabs>
          <w:tab w:leader="none" w:pos="552"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Liquidity Description of Business</w:t>
      </w:r>
    </w:p>
    <w:p>
      <w:pPr>
        <w:ind w:left="120" w:right="500"/>
        <w:spacing w:after="0" w:line="342" w:lineRule="auto"/>
        <w:rPr>
          <w:sz w:val="20"/>
          <w:szCs w:val="20"/>
          <w:color w:val="auto"/>
        </w:rPr>
      </w:pPr>
      <w:r>
        <w:rPr>
          <w:rFonts w:ascii="Arial" w:cs="Arial" w:eastAsia="Arial" w:hAnsi="Arial"/>
          <w:sz w:val="16"/>
          <w:szCs w:val="16"/>
          <w:color w:val="auto"/>
        </w:rPr>
        <w:t>Neumora Therapeutics, Inc. (the Company), formerly known as RBNC Therapeutics, Inc., was originally incorporated in the State of Delaware in November 2019, and is headquartered in Watertown, Massachusetts and also has operations in South San Francisco, California.</w:t>
      </w:r>
    </w:p>
    <w:p>
      <w:pPr>
        <w:spacing w:after="0" w:line="124"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Company is a clinical-stage biopharmaceutical company founded to confront the global brain disease crisis by taking a different approach to the way treatments for brain diseases are developed. The Company’s therapeutic pipeline currently consists of clinical and preclinical neuroscience programs that target novel mechanisms of action for a broad range of underserved neuropsychiatric disorders and neurodegenerative diseases.</w:t>
      </w:r>
    </w:p>
    <w:p>
      <w:pPr>
        <w:spacing w:after="0" w:line="14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of December 31, 2022, the Company has devoted a significant portion of its financial resources and efforts to building its organization, acquiring technologies and companies, executing clinical and preclinical studies, conducting research and development, identifying and developing potential product candidates, building its precision neuroscience tools, organizing and staffing the Company, business planning, establishing, maintaining and protecting its intellectual property portfolio, raising capital and providing general and administrative support for these operations. The Company has not generated revenue from the sale of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has incurred net losses and negative cash flows from operations since inception and as of December 31, 2022, had an accumulated deficit of $467.5 million. The Company incurred a net loss of $237.3 million and $130.9 million during the year ended December 31, 2021 and 2022, respectively. As of December 31, 2022, the Company had cash, cash equivalents and marketable securities of $395.4 million, which are available to fund future operations.</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Company expects to incur additional losses in the future as it continues its research and development efforts, advances its product candidates through clinical and preclinical development, enhances its precision neuroscience approach and programs, expands its product pipeline, seeks regulatory approval, prepares for commercialization, as well as hires additional personnel, protects its intellectual property and grows its business. The Company will need to raise additional capital to support its continuing operations and pursue its long-term business plan, including to complete the development and commercialization of its product candidates, if approved. Such activities are subject to significant risks and uncertainties, including clinical failure which can impact the Company’s ability to secure additional funding. The Company has historically financed its operations primarily with the proceeds from the issuance of its convertible preferred stock, borrowings pursuant to convertible promissory notes and cash acquired in its acquisitions of assets. The Company may raise additional capital through public or private equity offerings or debt financings or other capital sources, which may include strategic collaborations or other arrangements with third parties, or other sources of financing. However, there is no guarantee that any of these financing or opportunities will be executed or realized on favorable terms, if at all, and some could be dilutive to existing stockholders. The Company’s ability to raise additional capital through either the issuance of equity or debt is dependent on a number of factors including, but not limited to, Company prospects, which itself is subject to a number of development and business risks and uncertainties, as well as uncertainty about whether the Company would be able to raise such additional capital at a price or on terms that are favorable.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believes that its existing cash, cash equivalents and marketable securities as of December 31, 2022 will be sufficient to support operations for at least the next 12 months from the date these consolidated financial statements were available to be issued.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In September 2023, the Company’s board of directors approved an amended and restated certificate of incorporation to effect a reverse split of shares of the Company’s common stock and convertible preferred stock on a 7.8463-for-1 basis (the “Reverse Stock Split”), which was effected on September 8, 2023. The par value of the common stock and convertible preferred stock was not adjusted as a result of the Reverse Stock Split. Accordingly, all share data and per share data amounts for all periods presented in the consolidated financial statements and notes thereto have been retrospectively adjusted to reflect the effect of the Reverse Stock Split.</w:t>
      </w:r>
    </w:p>
    <w:p>
      <w:pPr>
        <w:spacing w:after="0" w:line="332" w:lineRule="exact"/>
        <w:rPr>
          <w:sz w:val="20"/>
          <w:szCs w:val="20"/>
          <w:color w:val="auto"/>
        </w:rPr>
      </w:pPr>
    </w:p>
    <w:p>
      <w:pPr>
        <w:ind w:left="120" w:right="5200" w:hanging="4"/>
        <w:spacing w:after="0" w:line="378" w:lineRule="auto"/>
        <w:tabs>
          <w:tab w:leader="none" w:pos="55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 Basis of Presentation and Consolidation</w:t>
      </w:r>
    </w:p>
    <w:p>
      <w:pPr>
        <w:ind w:left="120" w:right="14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The consolidated financial statements include all accounts of the Company and its wholly-owned subsidiaries. All intercompany transactions and balances have been eliminated in consolidation.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in the consolidated financial statements and accompanying notes. These estimates form the basis for judgments the Company makes about the carrying values of assets and liabilities that are not readily apparent from other sources.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are used for, but not limited to, accrued research and development expenses, accounting for acquisitions of assets, fair value of certain assets and liabilities, the fair value of the Company’s convertible preferred stock, the fair value of the Company’s convertible preferred stock warrant liability, the fair value of the Company’s common stock, stock-based compensation, the measurement of right-of-use assets and lease liabilities and related incremental borrowing rate, and uncertain tax positions and the valuation allowance for net deferred tax assets. Actual results may differ from the Company’s estimates.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Chief Executive Officer serves as the CODM. The Company views its operations and manages its business in one operating segment.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is subject to certain risks and uncertainties, including, but not limited to, changes in any of the following areas that the Company believes could have a material adverse effect on future financial position or results of operations: successfully develop, manufacture, and market any approved products; obtain regulatory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approval from the U.S. Food and Drug Administration or foreign regulatory agencies prior to commercial sales; new technological innovations; dependence on key personnel, protection of intellectual property; compliance with governmental regulations; uncertainty of market acceptance of any approved products; product liability; and the need to obtain additional financing.</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While the Company continues to monitor the impact of the ongoing COVID-19 pandemic on its business, the extent of the impact of the pandemic on the Company’s business, operations, and clinical development timelines and plans remains uncertain. The COVID-19 pandemic delayed patient enrollment in the Company’s Phase 2 clinical trial of NMRA-140 and may further delay the Company’s initiation of preclinical studies and clinical trials, interrupt its supply chain, disrupt regulatory activities, or have other adverse effects on its business and operations. Given the uncertainty regarding variants, the extent of the impact of the COVID-19 pandemic on the Company’s preclinical studies or clinical trials will depend on future developments, which are uncertain. In response to the COVID-19 pandemic, the Company has implemented measures intended to help minimize its risk of exposure to the virus for its employees, including policies that allow its employees to work remotely. Certain third-party service providers have also experienced and may continue to experience shutdowns or other business disruptions. The Company cannot predict the specific extent, duration, or full impact that the COVID-19 pandemic will have on its consolidated financial condition and results of operations.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All highly liquid investments, including money market funds, with original maturities of three months or less at the time of purchase are considered to be cash equivalents. All of the Company’s cash equivalents have liquid markets and high credit ratings. The Company maintains its cash in bank deposits and other accounts.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Restricted cash primarily consists of credit card accounts and facility lease agreements collateralized by money market accounts or a letter of credit pursuant to certain banking and lease agreements. Restricted cash, which is unavailable for a period longer than one year from the consolidated balance sheet date, is classified as a noncurrent asset. Otherwise, restricted cash is included in other current assets in the consolidated balance sheets.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deposited in accounts at several financial institutions that may exceed the Federal Deposit Insurance Corporation’s insurance limit. The Company is exposed to credit risk in the event of a default by the financial institutions holding its cash and cash equivalents to the extent recorded in the consolidated balance sheets. The Company believes it is not exposed to significant credit risk due to the financial position of the financial institutions in which those deposits are held.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invests its excess cash in marketable debt securities with high credit ratings including but not limited to money market funds, securities issued by the U.S. government and its agencies and commercial paper that are accounted for as available-for-sale and carried at fair value. Marketable securities are classified as short-term or long-term based on the maturity date and their availability to meet current operating requirements. The amortized cost of debt securities is adjusted for amortization of premiums and accretion of discounts to maturity, which is included in interest income in the consolidated statements of operations and comprehensive loss.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Realized gains and losses on marketable securities, if any, are included in other income (expense), net. The cost of securities sold is determined based on the trade date using the specific identification method.</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Company periodically assesses its available-for-sale debt securities for impairment. For debt securities in an unrealized loss position, this assessment first considers the Company’s intent to sell, or whether it is more likely than not that it will be required to sell the security before recovery of its amortized cost basis. If either of these criteria are met, the debt security’s amortized cost basis is written down to fair value within other income (expense), net. For debt securities in an unrealized loss position that do not meet the aforementioned criteria, the Company assesses whether the decline in fair value has resulted from credit losses or other factors. In making this assessment, the extent to which fair value is less than amortized cost, any changes to the rating of the security by a rating agency, and any adverse conditions specifically related to the security is considered,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in other income (expense), net, limited by the amount that the fair value is less than the amortized cost basis. Any additional impairment not recorded through an allowance for credit losses is recognized in other comprehensive loss. Changes in the allowance for credit losses are recorded as provision for (or reversal of) credit loss expense. Losses are charged against the allowance when management believes the un-collectability of an available-for-sale security is confirmed or when either of the criteria regarding intent or requirement to sell is met. These changes are recorded in other income (expense), net.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when measuring fair value. Financial assets and liabilities recorded at fair value in the consolidated balance sheets are categorized in the fair value hierarchy based upon the lowest level of input that is significant to the fair value as follows: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29" w:lineRule="exact"/>
        <w:rPr>
          <w:sz w:val="20"/>
          <w:szCs w:val="20"/>
          <w:color w:val="auto"/>
        </w:rPr>
      </w:pPr>
    </w:p>
    <w:p>
      <w:pPr>
        <w:ind w:left="560" w:right="280"/>
        <w:spacing w:after="0" w:line="263"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of liabilities in markets that are not active.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248" w:lineRule="exact"/>
        <w:rPr>
          <w:sz w:val="20"/>
          <w:szCs w:val="20"/>
          <w:color w:val="auto"/>
        </w:rPr>
      </w:pPr>
    </w:p>
    <w:p>
      <w:pPr>
        <w:ind w:left="120" w:right="50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(see Note 4). A financial instrument’s level within the fair value hierarchy is based on the lowest level of any input that is significant to the fair value of the instrument.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Property and equipment, net is stated at cost less accumulated depreciation. Depreciation of property and equipment is computed using the straight-line method over the estimated useful lives of the assets, which is three to seven years. Leasehold improvements are amortized using the straight-line method over the lesser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estimated useful lives of the assets or the remaining term of the lease. Construction in progress is stated at cost and not depreciated until the asset is placed into service. Upon sale or retirement of the assets, the cost and related accumulated depreciation are removed from the consolidated balance sheets and the resulting gain or loss is recognized in the consolidated statements of operations and comprehensive loss. Expenditures for maintenance and repairs are expensed as incurred.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Company reviews the carrying amount of its long-lived assets, including property and equipment and right-of-use assets, for impairment whenever events or changes in business circumstances indicate that the carrying amount of the assets may not be fully recoverable. If indicators of impairment exist, an impairment loss is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Estimating discounted cash flows requires the Company to make significant judgements and assumptions. Actual results may vary from the Company’s estimates as of the date of impairment testing and adjustments may occur in future periods. The Company believes that no impairment of long-lived assets is required as of and for the year ended December 31, 2021, and 2022.</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Company determines if an arrangement is or contains a lease at inception by assessing whether it conveys the right to control the use of an identified asset in exchange for consideration. If a lease is identified, classification is determined at lease commencement. To date, all of the Company’s leases have been determined to be operating leases.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estimated interest rate that the Company would have to pay to borrow on a collateralized basis, an amount equal to the lease payments in a similar economic environment over a similar term. Operating lease right-of-use (ROU) assets are determined based on the corresponding lease liability adjusted for any lease payments made at or before commencement, initial direct costs, and lease incentives. The operating lease ROU asset also includes impairment charges if the Company determines the ROU asset is impaired.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 Operating lease expenses are recognized, and the ROU assets are amortized on a straight-line basis over the lease term. The Company has elected to not separate lease and non-lease components for its leased assets and accounts for all lease and non-lease components of its agreements as a single lease component. The Company has elected not to recognize on the consolidated balance sheets leases with terms of one year or 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 evaluates mergers, acquisitions, and other similar transactions to assess whether or not the transaction should be accounted for as a business combination or an acquisition of assets. The Company first identifies who is the acquiring entity by determining if the target is a legal entity or a group of assets or liabilities. If control over a legal entity is being evaluated, the Company also evaluates if the target is a variable interest or voting interest entity. For acquisitions of voting interest entities, the Company applies a screen test to determine if substantially all of the fair value of the gross assets acquired is concentrated in a single identifiable asset or group of similar identifiable assets. If the screen test is met, the transaction is accounted for as an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9" w:right="49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acquisition of assets.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84"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For an acquisition of assets, a cost accumulation model is used to determine the cost of the acquisition. Common stock and convertible preferred stock issued as consideration in an acquisition of assets are generally measured based on the acquisition date fair value of the equity interests issued. Direct transaction costs are recognized as part of the cost of an acquisition of assets. The Company also evaluates which elements of a transaction should be accounted for as a part of an acquisition of assets and which should be accounted for separately.</w:t>
      </w:r>
    </w:p>
    <w:p>
      <w:pPr>
        <w:spacing w:after="0" w:line="17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cost of an acquisition of assets, including transaction costs, are allocated to identifiable assets acquired and liabilities assumed based on a relative fair value basis. Goodwill is not recognized in an acquisition of assets. Any difference between the cost of an acquisition of assets and the fair value of the net assets acquired is allocated to the non-monetary identifiable assets based on their relative fair values. Assets acquired as part of an acquisition of assets that are considered to be in-process research and development intangible assets (IPR&amp;D) are immediately expensed and recorded as a component of acquired in-process research and development expense in the consolidated statements of operations and comprehensive loss unless there is an alternative future use in other research and development projects.</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addition to upfront consideration, the Company’s acquisitions of assets may also include contingent consideration payments to be made for future milestone events or royalties on net sales of future products. The Company assesses whether such contingent consideration is subject to liability classification and fair value measurement or meets the definition of a derivative. Contingent consideration payments in an acquisition of assets not required to be classified as a liability at fair value, or are accounted for as derivatives that qualify for a scope exception from derivative accounting, are recognized when the contingency is resolved, and the consideration is paid or becomes payable Contingent consideration payments required to be classified as a liability, or are accounted for as derivatives and do not qualify for a scope exception from derivative accounting, are recorded at fair value on the date of the acquisition and are subsequently remeasured to fair value at each reporting date. Contingent consideration payments made prior to regulatory approval are expensed as incurred. Any future payments that are contingent upon continued services to the Company are treated as compensation and recognized when it is probable such amounts will become payable.</w:t>
      </w:r>
    </w:p>
    <w:p>
      <w:pPr>
        <w:spacing w:after="0" w:line="18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If the target legal entity is determined to be a variable interest entity (VIE) and not a business, all tangible and intangible assets acquired, including any IPR&amp;D assets but excluding goodwill, and liabilities assumed, including contingent consideration, are recorded at their fair values. If the acquisition is determined to be a business combination, all tangible and intangible assets acquired, including any IPR&amp;D assets, and liabilities assumed, including contingent consideration, are recorded at their fair values. Goodwill is recognized for any difference between the consideration transferred and fair value determination. In addition, direct transaction costs in connection with business combinations are expensed as incurred, rather than capitalized.</w:t>
      </w:r>
    </w:p>
    <w:p>
      <w:pPr>
        <w:spacing w:after="0" w:line="16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tax basis of assets acquired in either a business combination or acquisition of assets are compared to the book basis of such assets resulting in the recognition of deferred tax assets and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Deferred offering costs, which consist of direct incremental legal, consulting, banking, and accounting fees primarily relating to the Company’s contemplated initial public offering (IPO) are capitalized and will be offset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against proceeds upon the consummation of the offering within stockholders’ deficit. In the event an anticipated offering is terminated, deferred IPO offering costs will be expensed. As of December 31, 2021 and 2022, deferred offering costs included in other assets in the consolidated balance sheets were $1.8 million and $2.9 million,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 Warrant Liability</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Warrants to purchase shares of the Company’s convertible preferred stock, or the preferred stock warrants, are freestanding financial instruments classified as a liability in the Company’s consolidated balance sheets as the underlying securities are contingently redeemable upon the occurrence of events that are outside of the control of the Company, which precludes equity classification. The preferred stock warrants are recorded at their estimated fair value upon issuance and are subject to remeasurement at the end of each reporting period, with changes in estimated fair value recognized as a component of other income (expense) in the consolidated statements of operations and comprehensive loss, until the exercise or expiration of such warrants. The Company estimates the fair value of preferred stock warrants at each reporting period using the Black-Scholes option pricing model, which requires inputs based on certain subjective assumptions, including the expected stock price, volatility, the expected term of the option, the risk-free interest rate for a period that approximates the expected term of the option, and the expected dividend yield. Actual results may differ from the Company’s estimates. As of December 31, 2022, the Company’s preferred stock warrants had either been exercised or had expired.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has classified convertible preferred stock, which is contingently redeemable, as temporary equity in the consolidated balance sheets due to terms that allow for the effective redemption of such shares in cash at the option of the holders upon certain liquidation events that are not solely within the Company’s control.</w:t>
      </w:r>
    </w:p>
    <w:p>
      <w:pPr>
        <w:spacing w:after="0" w:line="18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carrying values of the convertible preferred stock are adjusted to their liquidation preferences if and when it becomes probable that such a liquidation event will occur. The Company did not accrete the value of the convertible preferred stock to its redemption value since a liquidation event was not considered probable as of December 31, 2021 and 2022. Subsequent adjustments to the carrying values of the convertible preferred stock will be made only when it becomes probable that such liquidation events will occur, causing the shares to become redeemable.</w:t>
      </w:r>
    </w:p>
    <w:p>
      <w:pPr>
        <w:spacing w:after="0" w:line="17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Company also evaluates the features of its convertible preferred stock to determine if the features require bifurcation from the underlying shares by evaluating whether they are clearly and closely related to the underlying shares and whether they meet the definition of a derivative.</w:t>
      </w:r>
    </w:p>
    <w:p>
      <w:pPr>
        <w:spacing w:after="0" w:line="14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determining if an extinguishment or modification of changes to mezzanine equity-classified preferred stock has occurred, the Company has elected a policy to evaluate if changes add, delete, or significantly change a substantive contractual term (e.g., one that is at least reasonably possible of being exercised), or fundamentally change the nature of the convertible preferred stock. This evaluation includes the consideration of both the expected economics as well as the business purpose for the amendment.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 and Related Prepaid Assets and Accrued Liabilities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Research and development costs are expensed as incurred. Research and development expenses primarily consist of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vendors conducting research and development services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60"/>
          </w:cols>
          <w:pgMar w:left="320" w:top="459" w:right="51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on its behalf, such as contract research organizations (CROs), preclinical testing organizations and contract manufacturing organizations (CMOs). Costs to develop the Company’s platform information technologies are recorded as research and development expense unless the criteria to be capitalized as internal-use software costs is met. Payments made prior to the receipt of goods or services to be used in research and development are capitalized, evaluated for current or long-term classification, and included in prepaid expenses and other current assets or other assets in the consolidated balance sheets based on when the goods are received or the services are expected to be received or consumed, and recognized in research and development expenses when they are realized.</w:t>
      </w:r>
    </w:p>
    <w:p>
      <w:pPr>
        <w:spacing w:after="0" w:line="19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is required to estimate expenses resulting from its obligations under contracts with vendors, service providers and clinical site agreements in connection with conducting clinical trials. The financial terms of these contracts are subject to negotiations which vary from contract to contract and may result in cash flows that do not match the periods over which materials or services are provided. The Company estimates and records accrued expenses for the related research and development activities based on the level of services performed but not yet invoiced pursuant to agreements established with its service providers, according to the progress of preclinical studies, clinical trials or related activities, and discussions with applicable personnel and service providers as to the progress or state of consummation of goods and services.</w:t>
      </w:r>
    </w:p>
    <w:p>
      <w:pPr>
        <w:spacing w:after="0" w:line="178"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During the course of a clinical trial, the rate of expense recognition is adjusted if actual results differ from the Company’s estimates. The Company estimates accrued expenses as of each balance sheet date in its consolidated financial statements based on the facts and circumstances known at that time. The clinical trial accrual is dependent in part upon the timely and accurate reporting of CROs, CMOs and other third-party vendors. Although the Company does not expect its estimates to be materially different from amounts actually incurred, its estimate may vary from the actual results. To date, the Company has not experienced material differences between its accrued expenses and actual expenses.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Company maintains equity incentive plans (the Plans) as a long-term incentive for employees, directors, and non-employee service providers. The Company accounts for all stock-based awards based on their fair value on the date of the grant. For stock-based awards with service only vesting conditions, the Company recognizes expense on a straight-line basis over the requisite service period, which is generally the vesting period of the respective award. For awards with performance vesting conditions, the Company evaluates the probability of achieving the performance vesting condition at each reporting date. The Company begins to recognize expense for awards with performance- based vesting conditions using an accelerated attribution method when it is deemed probable that the performance condition will be met. For awards with both market and service vesting conditions, the Company recognizes expense using the accelerated attribution method over the derived requisite service period. Stock-based compensation is classified in the consolidated statements of operations and comprehensive loss based on the function to which the related services are provided. Forfeitures are accounted for as they occur.</w:t>
      </w:r>
    </w:p>
    <w:p>
      <w:pPr>
        <w:spacing w:after="0" w:line="181"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The fair value of stock option awards with only service conditions and/or performance-based vesting conditions are estimated on the date of grant using the Black-Scholes option pricing model, which requires inputs based on certain subjective assumptions, including the expected stock price volatility, the expected term of the option, the risk-free interest rate for a period that approximates the expected term of the option, and the expected dividend yield.</w:t>
      </w:r>
    </w:p>
    <w:p>
      <w:pPr>
        <w:spacing w:after="0" w:line="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fair value of stock options awards with market-based vesting conditions is estimated on the grant date using the Monte Carlo simulation model, which utilizes subjective assumptions, including volatility and the derived service periods, that determine the probability of satisfying the market condition stipulated in the award to estimate the fair value of the award. The fair value of restricted stock awards is based on the estimated fair value of the Company’s common stock on the date of grant.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The fair value of the Company’s common stock is determined by the Company’s board of directors with the assistance of management. The fair value of common stock is determined using valuation methodologies which utilize certain assumptions. including probability weighting of events, volatility, time to an exit event, a risk-free interest rate and an assumption for a discount for lack of marketability. In determining the fair value of common stock, the methodologies used to estimate the enterprise value of the Company were performed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w:t>
      </w:r>
      <w:r>
        <w:rPr>
          <w:rFonts w:ascii="Arial" w:cs="Arial" w:eastAsia="Arial" w:hAnsi="Arial"/>
          <w:sz w:val="18"/>
          <w:szCs w:val="18"/>
          <w:color w:val="auto"/>
        </w:rPr>
        <w:t xml:space="preserve"> </w:t>
      </w:r>
      <w:r>
        <w:rPr>
          <w:rFonts w:ascii="Arial" w:cs="Arial" w:eastAsia="Arial" w:hAnsi="Arial"/>
          <w:sz w:val="18"/>
          <w:szCs w:val="18"/>
          <w:i w:val="1"/>
          <w:iCs w:val="1"/>
          <w:color w:val="auto"/>
        </w:rPr>
        <w:t>as Compensation</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Company accounts for income taxes under the asset and liability method. Under this method, deferred tax assets and liabilities are recognized for the expected future tax consequences of events that have been included in the Company’s consolidated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likely-than-not that these assets may not be realized. The ultimate realization of deferred tax assets is dependent upon the generation of future taxable income during the periods in which the temporary differences representing net future deductible amounts become deductible.</w:t>
      </w:r>
    </w:p>
    <w:p>
      <w:pPr>
        <w:spacing w:after="0" w:line="17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 recognizes and measures uncertain tax positions using a two-step approach. The Company determines whether it is more likely than not that a tax position will be sustained upon examination. If it is not more 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w:t>
      </w:r>
    </w:p>
    <w:p>
      <w:pPr>
        <w:spacing w:after="0" w:line="16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Company’s policy is to include penalties and interest expense related to income taxes as a component of its provision for income taxes. The Company has not reported any interest or penalties associated with income tax for any period presented.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Basic net loss per share is calculated by dividing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Comprehensive loss includes net loss and certain changes in stockholders’ deficit that are excluded from net loss, such as unrealized losses on the Company’s available-for-sale marketable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Issuer’s Accounting for Certain Modifications or Exchanges of Freestanding Equity-Classified Written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Call Options </w:t>
      </w:r>
      <w:r>
        <w:rPr>
          <w:rFonts w:ascii="Arial" w:cs="Arial" w:eastAsia="Arial" w:hAnsi="Arial"/>
          <w:sz w:val="16"/>
          <w:szCs w:val="16"/>
          <w:color w:val="auto"/>
        </w:rPr>
        <w:t>(ASU 2021-04), which requires issuers to account for a modification or exchange of freestanding equity-classified written call options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remain equity classified after the modification or exchange based on the economic substance of the modification or exchange. The Company adopted ASU 2021-04 as of January 1, 2022. The adoption did not have a material impact on its consolidated financial statements and related disclosures.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continues to monitor new accounting pronouncements issued by the FASB and does not believe any accounting pronouncements issued through the date of this report will have a material impact on the Company’s consolidated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and Marketable Securities</w:t>
      </w: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table summarizes the amortized cost and fair value of the Company’s cash equivalents and marketable securities by major investment category: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right="581"/>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513"/>
              <w:spacing w:after="0" w:line="119" w:lineRule="exact"/>
              <w:rPr>
                <w:sz w:val="20"/>
                <w:szCs w:val="20"/>
                <w:color w:val="auto"/>
              </w:rPr>
            </w:pPr>
            <w:r>
              <w:rPr>
                <w:rFonts w:ascii="Arial" w:cs="Arial" w:eastAsia="Arial" w:hAnsi="Arial"/>
                <w:sz w:val="13"/>
                <w:szCs w:val="13"/>
                <w:b w:val="1"/>
                <w:bCs w:val="1"/>
                <w:color w:val="auto"/>
                <w:w w:val="90"/>
              </w:rPr>
              <w:t>Gross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581"/>
              <w:spacing w:after="0" w:line="119" w:lineRule="exact"/>
              <w:rPr>
                <w:sz w:val="20"/>
                <w:szCs w:val="20"/>
                <w:color w:val="auto"/>
              </w:rPr>
            </w:pPr>
            <w:r>
              <w:rPr>
                <w:rFonts w:ascii="Arial" w:cs="Arial" w:eastAsia="Arial" w:hAnsi="Arial"/>
                <w:sz w:val="13"/>
                <w:szCs w:val="13"/>
                <w:b w:val="1"/>
                <w:bCs w:val="1"/>
                <w:color w:val="auto"/>
                <w:w w:val="95"/>
              </w:rPr>
              <w:t>Gross</w:t>
            </w: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1180" w:type="dxa"/>
            <w:vAlign w:val="bottom"/>
            <w:gridSpan w:val="3"/>
          </w:tcPr>
          <w:p>
            <w:pPr>
              <w:jc w:val="center"/>
              <w:ind w:right="401"/>
              <w:spacing w:after="0" w:line="149" w:lineRule="exact"/>
              <w:rPr>
                <w:sz w:val="20"/>
                <w:szCs w:val="20"/>
                <w:color w:val="auto"/>
              </w:rPr>
            </w:pPr>
            <w:r>
              <w:rPr>
                <w:rFonts w:ascii="Arial" w:cs="Arial" w:eastAsia="Arial" w:hAnsi="Arial"/>
                <w:sz w:val="14"/>
                <w:szCs w:val="14"/>
                <w:b w:val="1"/>
                <w:bCs w:val="1"/>
                <w:color w:val="auto"/>
                <w:w w:val="93"/>
              </w:rPr>
              <w:t>Unrealized</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513"/>
              <w:spacing w:after="0"/>
              <w:rPr>
                <w:sz w:val="20"/>
                <w:szCs w:val="20"/>
                <w:color w:val="auto"/>
              </w:rPr>
            </w:pPr>
            <w:r>
              <w:rPr>
                <w:rFonts w:ascii="Arial" w:cs="Arial" w:eastAsia="Arial" w:hAnsi="Arial"/>
                <w:sz w:val="14"/>
                <w:szCs w:val="14"/>
                <w:b w:val="1"/>
                <w:bCs w:val="1"/>
                <w:color w:val="auto"/>
                <w:w w:val="96"/>
              </w:rPr>
              <w:t>Gain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581"/>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w w:val="93"/>
              </w:rPr>
              <w:t>(in</w:t>
            </w: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w w:val="71"/>
              </w:rPr>
              <w:t>thousands)</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$ 330,216</w:t>
            </w:r>
          </w:p>
        </w:tc>
        <w:tc>
          <w:tcPr>
            <w:tcW w:w="26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$ 330,216</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cash equivalents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$ 330,216</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$ 330,216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581"/>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513"/>
              <w:spacing w:after="0" w:line="119" w:lineRule="exact"/>
              <w:rPr>
                <w:sz w:val="20"/>
                <w:szCs w:val="20"/>
                <w:color w:val="auto"/>
              </w:rPr>
            </w:pPr>
            <w:r>
              <w:rPr>
                <w:rFonts w:ascii="Arial" w:cs="Arial" w:eastAsia="Arial" w:hAnsi="Arial"/>
                <w:sz w:val="13"/>
                <w:szCs w:val="13"/>
                <w:b w:val="1"/>
                <w:bCs w:val="1"/>
                <w:color w:val="auto"/>
                <w:w w:val="90"/>
              </w:rPr>
              <w:t>Gross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581"/>
              <w:spacing w:after="0" w:line="119" w:lineRule="exact"/>
              <w:rPr>
                <w:sz w:val="20"/>
                <w:szCs w:val="20"/>
                <w:color w:val="auto"/>
              </w:rPr>
            </w:pPr>
            <w:r>
              <w:rPr>
                <w:rFonts w:ascii="Arial" w:cs="Arial" w:eastAsia="Arial" w:hAnsi="Arial"/>
                <w:sz w:val="13"/>
                <w:szCs w:val="13"/>
                <w:b w:val="1"/>
                <w:bCs w:val="1"/>
                <w:color w:val="auto"/>
                <w:w w:val="95"/>
              </w:rPr>
              <w:t>Gross</w:t>
            </w: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1180" w:type="dxa"/>
            <w:vAlign w:val="bottom"/>
            <w:gridSpan w:val="3"/>
          </w:tcPr>
          <w:p>
            <w:pPr>
              <w:jc w:val="center"/>
              <w:ind w:right="401"/>
              <w:spacing w:after="0" w:line="149" w:lineRule="exact"/>
              <w:rPr>
                <w:sz w:val="20"/>
                <w:szCs w:val="20"/>
                <w:color w:val="auto"/>
              </w:rPr>
            </w:pPr>
            <w:r>
              <w:rPr>
                <w:rFonts w:ascii="Arial" w:cs="Arial" w:eastAsia="Arial" w:hAnsi="Arial"/>
                <w:sz w:val="14"/>
                <w:szCs w:val="14"/>
                <w:b w:val="1"/>
                <w:bCs w:val="1"/>
                <w:color w:val="auto"/>
                <w:w w:val="93"/>
              </w:rPr>
              <w:t>Unrealized</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513"/>
              <w:spacing w:after="0"/>
              <w:rPr>
                <w:sz w:val="20"/>
                <w:szCs w:val="20"/>
                <w:color w:val="auto"/>
              </w:rPr>
            </w:pPr>
            <w:r>
              <w:rPr>
                <w:rFonts w:ascii="Arial" w:cs="Arial" w:eastAsia="Arial" w:hAnsi="Arial"/>
                <w:sz w:val="14"/>
                <w:szCs w:val="14"/>
                <w:b w:val="1"/>
                <w:bCs w:val="1"/>
                <w:color w:val="auto"/>
                <w:w w:val="96"/>
              </w:rPr>
              <w:t>Gain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581"/>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center"/>
              <w:ind w:left="2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$ 183,353</w:t>
            </w:r>
          </w:p>
        </w:tc>
        <w:tc>
          <w:tcPr>
            <w:tcW w:w="26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$ 183,353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cash equivalents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$ 183,353</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$ 183,353</w:t>
            </w:r>
          </w:p>
        </w:tc>
        <w:tc>
          <w:tcPr>
            <w:tcW w:w="0" w:type="dxa"/>
            <w:vAlign w:val="bottom"/>
          </w:tcPr>
          <w:p>
            <w:pPr>
              <w:spacing w:after="0"/>
              <w:rPr>
                <w:sz w:val="1"/>
                <w:szCs w:val="1"/>
                <w:color w:val="auto"/>
              </w:rPr>
            </w:pPr>
          </w:p>
        </w:tc>
      </w:tr>
      <w:tr>
        <w:trPr>
          <w:trHeight w:val="223"/>
        </w:trPr>
        <w:tc>
          <w:tcPr>
            <w:tcW w:w="6040" w:type="dxa"/>
            <w:vAlign w:val="bottom"/>
            <w:gridSpan w:val="3"/>
          </w:tcPr>
          <w:p>
            <w:pPr>
              <w:ind w:left="44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and agency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57,534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tcPr>
          <w:p>
            <w:pPr>
              <w:ind w:left="36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42,267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1"/>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42,002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55,188</w:t>
            </w:r>
          </w:p>
        </w:tc>
        <w:tc>
          <w:tcPr>
            <w:tcW w:w="0" w:type="dxa"/>
            <w:vAlign w:val="bottom"/>
          </w:tcPr>
          <w:p>
            <w:pPr>
              <w:spacing w:after="0"/>
              <w:rPr>
                <w:sz w:val="1"/>
                <w:szCs w:val="1"/>
                <w:color w:val="auto"/>
              </w:rPr>
            </w:pPr>
          </w:p>
        </w:tc>
      </w:tr>
      <w:tr>
        <w:trPr>
          <w:trHeight w:val="230"/>
        </w:trPr>
        <w:tc>
          <w:tcPr>
            <w:tcW w:w="6040" w:type="dxa"/>
            <w:vAlign w:val="bottom"/>
            <w:gridSpan w:val="3"/>
          </w:tcPr>
          <w:p>
            <w:pPr>
              <w:ind w:left="44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155,226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color w:val="auto"/>
                <w:w w:val="71"/>
              </w:rPr>
              <w:t>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154,452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cash equivalents and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338,579</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337,805</w:t>
            </w: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gridSpan w:val="10"/>
          </w:tcPr>
          <w:p>
            <w:pPr>
              <w:spacing w:after="0"/>
              <w:rPr>
                <w:sz w:val="20"/>
                <w:szCs w:val="20"/>
                <w:color w:val="auto"/>
              </w:rPr>
            </w:pPr>
            <w:r>
              <w:rPr>
                <w:rFonts w:ascii="Arial" w:cs="Arial" w:eastAsia="Arial" w:hAnsi="Arial"/>
                <w:sz w:val="18"/>
                <w:szCs w:val="18"/>
                <w:color w:val="auto"/>
                <w:w w:val="98"/>
              </w:rPr>
              <w:t>The following table summarizes the Company’s marketable securities by contractual maturity (in thousands):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w w:val="94"/>
              </w:rPr>
              <w:t>December</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31, 2022</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$ 130,941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After one year through two years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23,511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$ 154,452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As of December 31, 2022, the Company has not realized any material gains or losses on its marketable securities, including any impairment charges on its securities related to expected credit losses. As of December 31, 2022,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December 31, 2022. See Note 4 for further information regarding the fair value of the Company’s financial instruments.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60"/>
          </w:cols>
          <w:pgMar w:left="320" w:top="459" w:right="51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carrying amounts of the Company’s financial instruments, including prepaid expenses and other current assets, accounts payable, accrued liabilities and the current portion of operating lease liabilities approximate fair value due to the short-term nature of those instruments.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the Company’s assets and liabilities measured at fair value on a recurring basis by level within the valuation hierarchy:</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5"/>
              </w:rPr>
              <w:t>December 31, 2021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gridSpan w:val="3"/>
          </w:tcPr>
          <w:p>
            <w:pPr>
              <w:spacing w:after="0"/>
              <w:rPr>
                <w:sz w:val="12"/>
                <w:szCs w:val="12"/>
                <w:color w:val="auto"/>
              </w:rPr>
            </w:pPr>
          </w:p>
        </w:tc>
        <w:tc>
          <w:tcPr>
            <w:tcW w:w="74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Level 3</w:t>
            </w:r>
          </w:p>
        </w:tc>
        <w:tc>
          <w:tcPr>
            <w:tcW w:w="44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56"/>
        </w:trPr>
        <w:tc>
          <w:tcPr>
            <w:tcW w:w="4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940" w:type="dxa"/>
            <w:vAlign w:val="bottom"/>
            <w:gridSpan w:val="7"/>
            <w:shd w:val="clear" w:color="auto" w:fill="CCEEFF"/>
          </w:tcPr>
          <w:p>
            <w:pPr>
              <w:ind w:left="920"/>
              <w:spacing w:after="0"/>
              <w:rPr>
                <w:sz w:val="20"/>
                <w:szCs w:val="20"/>
                <w:color w:val="auto"/>
              </w:rPr>
            </w:pPr>
            <w:r>
              <w:rPr>
                <w:rFonts w:ascii="Arial" w:cs="Arial" w:eastAsia="Arial" w:hAnsi="Arial"/>
                <w:sz w:val="18"/>
                <w:szCs w:val="18"/>
                <w:color w:val="auto"/>
              </w:rPr>
              <w:t>$ 330,216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330,216</w:t>
            </w:r>
          </w:p>
        </w:tc>
      </w:tr>
      <w:tr>
        <w:trPr>
          <w:trHeight w:val="223"/>
        </w:trPr>
        <w:tc>
          <w:tcPr>
            <w:tcW w:w="4800" w:type="dxa"/>
            <w:vAlign w:val="bottom"/>
          </w:tcPr>
          <w:p>
            <w:pPr>
              <w:ind w:left="1080"/>
              <w:spacing w:after="0"/>
              <w:rPr>
                <w:sz w:val="20"/>
                <w:szCs w:val="20"/>
                <w:color w:val="auto"/>
              </w:rPr>
            </w:pPr>
            <w:r>
              <w:rPr>
                <w:rFonts w:ascii="Arial" w:cs="Arial" w:eastAsia="Arial" w:hAnsi="Arial"/>
                <w:sz w:val="18"/>
                <w:szCs w:val="18"/>
                <w:color w:val="auto"/>
              </w:rPr>
              <w:t>Total assets measured at fair value</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8"/>
                <w:szCs w:val="18"/>
                <w:color w:val="auto"/>
                <w:w w:val="86"/>
              </w:rPr>
              <w:t>330,216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center"/>
              <w:ind w:left="1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330,216</w:t>
            </w:r>
          </w:p>
        </w:tc>
        <w:tc>
          <w:tcPr>
            <w:tcW w:w="4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Convertible preferred stock warrant liability</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3"/>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40" w:type="dxa"/>
            <w:vAlign w:val="bottom"/>
          </w:tcPr>
          <w:p>
            <w:pPr>
              <w:spacing w:after="0"/>
              <w:rPr>
                <w:sz w:val="19"/>
                <w:szCs w:val="19"/>
                <w:color w:val="auto"/>
              </w:rPr>
            </w:pPr>
          </w:p>
        </w:tc>
      </w:tr>
      <w:tr>
        <w:trPr>
          <w:trHeight w:val="216"/>
        </w:trPr>
        <w:tc>
          <w:tcPr>
            <w:tcW w:w="4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measured at fair value</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4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4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56"/>
        </w:trPr>
        <w:tc>
          <w:tcPr>
            <w:tcW w:w="4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5"/>
          </w:tcPr>
          <w:p>
            <w:pPr>
              <w:ind w:left="36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183,353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183,353</w:t>
            </w: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government and agency debt securities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44,777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12,485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57,262</w:t>
            </w:r>
          </w:p>
        </w:tc>
      </w:tr>
      <w:tr>
        <w:trPr>
          <w:trHeight w:val="216"/>
        </w:trPr>
        <w:tc>
          <w:tcPr>
            <w:tcW w:w="4800" w:type="dxa"/>
            <w:vAlign w:val="bottom"/>
          </w:tcPr>
          <w:p>
            <w:pPr>
              <w:ind w:left="720"/>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42,002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42,002</w:t>
            </w:r>
          </w:p>
        </w:tc>
      </w:tr>
      <w:tr>
        <w:trPr>
          <w:trHeight w:val="216"/>
        </w:trPr>
        <w:tc>
          <w:tcPr>
            <w:tcW w:w="4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55,188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55,188</w:t>
            </w:r>
          </w:p>
        </w:tc>
      </w:tr>
      <w:tr>
        <w:trPr>
          <w:trHeight w:val="223"/>
        </w:trPr>
        <w:tc>
          <w:tcPr>
            <w:tcW w:w="4800" w:type="dxa"/>
            <w:vAlign w:val="bottom"/>
          </w:tcPr>
          <w:p>
            <w:pPr>
              <w:ind w:left="1080"/>
              <w:spacing w:after="0"/>
              <w:rPr>
                <w:sz w:val="20"/>
                <w:szCs w:val="20"/>
                <w:color w:val="auto"/>
              </w:rPr>
            </w:pPr>
            <w:r>
              <w:rPr>
                <w:rFonts w:ascii="Arial" w:cs="Arial" w:eastAsia="Arial" w:hAnsi="Arial"/>
                <w:sz w:val="18"/>
                <w:szCs w:val="18"/>
                <w:color w:val="auto"/>
              </w:rPr>
              <w:t>Total assets measured at fair value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228,130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109,675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337,805</w:t>
            </w:r>
          </w:p>
        </w:tc>
        <w:tc>
          <w:tcPr>
            <w:tcW w:w="4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Money market funds are highly liquid and actively traded marketable securities that generally transact at a stable $1.00 net asset value representing its estimated fair value. The Company estimates the fair value of its commercial paper, corporate debt securities and U.S. government and agency debt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September 2020, the Company issued convertible preferred stock warrants to purchase shares of its Series A-1 convertible preferred stock, which did not meet the criteria for equity classification. The estimated fair value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convertible preferred stock warrant liability, prior to exercise or expiration as of December 31, 2022, was determined based on significant inputs not observable in the market, which represents a Level 3 measurement within the fair value hierarchy.</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convertible preferred stock warrant liability during the year ended December 31, 2021, and 2022:</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Year Ended December 31, 2021</w:t>
      </w:r>
    </w:p>
    <w:p>
      <w:pPr>
        <w:spacing w:after="0" w:line="24" w:lineRule="exact"/>
        <w:rPr>
          <w:sz w:val="20"/>
          <w:szCs w:val="20"/>
          <w:color w:val="auto"/>
        </w:rPr>
      </w:pPr>
    </w:p>
    <w:tbl>
      <w:tblPr>
        <w:tblLayout w:type="fixed"/>
        <w:tblInd w:w="1000" w:type="dxa"/>
        <w:tblCellMar>
          <w:top w:w="0" w:type="dxa"/>
          <w:left w:w="0" w:type="dxa"/>
          <w:bottom w:w="0" w:type="dxa"/>
          <w:right w:w="0" w:type="dxa"/>
        </w:tblCellMar>
      </w:tblPr>
      <w:tr>
        <w:trPr>
          <w:trHeight w:val="119"/>
        </w:trPr>
        <w:tc>
          <w:tcPr>
            <w:tcW w:w="2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 Value</w:t>
            </w:r>
          </w:p>
        </w:tc>
        <w:tc>
          <w:tcPr>
            <w:tcW w:w="54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3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r>
      <w:tr>
        <w:trPr>
          <w:trHeight w:val="149"/>
        </w:trPr>
        <w:tc>
          <w:tcPr>
            <w:tcW w:w="2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Range</w:t>
            </w:r>
          </w:p>
        </w:tc>
        <w:tc>
          <w:tcPr>
            <w:tcW w:w="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71"/>
        </w:trPr>
        <w:tc>
          <w:tcPr>
            <w:tcW w:w="102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3"/>
              </w:rPr>
              <w:t>Unobservable Input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4"/>
                <w:szCs w:val="14"/>
                <w:b w:val="1"/>
                <w:bCs w:val="1"/>
                <w:color w:val="auto"/>
              </w:rPr>
              <w:t>Input Range</w:t>
            </w:r>
          </w:p>
        </w:tc>
      </w:tr>
      <w:tr>
        <w:trPr>
          <w:trHeight w:val="20"/>
        </w:trPr>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9"/>
        </w:trPr>
        <w:tc>
          <w:tcPr>
            <w:tcW w:w="1020" w:type="dxa"/>
            <w:vAlign w:val="bottom"/>
            <w:gridSpan w:val="2"/>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w w:val="88"/>
              </w:rPr>
              <w:t>$0.1 - $0.6</w:t>
            </w:r>
          </w:p>
        </w:tc>
        <w:tc>
          <w:tcPr>
            <w:tcW w:w="540" w:type="dxa"/>
            <w:vAlign w:val="bottom"/>
            <w:shd w:val="clear" w:color="auto" w:fill="CCEEFF"/>
          </w:tcPr>
          <w:p>
            <w:pPr>
              <w:spacing w:after="0"/>
              <w:rPr>
                <w:sz w:val="16"/>
                <w:szCs w:val="16"/>
                <w:color w:val="auto"/>
              </w:rPr>
            </w:pPr>
          </w:p>
        </w:tc>
        <w:tc>
          <w:tcPr>
            <w:tcW w:w="2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Black-Scholes Option</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Fair value of Series A-1 convertible</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$6.36 - $6.52</w:t>
            </w:r>
          </w:p>
        </w:tc>
      </w:tr>
      <w:tr>
        <w:trPr>
          <w:trHeight w:val="230"/>
        </w:trPr>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Pricing Model</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preferred stock (per share)</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Expected volatility</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112.8% – 123.4%</w:t>
            </w:r>
          </w:p>
        </w:tc>
      </w:tr>
      <w:tr>
        <w:trPr>
          <w:trHeight w:val="216"/>
        </w:trPr>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Expected term (years)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 – 1.0</w:t>
            </w:r>
          </w:p>
        </w:tc>
      </w:tr>
      <w:tr>
        <w:trPr>
          <w:trHeight w:val="216"/>
        </w:trPr>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Expected dividend yield</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 – 0.0%</w:t>
            </w:r>
          </w:p>
        </w:tc>
      </w:tr>
      <w:tr>
        <w:trPr>
          <w:trHeight w:val="405"/>
        </w:trPr>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 2022</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119"/>
        </w:trPr>
        <w:tc>
          <w:tcPr>
            <w:tcW w:w="28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Fair Value</w:t>
            </w:r>
          </w:p>
        </w:tc>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49"/>
        </w:trPr>
        <w:tc>
          <w:tcPr>
            <w:tcW w:w="2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Range</w:t>
            </w:r>
          </w:p>
        </w:tc>
        <w:tc>
          <w:tcPr>
            <w:tcW w:w="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71"/>
        </w:trPr>
        <w:tc>
          <w:tcPr>
            <w:tcW w:w="102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Valuation Technique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ind w:left="440"/>
              <w:spacing w:after="0"/>
              <w:rPr>
                <w:sz w:val="20"/>
                <w:szCs w:val="20"/>
                <w:color w:val="auto"/>
              </w:rPr>
            </w:pPr>
            <w:r>
              <w:rPr>
                <w:rFonts w:ascii="Arial" w:cs="Arial" w:eastAsia="Arial" w:hAnsi="Arial"/>
                <w:sz w:val="14"/>
                <w:szCs w:val="14"/>
                <w:b w:val="1"/>
                <w:bCs w:val="1"/>
                <w:color w:val="auto"/>
              </w:rPr>
              <w:t>Input Range</w:t>
            </w:r>
          </w:p>
        </w:tc>
      </w:tr>
      <w:tr>
        <w:trPr>
          <w:trHeight w:val="20"/>
        </w:trPr>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9"/>
        </w:trPr>
        <w:tc>
          <w:tcPr>
            <w:tcW w:w="1020" w:type="dxa"/>
            <w:vAlign w:val="bottom"/>
            <w:gridSpan w:val="2"/>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w w:val="88"/>
              </w:rPr>
              <w:t>$0.0 - $0.4</w:t>
            </w:r>
          </w:p>
        </w:tc>
        <w:tc>
          <w:tcPr>
            <w:tcW w:w="540" w:type="dxa"/>
            <w:vAlign w:val="bottom"/>
            <w:shd w:val="clear" w:color="auto" w:fill="CCEEFF"/>
          </w:tcPr>
          <w:p>
            <w:pPr>
              <w:spacing w:after="0"/>
              <w:rPr>
                <w:sz w:val="16"/>
                <w:szCs w:val="16"/>
                <w:color w:val="auto"/>
              </w:rPr>
            </w:pPr>
          </w:p>
        </w:tc>
        <w:tc>
          <w:tcPr>
            <w:tcW w:w="2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Black-Scholes Option</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Fair value of Series A-1 convertible</w:t>
            </w: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$6.52 - $8.87</w:t>
            </w:r>
          </w:p>
        </w:tc>
      </w:tr>
      <w:tr>
        <w:trPr>
          <w:trHeight w:val="230"/>
        </w:trPr>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Pricing Model</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preferred stock (per share)</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Expected volatility</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104.8% –112.8%</w:t>
            </w:r>
          </w:p>
        </w:tc>
      </w:tr>
      <w:tr>
        <w:trPr>
          <w:trHeight w:val="216"/>
        </w:trPr>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Expected term (years)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 – 0.8</w:t>
            </w:r>
          </w:p>
        </w:tc>
      </w:tr>
      <w:tr>
        <w:trPr>
          <w:trHeight w:val="216"/>
        </w:trPr>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Expected dividend yield</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 – 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summary of the changes in the fair value of the Company’s liabilities measured using Level 3 inputs: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2"/>
        </w:trPr>
        <w:tc>
          <w:tcPr>
            <w:tcW w:w="5440" w:type="dxa"/>
            <w:vAlign w:val="bottom"/>
          </w:tcPr>
          <w:p>
            <w:pPr>
              <w:ind w:left="360"/>
              <w:spacing w:after="0" w:line="201" w:lineRule="exact"/>
              <w:rPr>
                <w:sz w:val="20"/>
                <w:szCs w:val="20"/>
                <w:color w:val="auto"/>
              </w:rPr>
            </w:pPr>
            <w:r>
              <w:rPr>
                <w:rFonts w:ascii="Arial" w:cs="Arial" w:eastAsia="Arial" w:hAnsi="Arial"/>
                <w:sz w:val="18"/>
                <w:szCs w:val="18"/>
                <w:color w:val="auto"/>
                <w:w w:val="95"/>
              </w:rPr>
              <w:t>Remeasurement in fair value of convertible preferred stock warrant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40"/>
              <w:spacing w:after="0"/>
              <w:rPr>
                <w:sz w:val="20"/>
                <w:szCs w:val="20"/>
                <w:color w:val="auto"/>
              </w:rPr>
            </w:pPr>
            <w:r>
              <w:rPr>
                <w:rFonts w:ascii="Arial" w:cs="Arial" w:eastAsia="Arial" w:hAnsi="Arial"/>
                <w:sz w:val="18"/>
                <w:szCs w:val="18"/>
                <w:color w:val="auto"/>
              </w:rPr>
              <w:t>liability prior to settlement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99"/>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Remeasurement in fair value of preferred stock warrant liability</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prior to expiration</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4020"/>
              <w:spacing w:after="0"/>
              <w:rPr>
                <w:sz w:val="20"/>
                <w:szCs w:val="20"/>
                <w:color w:val="auto"/>
              </w:rPr>
            </w:pPr>
            <w:r>
              <w:rPr>
                <w:rFonts w:ascii="Arial" w:cs="Arial" w:eastAsia="Arial" w:hAnsi="Arial"/>
                <w:sz w:val="18"/>
                <w:szCs w:val="18"/>
                <w:color w:val="auto"/>
              </w:rPr>
              <w:t>F-19</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 Net</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consisted of the following:</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2"/>
                <w:szCs w:val="12"/>
                <w:color w:val="auto"/>
              </w:rPr>
            </w:pPr>
          </w:p>
        </w:tc>
      </w:tr>
      <w:tr>
        <w:trPr>
          <w:trHeight w:val="155"/>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1,925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Computer and software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7"/>
        </w:trPr>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(598)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(1,060)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2,170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Depreciation and amortization expense was $0.5 million and $0.6 million for the year ended December 31, 2021 and 2022, respectively. As of December 31, 2022, all of the Company’s property and equipment was located in the United States.</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708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 Sheet Components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7"/>
          </w:tcPr>
          <w:p>
            <w:pPr>
              <w:jc w:val="right"/>
              <w:ind w:right="374"/>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Prepaid research and development costs ($4.4 million and $11.9 million from</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in 2021 and 2022, respectively)</w:t>
            </w:r>
          </w:p>
        </w:tc>
        <w:tc>
          <w:tcPr>
            <w:tcW w:w="6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4,836</w:t>
            </w:r>
          </w:p>
        </w:tc>
        <w:tc>
          <w:tcPr>
            <w:tcW w:w="20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13,484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Prepaid other</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1,195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6,231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Assets</w:t>
            </w: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3"/>
          </w:tcPr>
          <w:p>
            <w:pPr>
              <w:spacing w:after="0"/>
              <w:rPr>
                <w:sz w:val="20"/>
                <w:szCs w:val="20"/>
                <w:color w:val="auto"/>
              </w:rPr>
            </w:pPr>
            <w:r>
              <w:rPr>
                <w:rFonts w:ascii="Arial" w:cs="Arial" w:eastAsia="Arial" w:hAnsi="Arial"/>
                <w:sz w:val="18"/>
                <w:szCs w:val="18"/>
                <w:color w:val="auto"/>
              </w:rPr>
              <w:t>Other assets consisted of the following:</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7"/>
          </w:tcPr>
          <w:p>
            <w:pPr>
              <w:jc w:val="right"/>
              <w:ind w:right="334"/>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Noncurrent prepaid research and development costs from related party</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7,623</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1,829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other assets</w:t>
            </w:r>
          </w:p>
        </w:tc>
        <w:tc>
          <w:tcPr>
            <w:tcW w:w="5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9,653</w:t>
            </w:r>
          </w:p>
        </w:tc>
        <w:tc>
          <w:tcPr>
            <w:tcW w:w="2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40" w:type="dxa"/>
            <w:vAlign w:val="bottom"/>
            <w:vMerge w:val="restart"/>
          </w:tcPr>
          <w:p>
            <w:pPr>
              <w:ind w:left="4020"/>
              <w:spacing w:after="0"/>
              <w:rPr>
                <w:sz w:val="20"/>
                <w:szCs w:val="20"/>
                <w:color w:val="auto"/>
              </w:rPr>
            </w:pPr>
            <w:r>
              <w:rPr>
                <w:rFonts w:ascii="Arial" w:cs="Arial" w:eastAsia="Arial" w:hAnsi="Arial"/>
                <w:sz w:val="18"/>
                <w:szCs w:val="18"/>
                <w:color w:val="auto"/>
              </w:rPr>
              <w:t>F-20</w:t>
            </w: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59" w:right="121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consisted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3"/>
              </w:rPr>
              <w:t>2022</w:t>
            </w:r>
          </w:p>
        </w:tc>
        <w:tc>
          <w:tcPr>
            <w:tcW w:w="60" w:type="dxa"/>
            <w:vAlign w:val="bottom"/>
          </w:tcPr>
          <w:p>
            <w:pPr>
              <w:spacing w:after="0"/>
              <w:rPr>
                <w:sz w:val="12"/>
                <w:szCs w:val="12"/>
                <w:color w:val="auto"/>
              </w:rPr>
            </w:pPr>
          </w:p>
        </w:tc>
      </w:tr>
      <w:tr>
        <w:trPr>
          <w:trHeight w:val="155"/>
        </w:trPr>
        <w:tc>
          <w:tcPr>
            <w:tcW w:w="6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r>
      <w:tr>
        <w:trPr>
          <w:trHeight w:val="202"/>
        </w:trPr>
        <w:tc>
          <w:tcPr>
            <w:tcW w:w="6440" w:type="dxa"/>
            <w:vAlign w:val="bottom"/>
          </w:tcPr>
          <w:p>
            <w:pPr>
              <w:spacing w:after="0" w:line="201" w:lineRule="exact"/>
              <w:rPr>
                <w:sz w:val="20"/>
                <w:szCs w:val="20"/>
                <w:color w:val="auto"/>
              </w:rPr>
            </w:pPr>
            <w:r>
              <w:rPr>
                <w:rFonts w:ascii="Arial" w:cs="Arial" w:eastAsia="Arial" w:hAnsi="Arial"/>
                <w:sz w:val="18"/>
                <w:szCs w:val="18"/>
                <w:color w:val="auto"/>
              </w:rPr>
              <w:t>Accrued research and development services ($6.3 million and nil due to related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party in 2021 and 2022,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6,250</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and preclinical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2,523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1,187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19,096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11,536</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right="8640" w:hanging="4"/>
        <w:spacing w:after="0" w:line="425" w:lineRule="auto"/>
        <w:tabs>
          <w:tab w:leader="none" w:pos="552"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of Assets BlackThorn Therapeutics, Inc.</w:t>
      </w:r>
    </w:p>
    <w:p>
      <w:pPr>
        <w:ind w:left="120"/>
        <w:spacing w:after="0" w:line="272" w:lineRule="auto"/>
        <w:rPr>
          <w:sz w:val="20"/>
          <w:szCs w:val="20"/>
          <w:color w:val="auto"/>
        </w:rPr>
      </w:pPr>
      <w:r>
        <w:rPr>
          <w:rFonts w:ascii="Arial" w:cs="Arial" w:eastAsia="Arial" w:hAnsi="Arial"/>
          <w:sz w:val="17"/>
          <w:szCs w:val="17"/>
          <w:color w:val="auto"/>
        </w:rPr>
        <w:t>In June 2020, the Company entered into an agreement and plan of merger (BlackThorn Merger Agreement) to acquire all of the equity interests of BlackThorn Therapeutics, Inc. (BlackThorn), which became effective in September 2020. The Company acquired BlackThorn for its in-process research and development programs, including an antagonist of the Kappa Opioid Receptor (NMRA-140) for the treatment of major depressive disorders and an antagonist of the Vasopressin 1a Receptor (NMRA-511) for the treatment of anxiety disorders. The Company also gained access to a cloud-based computational psychiatry and data platform that was being developed to support drug target identification, patient stratification and objective clinical trial endpoints. Both NMRA-140 and NMRA-511 were exclusively licensed to BlackThorn by The Scripps Research Institute (TSRI). The acquisition was accounted for as an acquisition of assets.</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BlackThorn Merger Agreement requires the Company to pay the former stockholders of BlackThorn contingent consideration (i) with respect to NMRA-140, in the form of development and regulatory approval milestones of up to an aggregate amount of $365.0 million, which includes a milestone payment of $90.0 million that will become due upon dosing the first patient in the Phase 3 clinical trial for NMRA-140,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(BlackThorn Milestones). At the Company’s sole discretion, the BlackThorn Milestone payments may be settled in cash or shares of the Company, or a combination of both, subject to the provisions of the BlackThorn Merger Agreement, other than one development milestone in the amount of $10.0 million, which must be settled in cash. None of the BlackThorn Milestones were subject to liability classification and/or derivative accounting and any such contingent consideration will be recognized when the contingency is resolved, and the consideration becomes payable. For the year ended December 31, 2021, and 2022, no such amounts were deemed due or payable.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BlackThorn Carveout Plan</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BlackThorn Merger Agreement required that the Company establish a carveout plan (the BlackThorn Carveout Plan), pursuant to which each BlackThorn stock option holder as of immediately prior to the closing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date was allocated a certain number of units (the BlackThorn Carveout Units) based on the number of shares underlying the outstanding options held by each participant at that time. Each BlackThorn Carveout Unit represents a right to receive a portion of the BlackThorn Milestone payment (the BlackThorn Carveout Payments) upon the later of (i) the achievement of a BlackThorn Milestone and (ii) the vesting of the BlackThorn Carveout Unit.</w:t>
      </w:r>
    </w:p>
    <w:p>
      <w:pPr>
        <w:spacing w:after="0" w:line="14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BlackThorn Carveout Units vest based on time-based schedules that mirror the vesting schedules for the original option awards held by each participant. As of the closing date in September 2020, a portion of the BlackThorn Carveout Units corresponding to the pre-acquisition service periods were fully vested (Vested Carveout Units). The remainder of the BlackThorn Carveout Units vest subject to the continued service of the participants.</w:t>
      </w:r>
    </w:p>
    <w:p>
      <w:pPr>
        <w:spacing w:after="0" w:line="14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Vested Carveout Units represent contingent consideration for the acquisition as they are attributable to pre-acquisition services rendered by the participants and continuing service is not required for the participants to receive future payments upon a BlackThorn Milestone being achieved. The Company will recognize the contingent consideration obligation for the Vested Carveout Units when the contingency is resolved, and the consideration becomes payable. The BlackThorn Carveout Units that were unvested as of the Closing Date are dependent on the continued service of participants and were deemed to be a compensation arrangement. The Company will recognize the compensation starting from the time payment becomes probable over each participant’s service period. As of December 31, 2022, none of the BlackThorn Milestones had been achieved or were probable of being achieved, and no contingent consideration obligation or compensation related to the BlackThorn Carveout Plan had been recorded.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Syllable Life Sciences, Inc.</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September 2020, the Company entered into an agreement and plan of merger (Syllable Merger Agreement) to acquire all of the outstanding equity of Syllable Life Sciences, Inc. (Syllable). The Company acquired Syllable to gain access the rights granted to Syllable under an exclusive license agreement (as amended, the Harvard License Agreement) with President and Fellows of Harvard College (Harvard) and an associated behavior analysis machine learning and computer vision software tool which Syllable was developing to identify and quantify behavior as an indicator of neurological conditions. The transaction was accounted for as an acquisition of assets.</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former stockholders of Syllable are entitled to contingent consideration in the form of development milestones of up to an aggregate of $5.0 million (Syllable Milestones). At the Company’s sole discretion, the Syllable Milestone payments may be settled, in cash or shares equity of the Company, or a combination of both, subject to the provisions of the Syllable Merger Agreement and were not subject to liability classification and/or derivative accounting. Any such contingent consideration will be recognized when the contingency is resolved, and the consideration becomes payable. For the year ended December 31, 2021 and 2022, no such amounts were deemed due or payable.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Alairion, Inc.</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November 2020, the Company entered into an agreement and plan of merger (Alairion Merger Agreement) to acquire all of the outstanding equity of Alairion, Inc. (Alairion). The acquisition of Alairion allowed the Company to expand its program pipeline by gaining rights to two preclinical stage research and development programs focused on the treatment of sleep disorders, an H1 receptor antagonist program (the H1 Program) and a GABA receptor positive allosteric modulator program (the GABA Program). The acquisition also provided the Company with access to a license for software that records sleep and related drug discovery and optimization technology platform. The transaction was accounted for as acquisition of assets.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The holders of Alairion common stock outstanding as of immediately prior to the closing date received non-transferable rights to future milestone payments of up to $33.5 million upon the achievement of specified development events and $135.0 million upon the achievement of specified commercialization events related to the H1 Program and the GABA Program (the Alairion Milestones).</w:t>
      </w:r>
    </w:p>
    <w:p>
      <w:pPr>
        <w:spacing w:after="0" w:line="18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Alairion Milestone payments may be settled, at the Company’s sole discretion, in cash or shares of the Company, or a combination of both, subject to the provisions of the Alairion Merger Agreement. None of the Alairion Milestones were subject to liability classification and/or derivative accounting and any such contingent consideration will be recognized when the contingency is resolved, and the consideration becomes payable. For the year ended December 31, 2021 and 2022, no such amounts were deemed due or payable. In March 2022, the Company paused the active program acquired from Alairion while it assesses pre-IND feedback received from the FDA and considers alternative options for that program.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Alairion Carveout Plan</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Alairion Merger Agreement also required the Company to establish a carveout plan (the Alairion Carveout Plan) pursuant to which a portion of the payments under the Alairion Milestones, up to $3.0 million (the Alairion Carveout Payments), are reserved for participants under the Alairion Carveout Plan. Participants in the Alairion Carveout Plan are comprised of former Alairion employees, several of whom were retained as employees or consultants of the Company post-acquisition. Under the Alairion Carveout Plan, the Company granted the participants retention units, each representing a right to receive future payments upon the completion of Phase 2 clinical studies with respect to either the H1 Program or the GABA Program and achievement of the related Alairion Milestone, subject to the continued service of the participant until such time and were deemed to be a compensation arrangement. The retention units are forfeited if a participant’s service is terminated prior to the receipt of results from the Phase 2 clinical studies associated with the H1 Program and GABA Program. The Company will recognize such compensation starting from the time payment becomes probable over each participant’s service period. As of December 31, 2022, it was not probable that Phase 2 clinical studies would be achieved, and no compensation related to the Alairion Carveout Plan had been recorded.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Amgen Inc. Licenses</w:t>
      </w:r>
    </w:p>
    <w:p>
      <w:pPr>
        <w:spacing w:after="0" w:line="121"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In September 2021, the Company entered into two license agreements with Amgen Inc. (Amgen) pursuant to which it obtained exclusive, worldwide licenses to develop, manufacture, use, commercialize and distribute products containing compounds that are directed to, in one case, CK1d, and in the other case, glucocerebrocidase (GCase), both for the treatment of neurodegenerative diseases (the Amgen License Agreements) and related know-how and clinical material (collectively, the Amgen IPR&amp;D Assets). Concurrently, the Company also executed a research collaboration agreement (see Note</w:t>
      </w:r>
    </w:p>
    <w:p>
      <w:pPr>
        <w:spacing w:after="0" w:line="1" w:lineRule="exact"/>
        <w:rPr>
          <w:sz w:val="20"/>
          <w:szCs w:val="20"/>
          <w:color w:val="auto"/>
        </w:rPr>
      </w:pPr>
    </w:p>
    <w:p>
      <w:pPr>
        <w:ind w:left="120" w:right="620" w:hanging="4"/>
        <w:spacing w:after="0" w:line="323" w:lineRule="auto"/>
        <w:tabs>
          <w:tab w:leader="none" w:pos="40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as well as a stock purchase agreement (see Note 11) with Amgen. Both of these agreements were deemed to be separate transactions and not accounted for as part of the acquisition of assets. The Company accounted for these transactions as acquisitions of assets.</w:t>
      </w:r>
    </w:p>
    <w:p>
      <w:pPr>
        <w:spacing w:after="0" w:line="13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total upfront consideration transferred to Amgen of 20.0 million shares of the Company’s Series A-2 convertible preferred stock, with an acquisition date fair value of $157.0 million, was allocated to the Amgen IPR&amp;D Assets as the fair value of the equity given was more readily determinable than the fair value of the assets received. The fair value of the Company’s Series A-2 preferred stock of $7.85 was established using the price per share paid by third-party investors in the concurrent September 2021 closing of the Series A-2 preferred stock financing.</w:t>
      </w:r>
    </w:p>
    <w:p>
      <w:pPr>
        <w:spacing w:after="0" w:line="17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Under these two license agreements, Amgen is eligible to receive contingent consideration up to an aggregate of $360.0 million in commercial milestone payments per product payable in cash with a compound directed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CK1d and up to an aggregate of $360.0 million in commercial milestone payments per product payable in cash with a compound directed to GCase, in each case, upon the achievement of certain sales thresholds and single digit royalties on potential future net sales, related to CK1d or GCase. Such contingent consideration was not subject to liability classification and/or derivative accounting and will be recognized when the contingency is resolved, and the consideration becomes payable. For the year ended December 31, 2022, no such amounts were deemed due or payable.</w:t>
      </w:r>
    </w:p>
    <w:p>
      <w:pPr>
        <w:spacing w:after="0" w:line="15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In addition, until a specified period of time following the achievement of the first successful Phase 2 clinical trial for any licensed product, if the Company chooses to sell, transfer, sublicense or divest rights to a licensed product in certain major markets, Amgen has a 90-day exclusive right of first negotiation to enter into an agreement with the Company for such rights. The Company determined that these rights of first negotiation were not freestanding instruments from the Amgen License Agreements and did not meet the definition of a derivative.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Vanderbilt License</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February 2022, the Company and Vanderbilt University (Vanderbilt) entered into a license agreement (Vanderbilt License Agreement). Pursuant to the Vanderbilt License Agreement, the Company obtained an exclusive, worldwide, royalty-bearing, sublicensable (subject to certain restrictions) license under certain patent rights and a non-exclusive, worldwide, royalty-bearing, sublicensable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uses (the Vanderbilt IPR&amp;D Assets). Concurrently, the Company also executed a sponsored research agreement (see Note 10) with Vanderbilt. The sponsored research agreement was deemed to be separate transactions and not accounted for as part of the acquisition of assets. The acquisition of the Vanderbilt IPR&amp;D Assets became effective in February 2022.</w:t>
      </w:r>
    </w:p>
    <w:p>
      <w:pPr>
        <w:spacing w:after="0" w:line="178"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 licensed patent rights are subject to Vanderbilt’s right to use the patent rights for research, internal non-commercial use, and educational purposes. The Company intends to develop the PAMs for the treatment of schizophrenia and other neuropsychiatric disorders. The Company has agreed to use commercially reasonable efforts to develop and commercial licensed products, and to achieve certain development milestones.</w:t>
      </w:r>
    </w:p>
    <w:p>
      <w:pPr>
        <w:spacing w:after="0" w:line="14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Company paid Vanderbilt a non-refundable, non-creditable upfront cash payment of $13.0 million for the Vanderbilt IPR&amp;D Assets, which was immediately recognized as acquired in-process research and development expense in the consolidated statement of operations and comprehensive loss as it was determined to have no alternative future use as of the acquisition date. Under the Vanderbilt License Agreement, Vanderbilt is eligible to receive contingent consideration payable in cash up to an aggregate of $42.0 million upon the achievement of specified development milestones and up to an aggregate of $380.0 million upon the achievement of commercial milestone events as well as and tiered royalties at mid-single digit percentages on potential future net sales, subject to specified reductions for the lack of patent coverage, generic entry and payment obligations for third-party licenses. In addition, the Company is obligated to pay Vanderbilt low-double-digit percentage of sublicense income it receives for sublicenses entered into before the achievement of a specified event. Such contingent consideration was not subject to liability classification and/or derivative accounting and will be recognized when the contingency is resolved, and the consideration becomes payable. For the year ended December 31, 2022, no such amounts were deemed due or payable.</w:t>
      </w:r>
    </w:p>
    <w:p>
      <w:pPr>
        <w:spacing w:after="0" w:line="18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In addition, the Company also has an exclusive option, exercisable for a specified period of time, to negotiate an exclusive license to certain patent rights conceived or developed by Vanderbilt in the course of carrying out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sponsored research pursuant to a sponsored research agreement the between the Company and Vanderbilt, which was entered into at the same time as the Vanderbilt License Agreement. The Company determined that the right to negotiate was not a freestanding instrument from the Vanderbilt License Agreement and did not meet the definition of a derivative.</w:t>
      </w:r>
    </w:p>
    <w:p>
      <w:pPr>
        <w:spacing w:after="0" w:line="328"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Concurrent with the issuance of the convertible promissory notes in 2020 that were settled in September 2020 with shares of the Company’s Series A-2 convertible preferred stock, the Company also issued shares of its common stock to certain of the holders in return for commitments to participate in the Company’s Series A-2 convertible preferred stock financing. Such shares of common stock were subject to the investors’ right of forfeiture that lapsed upon fulfillment of their respective commitments to the Company in one or more subsequent closings of the Company’s Series A-2 convertible preferred stock financing. The funding commitments, together with the embedded shares of common stock, were determined to be freestanding instruments apart from the convertible promissory notes (the funding commitment asset or FCA). The Company determined that the FCA (i) did not meet the criteria to be classified as a liability on its consolidated balance sheets, (ii) qualified for a scope exception from derivative accounting, and (iii) was not required to be measured at fair valued at inception (or subsequently). Accordingly, the proceeds received from the convertible promissory notes were allocated to the FCA on a residual basis, and such residual value was determined to be insignificant at inception.</w:t>
      </w:r>
    </w:p>
    <w:p>
      <w:pPr>
        <w:spacing w:after="0" w:line="16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August 2021, the FCA held by one investor to purchase 1,274,486 shares of the Company’s Series A-2 convertible preferred stock was met and the related right of forfeiture lapsed as to the 955,864 shares of common stock held by such investor (see Note 11).</w:t>
      </w:r>
    </w:p>
    <w:p>
      <w:pPr>
        <w:spacing w:after="0" w:line="315" w:lineRule="exact"/>
        <w:rPr>
          <w:sz w:val="20"/>
          <w:szCs w:val="20"/>
          <w:color w:val="auto"/>
        </w:rPr>
      </w:pPr>
    </w:p>
    <w:p>
      <w:pPr>
        <w:ind w:left="120" w:right="8020" w:hanging="4"/>
        <w:spacing w:after="0" w:line="377" w:lineRule="auto"/>
        <w:tabs>
          <w:tab w:leader="none" w:pos="552"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Agreement</w:t>
      </w:r>
    </w:p>
    <w:p>
      <w:pPr>
        <w:spacing w:after="0" w:line="117"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color w:val="auto"/>
        </w:rPr>
        <w:t>The Company has operating lease arrangements for office and laboratory spaces located in Massachusetts and California with noncancelable lease terms expiring between 2023 and 2025. These leases require monthly lease payments that may be subject to annual increases throughout the lease term.</w:t>
      </w:r>
    </w:p>
    <w:p>
      <w:pPr>
        <w:spacing w:after="0" w:line="12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March 2021, the Company entered into a lease agreement for a 14,688 square feet office facility in South San Francisco, California (SSF Lease). The SSF Lease commenced in April 2021 and expires in December 2023.</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May 2022, the Company executed a sublease agreement for a 30,067 square feet office and laboratory facility in Watertown, Massachusetts. The term of the sublease commenced in June 2022 with respect to the office space and commenced in August 2022 with respect to the laboratory space. The term of the sublease expires in June 2025. A letter of credit was executed in connection with this sublease agreement that resulted in an increase in restricted cash on the consolidated balance sheet as of December 31, 2022.</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Under the lease agreements, the Company is generally required to pay certain operating costs, in addition to rent, such as common area maintenance, taxes, utilities and insurance. Such additional charges are considered variable lease costs and are recognized in the period in which they are incurred. Rent expense for the year ended December 31, 2021 was $2.0 million, including $0.9 million related to short term lease expense, and variable costs were $0.2 million. Rent expense for the year ended December 31, 2022 was $3.5 million, including $1.1 million related to short term lease expense, and variable costs were $0.1 million.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Company’s operating leases include various covenants, indemnities, defaults, termination rights, security deposits and other provisions customary for lease transactions of this nature.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maturity of the Company’s operating lease liabilities as of December 31, 2022 were as follows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Undiscounted lease payments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jc w:val="right"/>
              <w:ind w:right="5910"/>
              <w:spacing w:after="0"/>
              <w:rPr>
                <w:sz w:val="20"/>
                <w:szCs w:val="20"/>
                <w:color w:val="auto"/>
              </w:rPr>
            </w:pPr>
            <w:r>
              <w:rPr>
                <w:rFonts w:ascii="Arial" w:cs="Arial" w:eastAsia="Arial" w:hAnsi="Arial"/>
                <w:sz w:val="18"/>
                <w:szCs w:val="18"/>
                <w:color w:val="auto"/>
              </w:rPr>
              <w:t>2023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4,030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jc w:val="right"/>
              <w:ind w:right="591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3,606</w:t>
            </w:r>
          </w:p>
        </w:tc>
      </w:tr>
      <w:tr>
        <w:trPr>
          <w:trHeight w:val="223"/>
        </w:trPr>
        <w:tc>
          <w:tcPr>
            <w:tcW w:w="20" w:type="dxa"/>
            <w:vAlign w:val="bottom"/>
          </w:tcPr>
          <w:p>
            <w:pPr>
              <w:spacing w:after="0"/>
              <w:rPr>
                <w:sz w:val="19"/>
                <w:szCs w:val="19"/>
                <w:color w:val="auto"/>
              </w:rPr>
            </w:pPr>
          </w:p>
        </w:tc>
        <w:tc>
          <w:tcPr>
            <w:tcW w:w="6700" w:type="dxa"/>
            <w:vAlign w:val="bottom"/>
          </w:tcPr>
          <w:p>
            <w:pPr>
              <w:jc w:val="right"/>
              <w:ind w:right="5910"/>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9,470</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(1,028)</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Less: Operating lease liabilities, current portion</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information on the Company’s operating leases was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0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 agreements (in thousands)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1,115</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2,486</w:t>
            </w: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2480" w:type="dxa"/>
            <w:vAlign w:val="bottom"/>
            <w:gridSpan w:val="3"/>
          </w:tcPr>
          <w:p>
            <w:pPr>
              <w:jc w:val="right"/>
              <w:ind w:right="880"/>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2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In August 2022, the Company and a lessor mutually terminated a lease agreement for office and laboratory space in Watertown, Massachusetts. As a result, the Company derecognized an operating lease liability and right-of-use asset of $0.7 million and $0.6 million, respectively, and recognized an immaterial gain on termination of the lease.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Commitments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has various manufacturing, clinical, research and other contracts with vendors in the conduct of the normal course of its business. Such contracts are generally terminable with advanced written notice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60"/>
          </w:cols>
          <w:pgMar w:left="320" w:top="459" w:right="51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payment for any products or services received by the Company through the effective time of termination and any non-cancelable and non-refundable obligations incurred by the vendor at the effective time of the termination. In the case of terminating a clinical trial agreement at a particular site, the Company would also be obligated to provide continued support for appropriate medical procedures at that site until completion or termination.</w:t>
      </w:r>
    </w:p>
    <w:p>
      <w:pPr>
        <w:spacing w:after="0" w:line="293"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License and Research and Collaboration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2015 TSRI License Agreement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connection with the acquisition of BlackThorn (see Note 7), the Company gained certain exclusive rights to intellectual property related to Kappa Opioid Receptor and V1aR Receptor Antagonist programs as well as an oxytocin receptors positive allosteric modulator program (collectively, the TSRI Programs) under a license agreement between BlackThorn and TSRI originally entered into in November 2015 (as amended, the 2015 TSRI License Agreement). The technology licensed under the 2015 TSRI License Agreement is used in the Company’s NMRA-140 and NMRA-511 research and development programs.</w:t>
      </w:r>
    </w:p>
    <w:p>
      <w:pPr>
        <w:spacing w:after="0" w:line="188"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Pursuant to the 2015 TSRI License Agreement, the Company is obligated, among other things, to pay TSRI (i) a nominal annual license fee due and payable on the first day of each calendar year and after the fourth anniversary creditable against any royalties due for such calendar year,</w:t>
      </w:r>
    </w:p>
    <w:p>
      <w:pPr>
        <w:ind w:left="120" w:right="80" w:hanging="4"/>
        <w:spacing w:after="0" w:line="252" w:lineRule="auto"/>
        <w:tabs>
          <w:tab w:leader="none" w:pos="3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development and regulatory milestone payments of up to $1.5 million in aggregate for the first product from each TSRI Program, which are contingent upon achieving specific development and regulatory milestone events, (iii) commercial milestone payments of up to $3.5 million in aggregate for each occurrence, which are contingent upon achieving specified commercialization milestone events, (iv) tiered low-single digit royalties on future net sales of each royalty-bearing product and (v) a percentage ranging from the mid-single digits to sub teen double digits of any sublicensing revenues the Company receives. As of December 31, 2022, none of the milestones had been achieved and no royalties were due under the 2015 TSRI License Agreement.</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Harvard License Agreement</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connection with the acquisition of Syllable (see Note 7), the Company gained exclusive rights covering certain behavior imagining and behavioral tracking software under a license agreement between Syllable and Harvard originally entered into in June 2020. The Company uses the technology licensed under the Harvard License Agreement to advance its precision neuroscience approach.</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Under the Harvard License Agreement, the Company is obligated, among other things, to pay Harvard (i) nominal annual license maintenance fees that are creditable against any royalty amounts payable for licensed products sold in the same year, (ii) mid-single digit royalties on future net sales of each royalty-bearing product that utilizes the licensed technology, and (iii) a portion of any sub licensing revenues the Company receives ranging from the high teens to low-double digits. As of December 31, 2022, none of the milestones had been achieved and no royalties were due under the Harvard License Agreement.</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addition, the Harvard License Agreement, as amended in March 2021, provided for certain development milestones that the Company is required to meet between December 2021 and January 2024. Failure to meet such milestones constitutes a material breach of contract and would provide Harvard with the right to terminate the agreement subject to the notification and cure periods. As of December 31, 2022, the Company had not met the December 2021, January 2022, or July 2022 milestones. As of the date these consolidated financial statements were available for issuance, Harvard and the Company had agreed to terminate the agreement, effective as of March 31, 2023.</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Collaboration Agreement with Amgen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September 2021, and concurrently with the Amgen License Agreements (see Note 7), the Company entered into a research collaboration agreement with Amgen (Amgen Collaboration Agreement) to collectively discover drug targets, biomarkers, and other insights associated with central nervous system (CNS) diseases utilizing Amgen’s deCODE genetics and human data research capabilities. The Company received exclusive rights under intellectual property generated in the collaboration to exploit therapeutic compounds and diagnostics for use with therapeutics in the CNS field and Amgen received exclusive rights to exploit therapeutic compounds and diagnostics for use with therapeutics outside of the CNS field. The agreement is governed by the Joint Research Committee (JRC), which is made up of two representatives from each of the Company and Amgen to manage the progress and direction of research and development activities. All decisions made by the JRC shall be by consensus with each party having one vote, and if the JRC cannot reach a consensus, the dispute shall be referred to each company’s executive officers. If the executive officers fail to reach a consensus, the Company will have final decision-making authority provided that the matter does not relate to the approval of, or any material change to, a project, decisions to acquire rights from a third party, decisions or activities that are in conflict with Amgen’s database usage or data access rights, or the approval of external costs and expenses relating to certain new data generation activities or certain new dataset acquisitions, as such matters require mutual agreement.</w:t>
      </w:r>
    </w:p>
    <w:p>
      <w:pPr>
        <w:spacing w:after="0" w:line="17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In return for Amgen performing research and development activities under the agreement, the Company is committed to making non-refundable, non-creditable quarterly payments over the first two years totaling $50.0 million and for the third year between $12.5 million and $25.0 million depending on whether certain progress milestones are achieved.</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Additionally, the Company will reimburse Amgen for certain direct, out-of-pocket external costs and expenses that are incurred in the performance of the activities under the Amgen Collaboration Agreement.</w:t>
      </w:r>
    </w:p>
    <w:p>
      <w:pPr>
        <w:spacing w:after="0" w:line="170" w:lineRule="exact"/>
        <w:rPr>
          <w:sz w:val="20"/>
          <w:szCs w:val="20"/>
          <w:color w:val="auto"/>
        </w:rPr>
      </w:pPr>
    </w:p>
    <w:p>
      <w:pPr>
        <w:ind w:left="120" w:right="400"/>
        <w:spacing w:after="0" w:line="257" w:lineRule="auto"/>
        <w:rPr>
          <w:sz w:val="20"/>
          <w:szCs w:val="20"/>
          <w:color w:val="auto"/>
        </w:rPr>
      </w:pPr>
      <w:r>
        <w:rPr>
          <w:rFonts w:ascii="Arial" w:cs="Arial" w:eastAsia="Arial" w:hAnsi="Arial"/>
          <w:sz w:val="18"/>
          <w:szCs w:val="18"/>
          <w:color w:val="auto"/>
        </w:rPr>
        <w:t>The term of the agreement is up to five years, although it will terminate after three years if the Company and Amgen do not mutually agree upon a compensation structure for years four and five. If the parties do not reach an agreement at least 30 days prior to the end of year three, the Amgen Collaboration Agreement will automatically terminate upon its third anniversary. Further, either party can terminate the Amgen Collaboration Agreement upon material uncured breach or bankruptcy by the other party, in which case all amounts that have become due through the date of termination are non-refundable.</w:t>
      </w:r>
    </w:p>
    <w:p>
      <w:pPr>
        <w:spacing w:after="0" w:line="18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Amgen also has an exclusive option to negotiate, and the right of first negotiation, to obtain exclusive, worldwide licenses to research, develop, commercialize, and otherwise exploit up to two therapeutic compounds or any pharmaceutical product containing such therapeutic compound arising from the collaboration. That right exists with respect to each compound for up to 60 days following positive Phase 2 results for that compound. The Company determined that these rights were not freestanding instruments from the Amgen Collaboration Agreement and did not meet the definition of a derivative. Upon execution of the Amgen Collaboration Agreement in September 2021, the Company was obligated to start paying Amgen non-refundable quarterly payments of $6.3 million. As of December 31, 2022, the sixth non-refundable quarterly payment of $6.3 million became due and has been recorded within accounts payable. As of December 31, 2021, the related prepaid research and development costs included in the consolidated balance sheet were $4.4 million within prepaid expenses and other current assets and $7.6 million within other assets. As of December 31, 2022, the related prepaid research and development costs included in the consolidated balance sheet were $11.9 million within prepaid expenses and other current assets. The Company recorded $0.5 million and $25.1 million of related research and development expenses during the year ended December 31, 2021 and 2022, respectively.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60"/>
          </w:cols>
          <w:pgMar w:left="320" w:top="459" w:right="51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Sponsored Research Agreement with Vanderbilt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February 2022, and concurrently with the Vanderbilt License Agreement (see Note 7), the Company entered into a sponsored research agreement with Vanderbilt (Vanderbilt Research Agreement), pursuant to which Vanderbilt agreed to provide the Company research services to develop a M4 PAM back-up program.</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agreement is governed by the Joint Steering Committee (JSC) which is made up of three representatives from each of the Company and Vanderbilt to manage the progress and direction of research and development activities. All decisions made by the JSC shall be by consensus with each party having one vote, and if the JSC cannot reach a consensus, then (i) each party shall make the final decision on non-strategic, day to day, operational matters related to the implementation of research program activities conducted, managed, controlled or directed by such party, and (ii) the Company will have final decision-making authority with respect to material operation and strategic decisions.</w:t>
      </w:r>
    </w:p>
    <w:p>
      <w:pPr>
        <w:spacing w:after="0" w:line="176"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In return for Vanderbilt performing research and development activities under the agreement, the Company agreed to make quarterly payments for research up to a total of $1.7 million. The term of the agreement is one year. Either party may terminate the agreement upon 60 days’ written notice, subject to the Company paying reasonable costs incurred by Vanderbilt to wind-down the program and all costs incurred and non-cancellable commitments made prior to the termination date.</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addition, the Company also has an exclusive option to negotiate an exclusive license to certain patent rights conceived or developed by Vanderbilt in the course of carrying out the sponsored research (see Note 7).</w:t>
      </w:r>
    </w:p>
    <w:p>
      <w:pPr>
        <w:spacing w:after="0" w:line="315" w:lineRule="exact"/>
        <w:rPr>
          <w:sz w:val="20"/>
          <w:szCs w:val="20"/>
          <w:color w:val="auto"/>
        </w:rPr>
      </w:pPr>
    </w:p>
    <w:p>
      <w:pPr>
        <w:ind w:left="120" w:right="6400" w:hanging="4"/>
        <w:spacing w:after="0" w:line="378" w:lineRule="auto"/>
        <w:tabs>
          <w:tab w:leader="none" w:pos="55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Deficit Convertible Preferred Stock</w:t>
      </w:r>
    </w:p>
    <w:p>
      <w:pPr>
        <w:ind w:left="120" w:right="20"/>
        <w:spacing w:after="0" w:line="254" w:lineRule="auto"/>
        <w:rPr>
          <w:sz w:val="20"/>
          <w:szCs w:val="20"/>
          <w:color w:val="auto"/>
        </w:rPr>
      </w:pPr>
      <w:r>
        <w:rPr>
          <w:rFonts w:ascii="Arial" w:cs="Arial" w:eastAsia="Arial" w:hAnsi="Arial"/>
          <w:sz w:val="18"/>
          <w:szCs w:val="18"/>
          <w:color w:val="auto"/>
        </w:rPr>
        <w:t>In September 2020, the Company executed a preferred stock purchase agreement (the Series A SPA) and issued 15,755,181 shares of its Series A-2 convertible preferred stock at $7.85 per share for aggregate proceeds of $123.6 million in the initial closing of its Series A-2 convertible preferred stock financing. Concurrent with the initial closing, the Company acquired a legal entity through the issuance of 5,097,944 shares of its Series A-2 convertible preferred stock and 1,274,486 shares of its common stock. The entity did not meet the definition of a business and its sole asset was cash. As a result, the shares of the Company’s Series A-2 convertible preferred stock and common stock were recognized at their relative fair values for $39.5 million of cash obtained in the transaction. The Company also issued 7,542,434 shares of its Series A-2 convertible preferred stock upon settlement of convertible promissory notes (see Note 8).</w:t>
      </w:r>
    </w:p>
    <w:p>
      <w:pPr>
        <w:spacing w:after="0" w:line="195"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In addition, in September 2020, the Company issued an aggregate of 5,757,901 and 1,898,657 shares of its Series A-1 convertible preferred stock and Series A-2 convertible preferred stock, respectively, as consideration for various acquisitions of assets (see Note 7).</w:t>
      </w:r>
    </w:p>
    <w:p>
      <w:pPr>
        <w:spacing w:after="0" w:line="146"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In accordance with the terms of the Series A SPA, the Company was also committed to selling 5,097,944 additional shares of its Series A-2 convertible preferred stock to one investor who is a related party at a fixed price of $7.85 per share in one or more subsequent closings on or before March 8, 2021. The Company determined that its obligation to issue additional shares of Series A-2 convertible preferred stock in subsequent closings was a freestanding financial instrument that should be classified as a liability (the convertible preferred stock tranche liability) in the consolidated balance sheets and remeasured to fair value during the reporting period with any changes in fair value being recognized in the consolidated statements of operations and comprehensive loss. The fair value of convertible preferred stock tranche liability was determined to be de minimis on issuance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September 2020 and through the date of settlement in September 2021 because of (i) the original expected short-term nature of the obligation and</w:t>
      </w:r>
    </w:p>
    <w:p>
      <w:pPr>
        <w:spacing w:after="0" w:line="46" w:lineRule="exact"/>
        <w:rPr>
          <w:sz w:val="20"/>
          <w:szCs w:val="20"/>
          <w:color w:val="auto"/>
        </w:rPr>
      </w:pPr>
    </w:p>
    <w:p>
      <w:pPr>
        <w:jc w:val="both"/>
        <w:ind w:left="120" w:right="60" w:hanging="4"/>
        <w:spacing w:after="0" w:line="255" w:lineRule="auto"/>
        <w:tabs>
          <w:tab w:leader="none" w:pos="38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absence of significant business activities or events during the period from issuance to settlement that could have significantly impacted the value of the Company. Furthermore, additional third-party investors participated in the closing of the Company’s subsequent Series A-2 convertible preferred stock financing completed in September 2021, which indicated a fair value of $7.85 per share.</w:t>
      </w:r>
    </w:p>
    <w:p>
      <w:pPr>
        <w:spacing w:after="0" w:line="190"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Pursuant to the Series A SPA, a forfeiture provision was added to the terms of 4,248,286 shares of the Company’s common stock previously issued in January 2020 to the same investor and related party that the Company committed to selling 5,097,944 additional shares of Series A-2 convertible preferred stock, of which the forfeiture provision for 2,548,972 shares lapsed upon execution of the Series A SPA in September 2020 and 1,699,314 remained subject to the forfeiture provision until the occurrence of one or more subsequent closings. The Company determined there was no accounting impact because it did not result in a transfer of value from the Company’s common stockholders to its preferred stockholders.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connection with the acquisition of Alairion in November 2020 (see Note 7), an existing stockholder of both Alairion and the Company purchased a total of $12.0 million of Alairion convertible notes immediately prior to the closing date that were settled with 1,529,383 shares of the Company’s Series A-2 convertible preferred stock upon closing.</w:t>
      </w:r>
    </w:p>
    <w:p>
      <w:pPr>
        <w:spacing w:after="0" w:line="18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Between March and July 2021, the Company and certain of its investors entered into a series of amendments to the Series A SPA to extend the deadline to complete subsequent closings of its Series A-2 convertible preferred stock from March 2021 to September 2021. The Company determined that such amendments to the Series A-2 convertible preferred stock represented modifications and no incremental expense would be recorded as the difference between the fair values of the Series A-2 convertible preferred stock immediately before and after the amendments were insignificant. Concurrently, the lapse of right of forfeiture with respect to 1,699,314 shares of the Company’s common stock held by a related party investor was extended to September 2021.</w:t>
      </w:r>
    </w:p>
    <w:p>
      <w:pPr>
        <w:spacing w:after="0" w:line="192"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Between August and September 2021, pursuant to the Series A SPA, as amended, the Company issued 24,374,542 shares of its Series A-2 convertible preferred stock, including 18,002,112 shares to new investors and 6,372,430 shares to two existing investors, one of whom was a related party, at a price of $7.85 per share for aggregate proceeds of $191.3 million (the Series A Final Closing). Upon the Series A Final Closing, the right of forfeiture 1,699,314 shares of the Company’s common stock held by one related party investor lapsed and the convertible preferred stock tranche liability was settled. Immediately prior to settlement, the convertible preferred stock tranche liability was remeasured to fair value and was determined to be de minimis because the fixed price of $7.85 per share at which the Company was obligated to issue additional shares of its Series A-2 convertible preferred stock represented fair value as it was the same price per share paid by third-party investors who participated in the Series A Final Closing.</w:t>
      </w:r>
    </w:p>
    <w:p>
      <w:pPr>
        <w:spacing w:after="0" w:line="16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Concurrent with the Series A Final Closing, the Company entered into side letter agreements with three new investors, whereby the Company, amongst other things, granted such investors rights to access certain information and notices, concurrently with and in the same manner as the members of the board of directors or a major investor.</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September 2021, Amgen purchased 12,744,860 shares of the Company’s Series A-2 convertible preferred stock at a purchase price of $7.85 per share, for aggregate proceeds of $100.0 million. Concurrent with the sale of the shares, Amgen and the Company entered into an agreement that limits Amgen’s right to vote as it relates to all matters presented to the Company’s stockholders under its Amended and Restated Certificate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Incorporation, By-Laws, Series A SPA and related agreements governing investors’ rights, except for matters pertaining to the amendment, waiver, and termination of such agreements (the Amgen Voting Rights Letter Agreement). Such voting limitations apply when Amgen’s ownership interest in the Company’s outstanding voting securities exceeds 19.9% of the Company’s total outstanding voting securities or voting power of outstanding single classes or series of the Company’s stock (the Voting Threshold) and remain in effect until an the first to occur of an IPO, the Company becomes subject to period reporting under the Securities Exchange Act, a deemed liquidation event, or a transaction with a special purpose acquisition company (SPAC).</w:t>
      </w:r>
    </w:p>
    <w:p>
      <w:pPr>
        <w:spacing w:after="0" w:line="161"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Subject to certain conditions, (a) upon the Company’s commencement of a Phase 2 clinical study of a Company controlled molecule or the in-licensing or acquisition of a Phase 2 ready or later-stage molecule (the Future Financing Milestone), Amgen is also obligated to provide the Company additional financing of up to $100.0 million by participating in up to two future financings of the Company, in each case by purchasing up $50.0 million in equity (or equity-linked) securities on the same terms and conditions of at least a matching dollar equivalent by one or more third party, and (b) in the event that, prior to the achievement of any Future Financing Milestone, the Company consummates an IPO or a SPAC transaction, Amgen shall (i) purchase up to $30.0 million of shares in an IPO of the Company, in no case greater than 20% of the total gross proceeds of the IPO, or (ii) purchase up to $30.0 million of shares in a SPAC of the Company, in no case greater than 20% of the shares of capital stock of the SPAC (collectively, the Future Financing). The Future Financing is a freestanding financial instrument and is not subject to liability classification and/or derivative accounting. The value of the Future Financing was determined to be de minimis at issuance and as of December 31, 2021 and 2022, as it would be settled based on the same terms and conditions other third parties will receive.</w:t>
      </w:r>
    </w:p>
    <w:p>
      <w:pPr>
        <w:spacing w:after="0" w:line="185"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September 2022, the Company executed a preferred stock purchase agreement (the Series B SPA) and issued 7,425,572 shares of its Series B convertible preferred stock, including 1,274,486 shares to a new investor and 6,151,086 shares to existing investors, two of whom were related parties, at $11.77 per share for aggregate proceeds of $87.4 million in the initial closing of its Series B convertible preferred stock financing (the Series B Initial Closing). The Series B SPA provides that within 90 days of the Series B Initial Closing, the Company may issue and sell on the same terms and conditions, additional shares of its Series B convertible preferred stock to one or more purchasers (Series B Subsequent Closing). The Series B Subsequent Closing is at the option of the Company and therefore was not determined to be a commitment by the Company that is subject to liability classification and/or derivative accounting.</w:t>
      </w:r>
    </w:p>
    <w:p>
      <w:pPr>
        <w:spacing w:after="0" w:line="1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October 2022, the Series B Subsequent Closing occurred, and the Company issued an additional 2,124,143 shares of its Series B convertible preferred stock to a new investor at $11.77 per share for aggregate proceeds of $25.0 million.</w:t>
      </w:r>
    </w:p>
    <w:p>
      <w:pPr>
        <w:spacing w:after="0" w:line="170"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 connection with the Series B SPA, the Company entered into side letter agreements with four investors, whereby the Company, amongst other things, granted or clarified such investors rights to access certain information and notices, concurrently with and in the same manner as a major investor.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the Company’s convertible preferred stock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4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Preference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gridSpan w:val="5"/>
          </w:tcPr>
          <w:p>
            <w:pPr>
              <w:jc w:val="right"/>
              <w:ind w:right="517"/>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3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48,000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Series A-2</w:t>
            </w:r>
          </w:p>
        </w:tc>
        <w:tc>
          <w:tcPr>
            <w:tcW w:w="20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707,000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88,952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693,263</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697,948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20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755,000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94,710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729,858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743,126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20" w:type="dxa"/>
            <w:vAlign w:val="bottom"/>
            <w:gridSpan w:val="3"/>
          </w:tcPr>
          <w:p>
            <w:pPr>
              <w:jc w:val="right"/>
              <w:ind w:right="1600"/>
              <w:spacing w:after="0"/>
              <w:rPr>
                <w:sz w:val="20"/>
                <w:szCs w:val="20"/>
                <w:color w:val="auto"/>
              </w:rPr>
            </w:pPr>
            <w:r>
              <w:rPr>
                <w:rFonts w:ascii="Arial" w:cs="Arial" w:eastAsia="Arial" w:hAnsi="Arial"/>
                <w:sz w:val="18"/>
                <w:szCs w:val="18"/>
                <w:color w:val="auto"/>
              </w:rPr>
              <w:t>F-31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the Company’s convertible preferred stock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Authorized</w:t>
            </w:r>
          </w:p>
        </w:tc>
        <w:tc>
          <w:tcPr>
            <w:tcW w:w="460" w:type="dxa"/>
            <w:vAlign w:val="bottom"/>
            <w:gridSpan w:val="2"/>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Preference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20" w:type="dxa"/>
            <w:vAlign w:val="bottom"/>
            <w:gridSpan w:val="5"/>
          </w:tcPr>
          <w:p>
            <w:pPr>
              <w:jc w:val="right"/>
              <w:ind w:right="556"/>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47,471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Series A-2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697,948</w:t>
            </w: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88,952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693,263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697,948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74,930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112,216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112,395</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convertible preferred stock</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820,349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843,687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the Company’s convertible preferred stock have the following rights, preferences, and privileges: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The holders of each series of convertible preferred stock are entitled to non-cumulative dividends at an annual rate of 6.0% of the original issue price when and if declared by the Company’s board of directors. The dividend rate is subject to adjustment if the Company undertakes any stock splits, stock dividends, combinations, subdivisions, or recapitalization events. Holders of Series B convertible preferred stock and Series A-2 convertible preferred stock are entitled to dividends prior and in preference to any declaration or payment of any dividend to holders of Series A-1 convertible preferred stock and common stock. Holders of the Series A-1 convertible preferred stock are entitled to dividends prior and in preference to any declaration or payment of any dividend to holders of common stock. No dividends have been declared or paid as of December 31, 2022.</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Liquidation Distributions</w:t>
      </w:r>
    </w:p>
    <w:p>
      <w:pPr>
        <w:spacing w:after="0" w:line="117" w:lineRule="exact"/>
        <w:rPr>
          <w:sz w:val="20"/>
          <w:szCs w:val="20"/>
          <w:color w:val="auto"/>
        </w:rPr>
      </w:pPr>
    </w:p>
    <w:p>
      <w:pPr>
        <w:ind w:left="560" w:right="60"/>
        <w:spacing w:after="0" w:line="287" w:lineRule="auto"/>
        <w:rPr>
          <w:sz w:val="20"/>
          <w:szCs w:val="20"/>
          <w:color w:val="auto"/>
        </w:rPr>
      </w:pPr>
      <w:r>
        <w:rPr>
          <w:rFonts w:ascii="Arial" w:cs="Arial" w:eastAsia="Arial" w:hAnsi="Arial"/>
          <w:sz w:val="16"/>
          <w:szCs w:val="16"/>
          <w:color w:val="auto"/>
        </w:rPr>
        <w:t>In the event of any liquidation, dissolution, or winding up of the Company, either voluntary or involuntary, the holders of the then outstanding Series B convertible preferred stock and Series A-2 convertible preferred stock shall be entitled to receive, prior and in preference to any distribution of any of the assets of the Company to the holders of the Series A-1 convertible preferred stock and common stock, a liquidation preference in an amount per share equal to the original issue price (as adjusted for stock splits, stock dividends, and recapitalizations) plus all declared but unpaid dividends on such shares. The holders of the then outstanding Series A-1 convertible preferred stock shall be entitled to receive, prior and in preference to any distribution of any of the assets of the Company to the holders of the common stock, a liquidation preference in an amount per share equal to the original issue price (as adjusted for stock splits, stock dividends, and recapitalizations) plus all declared but unpaid dividends on such shares. Thereafter, any remaining assets of the Company will be distributed, on a pari passu basis, among the holders of the common stock. If the assets and funds available to be distributed to the stockholders shall be insufficient to permit the payment, in full, of any of the liquidation preferences, then the entire assets and funds legally available for distribution to the convertible preferred stock shall be distributed ratably among the holders of convertible preferred stock based on the total number of shares held by each holder.</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The holder of each share of convertible preferred stock is entitled to one vote for each share of common stock into which it would convert. Except as provided by law or other provisions in the Company’s Amended and Restated Certificate of Incorporation, the holders of the convertible preferred stock shall vote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together with the holders of the common stock as a single class on an as-converted basis. So long as 1,274,486, 2,039,177 and 6,372,430 shares of Series B convertible preferred stock, Series A-2 convertible preferred stock, and common stock, respectively, remain outstanding, then (i) the holders of such Series B convertible preferred stock, exclusively, are entitled to elect one director of the Company, (ii) the holders of such Series A-2 convertible preferred stock, exclusively, are entitled to elect three directors of the Company, (iii) the holders of the Company’s common stock, exclusively, are entitled to elect one director of the Company, and (iv) the holders of the Series B convertible preferred stock, Series A-2 convertible preferred stock and common stock, voting together as a single class on an as-converted basis, are entitled to elect four directors of the Company. The holders of the Series A-1 convertible preferred stock are not entitled to elect directors of the Company.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The shares of convertible preferred stock are convertible into shares of common stock at the option of the holder, at any time after the date of issuance of such shares, determined by dividing the original issue price per share by the conversion price in effect at the time of conversion. As of December 31, 2022, the applicable conversion price was $11.77 per share for Series B convertible preferred stock, $7.85 per share for Series A-2 convertible preferred stock and $7.85 per share for Series A-1 convertible preferred stock. The conversion price shall be subject to adjustments for stock splits, stock dividends, combinations, subdivisions, or recapitalization events. In addition, if the Company should issue convertible preferred stock or common stock without consideration or for a consideration per share less than the conversion price for the convertible preferred stock, the conversion price for each series shall automatically be adjusted in accordance with anti-dilution provisions contained in the Company’s Amended and Restated Certificate of Incorporation. Each share of convertible preferred stock shall automatically convert into common stock immediately upon (i) the closing of the sale of common stock in a firm-commitment underwritten public offering pursuant to an effective registration statement under the Securities Act of 1933, as amended, resulting in at least $30.0 million of gross proceeds to the Company (a Qualified IPO), or (ii) the occurrence of an event, specified by vote or written consent of the holders of a majority of the then-outstanding shares of Series B convertible preferred stock and Series A-2 convertible preferred stock.</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 Rights</w:t>
      </w:r>
    </w:p>
    <w:p>
      <w:pPr>
        <w:spacing w:after="0" w:line="117"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Each share of Series B convertible preferred stock, Series A-2 convertible preferred stock and A-1 convertible preferred stock is not mandatorily redeemable.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560"/>
        <w:spacing w:after="0" w:line="290" w:lineRule="auto"/>
        <w:rPr>
          <w:sz w:val="20"/>
          <w:szCs w:val="20"/>
          <w:color w:val="auto"/>
        </w:rPr>
      </w:pPr>
      <w:r>
        <w:rPr>
          <w:rFonts w:ascii="Arial" w:cs="Arial" w:eastAsia="Arial" w:hAnsi="Arial"/>
          <w:sz w:val="16"/>
          <w:szCs w:val="16"/>
          <w:color w:val="auto"/>
        </w:rPr>
        <w:t>Under the Company’s investors’ rights agreement, certain holders of the Company’s convertible preferred stock and common stock have the right to demand that the Company file a registration statement or request that their shares be covered by a registration statement that the Company is otherwise filing. Holders of the Company’s convertible preferred stock have the right to request the Company to file certain registration statements with the SEC for the registration of shares related to the convertible preferred stock.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color w:val="auto"/>
        </w:rPr>
        <w:t>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In October 2022, the Company’s board of directors approved a certificate of amendment to the Company’s amended and restated certificate of incorporation which, among other things, (i) increased the authorized number of shares of the Company’s common stock to 1,210,000,000 shares and (ii) increased the authorized number of shares of the Company’s convertible preferred stock to 820,348,942 shares.</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holders of the Company’s common stock are entitled to one vote per share on all matters to be voted on by the stockholders of the Company and are entitled to dividends, if and when declared by the Company’s board of directors, subject to the prior rights of the preferred stockholders. Common stock outstanding in the consolidated balance sheet and consolidated statement of convertible preferred stock and stockholders’ deficit as of December 31, 2022 includes 3,117,769 shares of restricted stock that vest based on service conditions and are subject to the Company’s right of repurchase upon termination of services and 892,136 shares of restricted stock that vest based on performance conditions (see Note 13). Common stock reserved for future issuance as of the period indicated consisted of the following:</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40" w:type="dxa"/>
            <w:vAlign w:val="bottom"/>
            <w:gridSpan w:val="3"/>
          </w:tcPr>
          <w:p>
            <w:pPr>
              <w:ind w:left="15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820" w:type="dxa"/>
            <w:vAlign w:val="bottom"/>
          </w:tcPr>
          <w:p>
            <w:pPr>
              <w:spacing w:after="0"/>
              <w:rPr>
                <w:sz w:val="14"/>
                <w:szCs w:val="14"/>
                <w:color w:val="auto"/>
              </w:rPr>
            </w:pPr>
          </w:p>
        </w:tc>
        <w:tc>
          <w:tcPr>
            <w:tcW w:w="23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conversion of outstanding convertible preferred stock</w:t>
            </w:r>
          </w:p>
        </w:tc>
        <w:tc>
          <w:tcPr>
            <w:tcW w:w="1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Shares reserved for options to purchase common stock under the Plans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9,379</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issuance under the Plans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6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120,140</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addition, the Company may be required to issue additional shares of its capital stock if certain milestone conditions are met pursuant to the contingent consideration and compensation arrangements associated with the Company’s acquisitions of assets (see Note 7). As of December 31, 2022, the milestone conditions are not probable of being met and no shares have been reserved for potential future issuances.</w:t>
      </w:r>
    </w:p>
    <w:p>
      <w:pPr>
        <w:spacing w:after="0" w:line="16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In March 2021, the Company sold 382,345 shares of its common stock to a co-founder for the benefit of an existing investor in the Company at a purchase price of $2.52 per share, or $1.0 million in the aggregate.</w:t>
      </w:r>
    </w:p>
    <w:p>
      <w:pPr>
        <w:spacing w:after="0" w:line="315"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Warrants</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In September 2020, in connection with the BlackThorn acquisition, the Company issued preferred stock warrants to purchase up to 292,193 shares of Series A-1 convertible preferred stock with an exercise price of $10.60 per share. In December 2022, 210,481 preferred stock warrants were exercised and the remaining 81,712 preferred stock warrants expired as of December 31, 2022. The Company issued 157,371 shares of Series A-1 convertible preferred stock, including 104,563 to a related party, upon the exercise and net exercise of preferred stock warrants.</w:t>
      </w:r>
    </w:p>
    <w:p>
      <w:pPr>
        <w:spacing w:after="0" w:line="302"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7"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2020 Equity Incentive Plan</w:t>
      </w:r>
    </w:p>
    <w:p>
      <w:pPr>
        <w:spacing w:after="0" w:line="121"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In January 2020, the Company adopted the 2020 Equity Incentive Plan (the 2020 Plan) that provides for the grant of incentive stock options, non-statutory stock options, restricted stock awards, restricted stock unit, and other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stock-based awards to employees, directors, and non-employee service providers of the Company. Under the 2020 Plan, the exercise price of stock options granted shall not be less than 100% of the estimated fair market value of the Company’s common stock on the date of grant. The contractual term of stock options granted under the 2020 Plan shall not exceed ten years. Additionally, the exercise price of any stock options granted to a 10% stockholder shall not be less than 110% of the fair market value of the common stock on the date of grant, and the term of such option grant shall not exceed five years. Subject to approval by the Company’s board of directors at the grant date, stock options may include an early exercise feature whereby such option shall be exercisable at any time, subject to the Company’s right to repurchase any unvested portion at the original exercise price upon termination of employment of an option holder. Options and other equity awards become vested and, if applicable, exercisable based on terms determined by the Company’s board of directors or other plan administrator on the date of grant. The Company also has the right of first refusal to purchase any proposed disposition of shares issued under the 2020 Plan. Any shares issued pursuant to unvested stock options are restricted and subject to repurchase by the Company until the conditions for vesting are met. The amounts paid for shares purchased under an early exercise of stock options and subject to repurchase by the Company are reported as a liability and reclassed to stockholders’ deficit once those shares vest.</w:t>
      </w:r>
    </w:p>
    <w:p>
      <w:pPr>
        <w:spacing w:after="0" w:line="172" w:lineRule="exact"/>
        <w:rPr>
          <w:sz w:val="20"/>
          <w:szCs w:val="20"/>
          <w:color w:val="auto"/>
        </w:rPr>
      </w:pPr>
    </w:p>
    <w:p>
      <w:pPr>
        <w:ind w:left="120" w:right="1020"/>
        <w:spacing w:after="0" w:line="277" w:lineRule="auto"/>
        <w:rPr>
          <w:sz w:val="20"/>
          <w:szCs w:val="20"/>
          <w:color w:val="auto"/>
        </w:rPr>
      </w:pPr>
      <w:r>
        <w:rPr>
          <w:rFonts w:ascii="Arial" w:cs="Arial" w:eastAsia="Arial" w:hAnsi="Arial"/>
          <w:sz w:val="18"/>
          <w:szCs w:val="18"/>
          <w:color w:val="auto"/>
        </w:rPr>
        <w:t>As of December 31, 2022, 17,575,038 shares of the Company’s common stock were authorized for issuance under the 2020 Plan, of which 6,343,607 shares remained available for future grants.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2015 Equity Incentive Plan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closing of the BlackThorn acquisition in September 2020, the Company assumed BlackThorn’s 2015 Equity Incentive Plan (the 2015 Plan, and collectively with the 2020 Plan, the Plans), pursuant to which outstanding stock options previously granted under the 2015 Plan converted into stock options to purchase common stock of the Company, which remain subject to the terms and conditions of the 2015 Plan. As of December 31, 2022, 297,002 shares of the Company’s common stock were authorized for issuance under the 2015 Plan. The 2015 Plan was suspended in connection with the closing of the acquisition of BlackThorn in September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under the Plans: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80" w:type="dxa"/>
            <w:vAlign w:val="bottom"/>
            <w:gridSpan w:val="2"/>
          </w:tcPr>
          <w:p>
            <w:pPr>
              <w:jc w:val="center"/>
              <w:ind w:right="508"/>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gridSpan w:val="3"/>
          </w:tcPr>
          <w:p>
            <w:pPr>
              <w:jc w:val="center"/>
              <w:ind w:right="588"/>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488"/>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gridSpan w:val="2"/>
            <w:vMerge w:val="restart"/>
          </w:tcPr>
          <w:p>
            <w:pPr>
              <w:jc w:val="right"/>
              <w:ind w:right="708"/>
              <w:spacing w:after="0"/>
              <w:rPr>
                <w:sz w:val="20"/>
                <w:szCs w:val="20"/>
                <w:color w:val="auto"/>
              </w:rPr>
            </w:pPr>
            <w:r>
              <w:rPr>
                <w:rFonts w:ascii="Arial" w:cs="Arial" w:eastAsia="Arial" w:hAnsi="Arial"/>
                <w:sz w:val="14"/>
                <w:szCs w:val="14"/>
                <w:b w:val="1"/>
                <w:bCs w:val="1"/>
                <w:color w:val="auto"/>
                <w:w w:val="96"/>
              </w:rPr>
              <w:t>Outstanding</w:t>
            </w:r>
          </w:p>
        </w:tc>
        <w:tc>
          <w:tcPr>
            <w:tcW w:w="1280" w:type="dxa"/>
            <w:vAlign w:val="bottom"/>
            <w:gridSpan w:val="3"/>
          </w:tcPr>
          <w:p>
            <w:pPr>
              <w:jc w:val="center"/>
              <w:ind w:right="608"/>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508"/>
              <w:spacing w:after="0" w:line="149" w:lineRule="exact"/>
              <w:rPr>
                <w:sz w:val="20"/>
                <w:szCs w:val="20"/>
                <w:color w:val="auto"/>
              </w:rPr>
            </w:pPr>
            <w:r>
              <w:rPr>
                <w:rFonts w:ascii="Arial" w:cs="Arial" w:eastAsia="Arial" w:hAnsi="Arial"/>
                <w:sz w:val="14"/>
                <w:szCs w:val="14"/>
                <w:b w:val="1"/>
                <w:bCs w:val="1"/>
                <w:color w:val="auto"/>
                <w:w w:val="94"/>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80" w:type="dxa"/>
            <w:vAlign w:val="bottom"/>
            <w:gridSpan w:val="3"/>
          </w:tcPr>
          <w:p>
            <w:pPr>
              <w:jc w:val="center"/>
              <w:ind w:right="588"/>
              <w:spacing w:after="0" w:line="149" w:lineRule="exact"/>
              <w:rPr>
                <w:sz w:val="20"/>
                <w:szCs w:val="20"/>
                <w:color w:val="auto"/>
              </w:rPr>
            </w:pPr>
            <w:r>
              <w:rPr>
                <w:rFonts w:ascii="Arial" w:cs="Arial" w:eastAsia="Arial" w:hAnsi="Arial"/>
                <w:sz w:val="14"/>
                <w:szCs w:val="14"/>
                <w:b w:val="1"/>
                <w:bCs w:val="1"/>
                <w:color w:val="auto"/>
                <w:w w:val="95"/>
              </w:rPr>
              <w:t>Price Per</w:t>
            </w:r>
          </w:p>
        </w:tc>
        <w:tc>
          <w:tcPr>
            <w:tcW w:w="1380" w:type="dxa"/>
            <w:vAlign w:val="bottom"/>
            <w:gridSpan w:val="2"/>
          </w:tcPr>
          <w:p>
            <w:pPr>
              <w:jc w:val="center"/>
              <w:ind w:right="48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Stock Options</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Term (years)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0"/>
              </w:rPr>
              <w:t>(in thousands, except</w:t>
            </w:r>
          </w:p>
        </w:tc>
        <w:tc>
          <w:tcPr>
            <w:tcW w:w="66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88"/>
              </w:rPr>
              <w:t>per share</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amounts and</w:t>
            </w:r>
          </w:p>
        </w:tc>
        <w:tc>
          <w:tcPr>
            <w:tcW w:w="58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w w:val="82"/>
              </w:rPr>
              <w:t>years)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2900" w:type="dxa"/>
            <w:vAlign w:val="bottom"/>
            <w:gridSpan w:val="3"/>
            <w:shd w:val="clear" w:color="auto" w:fill="CCEEFF"/>
          </w:tcPr>
          <w:p>
            <w:pPr>
              <w:jc w:val="right"/>
              <w:ind w:right="648"/>
              <w:spacing w:after="0"/>
              <w:rPr>
                <w:sz w:val="20"/>
                <w:szCs w:val="20"/>
                <w:color w:val="auto"/>
              </w:rPr>
            </w:pPr>
            <w:r>
              <w:rPr>
                <w:rFonts w:ascii="Arial" w:cs="Arial" w:eastAsia="Arial" w:hAnsi="Arial"/>
                <w:sz w:val="18"/>
                <w:szCs w:val="18"/>
                <w:color w:val="auto"/>
              </w:rPr>
              <w:t>5,979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2.97</w:t>
            </w: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10,614</w:t>
            </w: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900" w:type="dxa"/>
            <w:vAlign w:val="bottom"/>
            <w:gridSpan w:val="3"/>
          </w:tcPr>
          <w:p>
            <w:pPr>
              <w:jc w:val="right"/>
              <w:ind w:right="648"/>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4.52</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29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3.33</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2900" w:type="dxa"/>
            <w:vAlign w:val="bottom"/>
            <w:gridSpan w:val="3"/>
          </w:tcPr>
          <w:p>
            <w:pPr>
              <w:jc w:val="right"/>
              <w:ind w:right="588"/>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2.77</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29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3.98</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Outstanding as of December 31, 2022</w:t>
            </w:r>
          </w:p>
        </w:tc>
        <w:tc>
          <w:tcPr>
            <w:tcW w:w="1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24,085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2022</w:t>
            </w:r>
          </w:p>
        </w:tc>
        <w:tc>
          <w:tcPr>
            <w:tcW w:w="2900" w:type="dxa"/>
            <w:vAlign w:val="bottom"/>
            <w:gridSpan w:val="3"/>
            <w:shd w:val="clear" w:color="auto" w:fill="CCEEFF"/>
          </w:tcPr>
          <w:p>
            <w:pPr>
              <w:jc w:val="right"/>
              <w:ind w:right="648"/>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3.42</w:t>
            </w: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Exercisable as of December 31, 2022</w:t>
            </w:r>
          </w:p>
        </w:tc>
        <w:tc>
          <w:tcPr>
            <w:tcW w:w="2900" w:type="dxa"/>
            <w:vAlign w:val="bottom"/>
            <w:gridSpan w:val="3"/>
          </w:tcPr>
          <w:p>
            <w:pPr>
              <w:jc w:val="right"/>
              <w:ind w:right="648"/>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3.31</w:t>
            </w: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7,681</w:t>
            </w:r>
          </w:p>
        </w:tc>
        <w:tc>
          <w:tcPr>
            <w:tcW w:w="0" w:type="dxa"/>
            <w:vAlign w:val="bottom"/>
          </w:tcPr>
          <w:p>
            <w:pPr>
              <w:spacing w:after="0"/>
              <w:rPr>
                <w:sz w:val="1"/>
                <w:szCs w:val="1"/>
                <w:color w:val="auto"/>
              </w:rPr>
            </w:pPr>
          </w:p>
        </w:tc>
      </w:tr>
      <w:tr>
        <w:trPr>
          <w:trHeight w:val="350"/>
        </w:trPr>
        <w:tc>
          <w:tcPr>
            <w:tcW w:w="3820" w:type="dxa"/>
            <w:vAlign w:val="bottom"/>
          </w:tcPr>
          <w:p>
            <w:pPr>
              <w:spacing w:after="0"/>
              <w:rPr>
                <w:sz w:val="24"/>
                <w:szCs w:val="24"/>
                <w:color w:val="auto"/>
              </w:rPr>
            </w:pPr>
          </w:p>
        </w:tc>
        <w:tc>
          <w:tcPr>
            <w:tcW w:w="2900" w:type="dxa"/>
            <w:vAlign w:val="bottom"/>
            <w:gridSpan w:val="3"/>
          </w:tcPr>
          <w:p>
            <w:pPr>
              <w:jc w:val="right"/>
              <w:ind w:right="1408"/>
              <w:spacing w:after="0"/>
              <w:rPr>
                <w:sz w:val="20"/>
                <w:szCs w:val="20"/>
                <w:color w:val="auto"/>
              </w:rPr>
            </w:pPr>
            <w:r>
              <w:rPr>
                <w:rFonts w:ascii="Arial" w:cs="Arial" w:eastAsia="Arial" w:hAnsi="Arial"/>
                <w:sz w:val="18"/>
                <w:szCs w:val="18"/>
                <w:color w:val="auto"/>
              </w:rPr>
              <w:t>F-35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The aggregate intrinsic value of stock options outstanding, exercisable, vested and exercisable is calculated as the difference between the exercise price of the underlying stock options, and the fair value of the Company’s common stock, as determined by the Company’s board of directors.</w:t>
      </w:r>
    </w:p>
    <w:p>
      <w:pPr>
        <w:spacing w:after="0" w:line="12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weighted-average grant-date fair value per share of stock options granted during the year ended December 31, 2021 and 2022 was $2.91 and $3.77 per share, respectively. The total grant-date fair value of options that vested during the year ended December 31, 2021 and 2022 was $2.3 million and $5.2 million, respectively.</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stock option activity table above excludes options to purchase 363,227 shares of the Company’s common stock issued to the Company’s scientific advisors which vest based on the achievement of certain performance conditions to be separately defined and approved by the Company’s board of directors. As the performance conditions had not been determined as of December 31, 2022, the criteria for establishing a grant date, and accordingly a measurement date, were not met as of that date.</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stock option activity table above also excludes options granted to purchase 446,068 shares of common stock that have market and performance conditions granted to one of the Company’s executives (and discussed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Stock Options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fair value of stock options granted for employee and non-employee awards was estimated at the grant date using the Black-Scholes option pricing model based on the following assumptions: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4"/>
                <w:szCs w:val="14"/>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2"/>
          </w:tcPr>
          <w:p>
            <w:pPr>
              <w:jc w:val="right"/>
              <w:ind w:right="495"/>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96.5%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 91.1%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 7.1</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0"/>
                <w:szCs w:val="20"/>
                <w:color w:val="auto"/>
              </w:rPr>
            </w:pPr>
            <w:r>
              <w:rPr>
                <w:rFonts w:ascii="Arial" w:cs="Arial" w:eastAsia="Arial" w:hAnsi="Arial"/>
                <w:sz w:val="18"/>
                <w:szCs w:val="18"/>
                <w:color w:val="auto"/>
              </w:rPr>
              <w:t>– 6.5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 4.2%</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color w:val="auto"/>
              </w:rPr>
              <w:t>— %</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there is no trading history for the Company’s common stock, the Company has determined expected volatility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average historical stock price volatility of comparable publicly-traded companies and expects to continue to do so until such time as it has adequate historical data regarding the volatility of its own traded stock price. The comparable companies are chosen based on their similar size, stage in the life cycle or area of therapeutic focus. The historical volatility is calculated based on a period of time commensurate with the expected term assumption.</w:t>
      </w:r>
    </w:p>
    <w:p>
      <w:pPr>
        <w:spacing w:after="0" w:line="80"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Company’s stock options has been estimated using the simplified method for awards that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plain-vanilla stock options. The simplified method calculates the expected term as the average of the time-to-vesting and the contractual life of the stock options.</w:t>
      </w:r>
    </w:p>
    <w:p>
      <w:pPr>
        <w:spacing w:after="0" w:line="76"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was based on the U.S. Treasury yield curve in effect at the time of grant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for time periods approximately equal to the expected term of the award.</w:t>
      </w:r>
    </w:p>
    <w:p>
      <w:pPr>
        <w:spacing w:after="0" w:line="62"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expected dividend yield assumption is zero as the Company has never paid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the foreseeable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Early Exercise of Employee Stock Options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Company’s 2020 Plan allows certain employees to exercise their stock options prior to vesting into shares of restricted common stock. The proceeds from early exercised stock options are recorded as liabilities in the consolidated balance sheets at the time of exercise and reclassified to common stock and additional paid-in capital as the underlying stock options vest and the Company’s repurchase right lapses. During the year ended December 31, 2021, the Company issued 562,684 shares of restricted common stock upon the early exercise of unvested stock options subject to service based vesting conditions for total cash proceeds received of $1.4 million at a weighted-average exercise price of $2.52 per share. During the year ended December 31, 2022, the Company issued 441,923 shares of restricted common stock upon the early exercise of unvested stock options subject to service based vesting conditions for total cash proceeds received of $2.1 million at a weighted-average exercise price of $4.63 per share. As of December 31, 2022, 531,987 shares of restricted common stock remained outstanding and unvested.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Company’s 2020 Plan allows for the grant of restricted common stock to certain employees, executives, non-employee scientific advisors, and third-party service providers. The restrictions lapse over time primarily according to service-based vesting conditions of each award. In the event of a voluntary or involuntary termination of the holder’s continuous provision of services to the Company, any unvested portion of the restricted stock award are automatically forfeited.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22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Per Share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0" w:type="dxa"/>
            <w:vAlign w:val="bottom"/>
          </w:tcPr>
          <w:p>
            <w:pPr>
              <w:spacing w:after="0"/>
              <w:rPr>
                <w:sz w:val="11"/>
                <w:szCs w:val="11"/>
                <w:color w:val="auto"/>
              </w:rPr>
            </w:pPr>
          </w:p>
        </w:tc>
        <w:tc>
          <w:tcPr>
            <w:tcW w:w="252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0"/>
              </w:rPr>
              <w:t>(in thousands, except per share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amounts)</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as of December 31, 2021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as of December 31, 2022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restricted stock activity table above excludes 509,792 shares of restricted common stock issued to certain of the Company’s scientific advisors which vest based on the achievement of certain performance conditions to be separately defined and approved by the Company’s board of directors. As the performance conditions had not been determined as of December 31, 2022, the criteria for establishing a grant date, and accordingly a measurement date, were not met as of that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 with Market Conditions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In June 2021, the Company granted stock options to purchase 446,068 shares of its common stock to one of its executive officers with an exercise price of $2.52 per share that contain both market and service conditions (the Market Award). Subject to the holder’s continued service, the Market Award provided for vesting in four equal tranches once the Company’s stock price exceeded certain thresholds. The original grant-date fair value of the Market Award of $0.9 million was determined using a Monte Carlo simulation model using an expected volatility of 100.0% and risk-free rate of 1.6%.</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January 2022, the Company amended the terms of the Market Award such that the award will vest in three modified tranches. One tranche of 223,034 stock options is based on a performance condition and two tranches of 111,517 stock options each are based on revised Company stock price thresholds and/or vesting schedules, subject to the holder’s continued service. The modification resulting in a performance-based tranche was determined to be a probable-to-improbable modification and the modification resulting in two revised market-based tranches were determined to be probable-to-probable modifications. The fair value of the performance-based tranche was estimated using the Black-Scholes Model using an expected volatility of 100.0%, a risk-free rate of 1.8% and an expected term of 9.4 years. The fair value of the market-based tranches was determined using a Monte Carlo simulation model using an expected volatility of 100.0% and risk-free rate of 1.8%. The modification resulted in $0.3 million in total incremental expense.</w:t>
      </w:r>
    </w:p>
    <w:p>
      <w:pPr>
        <w:spacing w:after="0" w:line="166" w:lineRule="exact"/>
        <w:rPr>
          <w:sz w:val="20"/>
          <w:szCs w:val="20"/>
          <w:color w:val="auto"/>
        </w:rPr>
      </w:pPr>
    </w:p>
    <w:p>
      <w:pPr>
        <w:jc w:val="both"/>
        <w:ind w:left="120" w:right="80"/>
        <w:spacing w:after="0" w:line="287" w:lineRule="auto"/>
        <w:rPr>
          <w:sz w:val="20"/>
          <w:szCs w:val="20"/>
          <w:color w:val="auto"/>
        </w:rPr>
      </w:pPr>
      <w:r>
        <w:rPr>
          <w:rFonts w:ascii="Arial" w:cs="Arial" w:eastAsia="Arial" w:hAnsi="Arial"/>
          <w:sz w:val="16"/>
          <w:szCs w:val="16"/>
          <w:color w:val="auto"/>
        </w:rPr>
        <w:t>The unrecognized original grant-date fair value, together with any incremental expense, is recognized as compensation using the accelerated attribution method for each tranche over the requisite service period. For the year ended December 31, 2021 and 2022, the Company recognized $0.1 million and $0.4 million of stock-based compensation related to the market-based tranches, respectively, based on an estimated requisite period of up to 6.0 years.</w:t>
      </w:r>
    </w:p>
    <w:p>
      <w:pPr>
        <w:spacing w:after="0" w:line="2" w:lineRule="exact"/>
        <w:rPr>
          <w:sz w:val="20"/>
          <w:szCs w:val="20"/>
          <w:color w:val="auto"/>
        </w:rPr>
      </w:pPr>
    </w:p>
    <w:p>
      <w:pPr>
        <w:ind w:left="120" w:right="460"/>
        <w:spacing w:after="0" w:line="290" w:lineRule="auto"/>
        <w:rPr>
          <w:sz w:val="20"/>
          <w:szCs w:val="20"/>
          <w:color w:val="auto"/>
        </w:rPr>
      </w:pPr>
      <w:r>
        <w:rPr>
          <w:rFonts w:ascii="Arial" w:cs="Arial" w:eastAsia="Arial" w:hAnsi="Arial"/>
          <w:sz w:val="17"/>
          <w:szCs w:val="17"/>
          <w:color w:val="auto"/>
        </w:rPr>
        <w:t>As of December 31, 2022, none of the market conditions for the market-based tranches have been met. For the year ended December 31, 2022, no expense was recognized for the performance-based tranche as the performance conditions were not probable of being met.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 with Performance Conditions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2020, the Company approved 700,965 stock options and 892,136 restricted common stock to certain of the Company’s scientific advisors, which vest based on the achievement of performance conditions to be determined and continued service to the Company. During the year ended December 31, 2022, the Company’s board of directors established performance conditions, consisting of certain development milestones, for 337,738 stock options and 382,344 restricted common stock such that the criteria for establishing a grant date, and accordingly a measurement date, were met for these performance stock options and performance restricted common. As of December 31, 2022, it was probable that the milestones would be met for certain of the performance stock options and performance restricted stock that were granted in 2022 and for which expense was recognized using the accelerated attribution method. For the year ended December 31, 2022, the Company recognized expense of $0.8 million related to these awards with performance conditions that were probable of being met.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summarizes total stock-based compensation included in the Company’s consolidated statements of operations and comprehensive loss: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2"/>
                <w:szCs w:val="12"/>
                <w:color w:val="auto"/>
              </w:rPr>
            </w:pPr>
          </w:p>
        </w:tc>
      </w:tr>
      <w:tr>
        <w:trPr>
          <w:trHeight w:val="155"/>
        </w:trPr>
        <w:tc>
          <w:tcPr>
            <w:tcW w:w="4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4,252</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4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8,298</w:t>
            </w:r>
          </w:p>
        </w:tc>
      </w:tr>
      <w:tr>
        <w:trPr>
          <w:trHeight w:val="20"/>
        </w:trPr>
        <w:tc>
          <w:tcPr>
            <w:tcW w:w="4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As of December 31, 2022, there was $20.1 million and $2.6 million of unrecognized stock-based compensation related to stock options and restricted stock awards outstanding, respectively, including stock options and stock awards for which achievement of milestones was not probable, which were expected to be recognized over weighted-average remaining service periods of 2.3 years and 1.3 years, respectively.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Agreement</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May 2020, the Company entered into a services agreement with a vendor for assistance in evaluating assets and technologies in the field of neurodegeneration. As consideration, the Company issued 127,448 shares of its restricted common stock with a grant-date fair value of $0.4 million, subject to a right of forfeiture that lapsed as to 50% of the shares in May 2021 and lapses as to the remaining 50% of the shares in May 2022. In May 2021, the right of forfeiture lapsed as to 50% of the shares. In April 2022, the services agreement was amended and the right of forfeiture for 12.5% of the shares was modified to allow for vesting with an immaterial incremental amount of stock-based compensation recognized, and the remaining 37.5% of the shares were forfeited. In addition, in return for services provided, the Company agreed to issue the vendor additional shares of its common stock representing a value of $1.0 million upon the achievement of certain milestones tied to the successful in-license or acquisition of assets (the Milestone Shares). The Company concluded the Milestone Shares are stock settled debt that are required to be classified as a liability and recognized at such time the milestones are probable of being met. As of December 31, 2022, the milestones were not probable of being met.</w:t>
      </w:r>
    </w:p>
    <w:p>
      <w:pPr>
        <w:spacing w:after="0" w:line="311"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no income tax expense for the year ended December 31, 2021 and 2022 due to its history of operating losses.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Company’s federal income tax rate and effective income tax rate is summarized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48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9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taxes</w:t>
            </w:r>
          </w:p>
        </w:tc>
        <w:tc>
          <w:tcPr>
            <w:tcW w:w="2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21.0%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4020" w:type="dxa"/>
            <w:vAlign w:val="bottom"/>
            <w:gridSpan w:val="3"/>
          </w:tcPr>
          <w:p>
            <w:pPr>
              <w:jc w:val="right"/>
              <w:ind w:right="870"/>
              <w:spacing w:after="0"/>
              <w:rPr>
                <w:sz w:val="20"/>
                <w:szCs w:val="20"/>
                <w:color w:val="auto"/>
              </w:rPr>
            </w:pPr>
            <w:r>
              <w:rPr>
                <w:rFonts w:ascii="Arial" w:cs="Arial" w:eastAsia="Arial" w:hAnsi="Arial"/>
                <w:sz w:val="18"/>
                <w:szCs w:val="18"/>
                <w:color w:val="auto"/>
              </w:rPr>
              <w:t>3.9</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3.7</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402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(0.2)</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4020" w:type="dxa"/>
            <w:vAlign w:val="bottom"/>
            <w:gridSpan w:val="3"/>
          </w:tcPr>
          <w:p>
            <w:pPr>
              <w:jc w:val="right"/>
              <w:ind w:right="870"/>
              <w:spacing w:after="0"/>
              <w:rPr>
                <w:sz w:val="20"/>
                <w:szCs w:val="20"/>
                <w:color w:val="auto"/>
              </w:rPr>
            </w:pPr>
            <w:r>
              <w:rPr>
                <w:rFonts w:ascii="Arial" w:cs="Arial" w:eastAsia="Arial" w:hAnsi="Arial"/>
                <w:sz w:val="18"/>
                <w:szCs w:val="18"/>
                <w:color w:val="auto"/>
              </w:rPr>
              <w:t>0.9</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State Rate Adjustment</w:t>
            </w:r>
          </w:p>
        </w:tc>
        <w:tc>
          <w:tcPr>
            <w:tcW w:w="2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4020" w:type="dxa"/>
            <w:vAlign w:val="bottom"/>
            <w:gridSpan w:val="3"/>
          </w:tcPr>
          <w:p>
            <w:pPr>
              <w:jc w:val="right"/>
              <w:ind w:right="810"/>
              <w:spacing w:after="0"/>
              <w:rPr>
                <w:sz w:val="20"/>
                <w:szCs w:val="20"/>
                <w:color w:val="auto"/>
              </w:rPr>
            </w:pPr>
            <w:r>
              <w:rPr>
                <w:rFonts w:ascii="Arial" w:cs="Arial" w:eastAsia="Arial" w:hAnsi="Arial"/>
                <w:sz w:val="18"/>
                <w:szCs w:val="18"/>
                <w:color w:val="auto"/>
              </w:rPr>
              <w:t>(0.1)</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02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(25.5)</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(28.2)</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0"/>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3480" w:type="dxa"/>
            <w:vAlign w:val="bottom"/>
          </w:tcPr>
          <w:p>
            <w:pPr>
              <w:spacing w:after="0"/>
              <w:rPr>
                <w:sz w:val="24"/>
                <w:szCs w:val="24"/>
                <w:color w:val="auto"/>
              </w:rPr>
            </w:pPr>
          </w:p>
        </w:tc>
        <w:tc>
          <w:tcPr>
            <w:tcW w:w="4020" w:type="dxa"/>
            <w:vAlign w:val="bottom"/>
            <w:gridSpan w:val="3"/>
          </w:tcPr>
          <w:p>
            <w:pPr>
              <w:jc w:val="right"/>
              <w:ind w:right="3050"/>
              <w:spacing w:after="0"/>
              <w:rPr>
                <w:sz w:val="20"/>
                <w:szCs w:val="20"/>
                <w:color w:val="auto"/>
              </w:rPr>
            </w:pPr>
            <w:r>
              <w:rPr>
                <w:rFonts w:ascii="Arial" w:cs="Arial" w:eastAsia="Arial" w:hAnsi="Arial"/>
                <w:sz w:val="18"/>
                <w:szCs w:val="18"/>
                <w:color w:val="auto"/>
              </w:rPr>
              <w:t>F-39</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Deferred tax assets and liabilities reflect the net tax effects of net operating loss and tax credit carryforwards and temporary differences between the carrying amount of assets and liabilities for financial reporting and the amounts used for tax purposes. Significant components of the Company’s deferred tax assets and liabilities are summarized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55"/>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720"/>
              <w:spacing w:after="0"/>
              <w:rPr>
                <w:sz w:val="20"/>
                <w:szCs w:val="20"/>
                <w:color w:val="auto"/>
              </w:rPr>
            </w:pPr>
            <w:r>
              <w:rPr>
                <w:rFonts w:ascii="Arial" w:cs="Arial" w:eastAsia="Arial" w:hAnsi="Arial"/>
                <w:sz w:val="18"/>
                <w:szCs w:val="18"/>
                <w:color w:val="auto"/>
              </w:rPr>
              <w:t>Net operating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53,019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63,937</w:t>
            </w: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Capitalized license agreements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36,057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39,113</w:t>
            </w:r>
          </w:p>
        </w:tc>
      </w:tr>
      <w:tr>
        <w:trPr>
          <w:trHeight w:val="216"/>
        </w:trPr>
        <w:tc>
          <w:tcPr>
            <w:tcW w:w="5800" w:type="dxa"/>
            <w:vAlign w:val="bottom"/>
          </w:tcPr>
          <w:p>
            <w:pPr>
              <w:ind w:left="720"/>
              <w:spacing w:after="0"/>
              <w:rPr>
                <w:sz w:val="20"/>
                <w:szCs w:val="20"/>
                <w:color w:val="auto"/>
              </w:rPr>
            </w:pPr>
            <w:r>
              <w:rPr>
                <w:rFonts w:ascii="Arial" w:cs="Arial" w:eastAsia="Arial" w:hAnsi="Arial"/>
                <w:sz w:val="18"/>
                <w:szCs w:val="18"/>
                <w:color w:val="auto"/>
              </w:rPr>
              <w:t>Capitalized research and development expense</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7,183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26,132</w:t>
            </w: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Research and development credits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6,018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8,425</w:t>
            </w:r>
          </w:p>
        </w:tc>
      </w:tr>
      <w:tr>
        <w:trPr>
          <w:trHeight w:val="216"/>
        </w:trPr>
        <w:tc>
          <w:tcPr>
            <w:tcW w:w="5800" w:type="dxa"/>
            <w:vAlign w:val="bottom"/>
          </w:tcPr>
          <w:p>
            <w:pPr>
              <w:ind w:left="720"/>
              <w:spacing w:after="0"/>
              <w:rPr>
                <w:sz w:val="20"/>
                <w:szCs w:val="20"/>
                <w:color w:val="auto"/>
              </w:rPr>
            </w:pPr>
            <w:r>
              <w:rPr>
                <w:rFonts w:ascii="Arial" w:cs="Arial" w:eastAsia="Arial" w:hAnsi="Arial"/>
                <w:sz w:val="18"/>
                <w:szCs w:val="18"/>
                <w:color w:val="auto"/>
              </w:rPr>
              <w:t>Compensation related</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1,854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3,496</w:t>
            </w: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r>
      <w:tr>
        <w:trPr>
          <w:trHeight w:val="216"/>
        </w:trPr>
        <w:tc>
          <w:tcPr>
            <w:tcW w:w="5800" w:type="dxa"/>
            <w:vAlign w:val="bottom"/>
          </w:tcPr>
          <w:p>
            <w:pPr>
              <w:ind w:left="7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r>
      <w:tr>
        <w:trPr>
          <w:trHeight w:val="27"/>
        </w:trPr>
        <w:tc>
          <w:tcPr>
            <w:tcW w:w="5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104,919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143,650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w w:val="95"/>
              </w:rPr>
              <w:t>(104,446)</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(141,557)</w:t>
            </w:r>
          </w:p>
        </w:tc>
      </w:tr>
      <w:tr>
        <w:trPr>
          <w:trHeight w:val="27"/>
        </w:trPr>
        <w:tc>
          <w:tcPr>
            <w:tcW w:w="5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less valuation allowance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(2,028)</w:t>
            </w: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4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7"/>
        </w:trPr>
        <w:tc>
          <w:tcPr>
            <w:tcW w:w="5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(2,093)</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Company’s recent history of operating losses, the Company believes that recognition of the deferred tax assets arising from the above-mentioned future tax benefits is currently not likely to be realized and, accordingly, has provided a valuation allowance on its deferred tax assets. The valuation allowance increased by $60.4 million and $37.1 million for the year ended December 31, 2021 and 2022, respectively, primarily due to the increase in the Company’s net operating losses (NOL) during the periods and deferred tax assets related to capitalized research and development expenses.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NOLs and tax credit carryforwards as of December 31, 2022, were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Years</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NOLs, federal (post-December 31, 2017)</w:t>
            </w:r>
          </w:p>
        </w:tc>
        <w:tc>
          <w:tcPr>
            <w:tcW w:w="1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214,226</w:t>
            </w:r>
          </w:p>
        </w:tc>
        <w:tc>
          <w:tcPr>
            <w:tcW w:w="4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7"/>
                <w:szCs w:val="17"/>
                <w:color w:val="auto"/>
                <w:w w:val="97"/>
              </w:rPr>
              <w:t>Indefinite</w:t>
            </w:r>
            <w:r>
              <w:rPr>
                <w:rFonts w:ascii="Arial" w:cs="Arial" w:eastAsia="Arial" w:hAnsi="Arial"/>
                <w:sz w:val="24"/>
                <w:szCs w:val="24"/>
                <w:color w:val="auto"/>
                <w:w w:val="97"/>
                <w:vertAlign w:val="superscript"/>
              </w:rPr>
              <w:t>(1)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NOLs, federal (pre-January 1, 2018)</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40,370</w:t>
            </w:r>
          </w:p>
        </w:tc>
        <w:tc>
          <w:tcPr>
            <w:tcW w:w="4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2034 through 2036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NOLs, state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207,398</w:t>
            </w:r>
          </w:p>
        </w:tc>
        <w:tc>
          <w:tcPr>
            <w:tcW w:w="4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2034 through 2042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Research and development tax credits, federal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8,303</w:t>
            </w:r>
          </w:p>
        </w:tc>
        <w:tc>
          <w:tcPr>
            <w:tcW w:w="4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2034 through 2042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California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Research and development tax credits, state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4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2034 through 2037</w:t>
            </w:r>
          </w:p>
        </w:tc>
      </w:tr>
    </w:tbl>
    <w:p>
      <w:pPr>
        <w:spacing w:after="0" w:line="214" w:lineRule="exact"/>
        <w:rPr>
          <w:sz w:val="20"/>
          <w:szCs w:val="20"/>
          <w:color w:val="auto"/>
        </w:rPr>
      </w:pPr>
    </w:p>
    <w:p>
      <w:pPr>
        <w:ind w:left="540" w:right="100" w:hanging="424"/>
        <w:spacing w:after="0" w:line="207" w:lineRule="auto"/>
        <w:tabs>
          <w:tab w:leader="none" w:pos="540" w:val="left"/>
        </w:tabs>
        <w:numPr>
          <w:ilvl w:val="0"/>
          <w:numId w:val="141"/>
        </w:numPr>
        <w:rPr>
          <w:rFonts w:ascii="Arial" w:cs="Arial" w:eastAsia="Arial" w:hAnsi="Arial"/>
          <w:sz w:val="27"/>
          <w:szCs w:val="27"/>
          <w:color w:val="auto"/>
          <w:vertAlign w:val="superscript"/>
        </w:rPr>
      </w:pPr>
      <w:r>
        <w:rPr>
          <w:rFonts w:ascii="Arial" w:cs="Arial" w:eastAsia="Arial" w:hAnsi="Arial"/>
          <w:sz w:val="18"/>
          <w:szCs w:val="18"/>
          <w:color w:val="auto"/>
        </w:rPr>
        <w:t>NOL carryforward generated after 2017 which can be carried forward indefinitely and can generally be used to offset up to 80% of future taxable income.</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Utilization of the NOL carryforwards and research and development tax credit carryforwards may be subject to a substantial annual limitation under Section 382 of the Internal Revenue Code of 1986, as amended (Section 382)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including changes of control associated with the acquisitions of assets. Any limitation may result in expiration of a portion of the NOL carryforwards or research and development tax credit carryforwards before utilization; however, such limitation, if any, would not have an impact on the Company’s financial statement due to the full valuation.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balance of total gross unrecognized tax benefits is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2021</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ind w:left="20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of unrecognized tax benefits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Gross increases based on tax positions related to current year</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increases based on tax positions related to prior years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Gross increases based on tax positions related to acquired entities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of unrecognized tax benefits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unrecognized tax benefits, if recognized, would not have an impact on the Company’s effective tax rate assuming the Company continues to maintain a full valuation allowance position. As of December 31, 2022, no significant increases or decreases are expected to the Company’s uncertain tax positions within the next twelve months.</w:t>
      </w:r>
    </w:p>
    <w:p>
      <w:pPr>
        <w:spacing w:after="0" w:line="184"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Company files income tax returns in the United States, and the states of California and Massachusetts. Due to net operating loss carryforwards, all years effectively remain open for income tax examination by tax authorities in the United States and states in which the Company files tax returns.</w:t>
      </w:r>
    </w:p>
    <w:p>
      <w:pPr>
        <w:spacing w:after="0" w:line="268"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computation of basic and diluted net loss per share: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gridSpan w:val="5"/>
          </w:tcPr>
          <w:p>
            <w:pPr>
              <w:jc w:val="center"/>
              <w:ind w:right="95"/>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12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(237,312)</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(130,904)</w:t>
            </w:r>
          </w:p>
        </w:tc>
      </w:tr>
      <w:tr>
        <w:trPr>
          <w:trHeight w:val="20"/>
        </w:trPr>
        <w:tc>
          <w:tcPr>
            <w:tcW w:w="5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4"/>
              </w:rPr>
              <w:t>Weighted-average common shares outstanding, basic, and diluted</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21,897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27,207</w:t>
            </w:r>
          </w:p>
        </w:tc>
      </w:tr>
      <w:tr>
        <w:trPr>
          <w:trHeight w:val="20"/>
        </w:trPr>
        <w:tc>
          <w:tcPr>
            <w:tcW w:w="5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(10.84)</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w:t>
            </w:r>
          </w:p>
        </w:tc>
      </w:tr>
      <w:tr>
        <w:trPr>
          <w:trHeight w:val="20"/>
        </w:trPr>
        <w:tc>
          <w:tcPr>
            <w:tcW w:w="5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5020" w:type="dxa"/>
            <w:vAlign w:val="bottom"/>
          </w:tcPr>
          <w:p>
            <w:pPr>
              <w:spacing w:after="0"/>
              <w:rPr>
                <w:sz w:val="24"/>
                <w:szCs w:val="24"/>
                <w:color w:val="auto"/>
              </w:rPr>
            </w:pPr>
          </w:p>
        </w:tc>
        <w:tc>
          <w:tcPr>
            <w:tcW w:w="3000" w:type="dxa"/>
            <w:vAlign w:val="bottom"/>
            <w:gridSpan w:val="2"/>
          </w:tcPr>
          <w:p>
            <w:pPr>
              <w:jc w:val="right"/>
              <w:ind w:right="2340"/>
              <w:spacing w:after="0"/>
              <w:rPr>
                <w:sz w:val="20"/>
                <w:szCs w:val="20"/>
                <w:color w:val="auto"/>
              </w:rPr>
            </w:pPr>
            <w:r>
              <w:rPr>
                <w:rFonts w:ascii="Arial" w:cs="Arial" w:eastAsia="Arial" w:hAnsi="Arial"/>
                <w:sz w:val="18"/>
                <w:szCs w:val="18"/>
                <w:color w:val="auto"/>
              </w:rPr>
              <w:t>F-41</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for the periods presented because including them would have been antidilutive: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82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3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r>
      <w:tr>
        <w:trPr>
          <w:trHeight w:val="155"/>
        </w:trPr>
        <w:tc>
          <w:tcPr>
            <w:tcW w:w="8300" w:type="dxa"/>
            <w:vAlign w:val="bottom"/>
          </w:tcPr>
          <w:p>
            <w:pPr>
              <w:spacing w:after="0"/>
              <w:rPr>
                <w:sz w:val="13"/>
                <w:szCs w:val="13"/>
                <w:color w:val="auto"/>
              </w:rPr>
            </w:pPr>
          </w:p>
        </w:tc>
        <w:tc>
          <w:tcPr>
            <w:tcW w:w="1760" w:type="dxa"/>
            <w:vAlign w:val="bottom"/>
            <w:gridSpan w:val="4"/>
          </w:tcPr>
          <w:p>
            <w:pPr>
              <w:jc w:val="right"/>
              <w:ind w:right="352"/>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94,710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104,417</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Performance stock options (with performance conditions to be established)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701</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Early exercised stock options subject to future vesting</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2,902</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Performance restricted stock (with performance conditions to be established)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108,102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117,294</w:t>
            </w:r>
          </w:p>
        </w:tc>
        <w:tc>
          <w:tcPr>
            <w:tcW w:w="6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right="680"/>
        <w:spacing w:after="0" w:line="342" w:lineRule="auto"/>
        <w:rPr>
          <w:sz w:val="20"/>
          <w:szCs w:val="20"/>
          <w:color w:val="auto"/>
        </w:rPr>
      </w:pPr>
      <w:r>
        <w:rPr>
          <w:rFonts w:ascii="Arial" w:cs="Arial" w:eastAsia="Arial" w:hAnsi="Arial"/>
          <w:sz w:val="16"/>
          <w:szCs w:val="16"/>
          <w:color w:val="auto"/>
        </w:rPr>
        <w:t>In August 2021, the Company issued 5,097,944 shares of its Series A-2 convertible preferred stock for total cash proceeds of $40.0 million to a significant stockholder that has designated members on the Company’s board of directors and who is considered to be a related party.</w:t>
      </w:r>
    </w:p>
    <w:p>
      <w:pPr>
        <w:spacing w:after="0" w:line="12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In September 2022, the Company issued 2,973,800 shares of its Series B convertible preferred stock for total cash proceeds of $35.0 million to two significant stockholders that have designated members on the Company’s board of directors and each of whom is considered to be a related party.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2022, 104,563 preferred stock warrants held by a related party were exercised at $10.60 per share (see Note 12).</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of December 31, 2021 and 2022, the Company was obligated to pay Amgen $6.3 million under the Amgen Collaboration Agreement, which was recorded within current liabilities on the consolidated balance sheets. As of December 31, 2021 and 2022, $12.0 million and $11.9 million related to amounts prepayable to Amgen were recorded as prepaid expenses and other current assets and/or other assets, respectively, on the consolidated balance sheets. During the year ended December 31, 2021 and 2022, the Company recorded $0.5 million and $25.1 million of research and development expenses with Amgen, respectively (see Note 10). Subject to certain conditions, Amgen is also obligated to provide the Company additional financing of up to $100.0 million (see Note 11).</w:t>
      </w:r>
    </w:p>
    <w:p>
      <w:pPr>
        <w:spacing w:after="0" w:line="337"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Company sponsors a 401(k) Plan whereby eligible employees can elect to contribute to the 401(k) Plan, subject to certain limitations, on a pretax basis. Effective from January 1, 2022, the Company commenced matching employee contributions at a rate of 50%, with a maximum matching employer contribution of up to 3% of employee contributions.</w:t>
      </w:r>
    </w:p>
    <w:p>
      <w:pPr>
        <w:spacing w:after="0" w:line="328"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Company evaluated subsequent events through May 2, 2023, the date these consolidated financial statements were available to be issued (except for the impact of the reverse stock split as discussed in the Reverse Stock Split paragraph of Note 1, as to which the date is September 11, 2023).</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par values)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240,943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204,218</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130,941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119,979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16,021</w:t>
            </w: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12,414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336,611</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23,511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8,231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426,234</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359,952</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7,147</w:t>
            </w:r>
          </w:p>
        </w:tc>
        <w:tc>
          <w:tcPr>
            <w:tcW w:w="260" w:type="dxa"/>
            <w:vAlign w:val="bottom"/>
          </w:tcPr>
          <w:p>
            <w:pPr>
              <w:spacing w:after="0"/>
              <w:rPr>
                <w:sz w:val="18"/>
                <w:szCs w:val="18"/>
                <w:color w:val="auto"/>
              </w:rPr>
            </w:pP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14,435</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Early exercise liability, current portion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current portion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23"/>
        </w:trPr>
        <w:tc>
          <w:tcPr>
            <w:tcW w:w="8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Early exercise liability, net of current portion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w:t>
            </w: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29,397</w:t>
            </w:r>
          </w:p>
        </w:tc>
        <w:tc>
          <w:tcPr>
            <w:tcW w:w="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preferred stock, $0.0001 par value; 820,349 shares authorized as of December 31, 2022 and June 30,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 104,417 shares issued and outstanding as of December 31, 2022 and June 30, 2023; aggregate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liquidation preference of $856,756 as of June 30, 2023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843,687</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843,687</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$0.0001 par value; 1,210,000 shares authorized as of December 31, 2022 and June 30, 2023;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32,612 and 32,822 shares issued and outstanding as of December 31, 2022 and June 30, 2023, respectively</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21,430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28,581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(467,509)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(541,677)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(446,850)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(513,541)</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29"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Six Months Ended</w:t>
      </w:r>
    </w:p>
    <w:p>
      <w:pPr>
        <w:jc w:val="center"/>
        <w:ind w:left="88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45,677</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62,254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81,230</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(74,550)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9020" w:type="dxa"/>
            <w:vAlign w:val="bottom"/>
          </w:tcPr>
          <w:p>
            <w:pPr>
              <w:ind w:left="720"/>
              <w:spacing w:after="0"/>
              <w:rPr>
                <w:sz w:val="20"/>
                <w:szCs w:val="20"/>
                <w:color w:val="auto"/>
              </w:rPr>
            </w:pPr>
            <w:r>
              <w:rPr>
                <w:rFonts w:ascii="Arial" w:cs="Arial" w:eastAsia="Arial" w:hAnsi="Arial"/>
                <w:sz w:val="18"/>
                <w:szCs w:val="18"/>
                <w:color w:val="auto"/>
              </w:rPr>
              <w:t>Total other income</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(73,414)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(74,168)</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marketable securities</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(74,284</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340" w:type="dxa"/>
            <w:vAlign w:val="bottom"/>
            <w:gridSpan w:val="6"/>
            <w:vMerge w:val="restart"/>
          </w:tcPr>
          <w:p>
            <w:pPr>
              <w:ind w:left="280"/>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400" w:type="dxa"/>
            <w:vAlign w:val="bottom"/>
          </w:tcPr>
          <w:p>
            <w:pPr>
              <w:spacing w:after="0"/>
              <w:rPr>
                <w:sz w:val="5"/>
                <w:szCs w:val="5"/>
                <w:color w:val="auto"/>
              </w:rPr>
            </w:pPr>
          </w:p>
        </w:tc>
        <w:tc>
          <w:tcPr>
            <w:tcW w:w="1340" w:type="dxa"/>
            <w:vAlign w:val="bottom"/>
            <w:gridSpan w:val="6"/>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gridSpan w:val="6"/>
            <w:vMerge w:val="restart"/>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5"/>
                <w:szCs w:val="5"/>
                <w:color w:val="auto"/>
              </w:rPr>
            </w:pPr>
          </w:p>
        </w:tc>
        <w:tc>
          <w:tcPr>
            <w:tcW w:w="1060" w:type="dxa"/>
            <w:vAlign w:val="bottom"/>
            <w:gridSpan w:val="4"/>
            <w:vMerge w:val="restart"/>
          </w:tcPr>
          <w:p>
            <w:pPr>
              <w:jc w:val="center"/>
              <w:ind w:right="62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19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3400" w:type="dxa"/>
            <w:vAlign w:val="bottom"/>
          </w:tcPr>
          <w:p>
            <w:pPr>
              <w:spacing w:after="0"/>
              <w:rPr>
                <w:sz w:val="5"/>
                <w:szCs w:val="5"/>
                <w:color w:val="auto"/>
              </w:rPr>
            </w:pPr>
          </w:p>
        </w:tc>
        <w:tc>
          <w:tcPr>
            <w:tcW w:w="1340" w:type="dxa"/>
            <w:vAlign w:val="bottom"/>
            <w:gridSpan w:val="6"/>
            <w:vMerge w:val="restart"/>
          </w:tcPr>
          <w:p>
            <w:pPr>
              <w:ind w:left="18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6"/>
            <w:vMerge w:val="restart"/>
          </w:tcPr>
          <w:p>
            <w:pPr>
              <w:jc w:val="right"/>
              <w:ind w:right="20"/>
              <w:spacing w:after="0"/>
              <w:rPr>
                <w:sz w:val="20"/>
                <w:szCs w:val="20"/>
                <w:color w:val="auto"/>
              </w:rPr>
            </w:pPr>
            <w:r>
              <w:rPr>
                <w:rFonts w:ascii="Arial" w:cs="Arial" w:eastAsia="Arial" w:hAnsi="Arial"/>
                <w:sz w:val="13"/>
                <w:szCs w:val="13"/>
                <w:b w:val="1"/>
                <w:bCs w:val="1"/>
                <w:color w:val="auto"/>
                <w:w w:val="88"/>
              </w:rPr>
              <w:t>Common Stock</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400" w:type="dxa"/>
            <w:vAlign w:val="bottom"/>
          </w:tcPr>
          <w:p>
            <w:pPr>
              <w:spacing w:after="0"/>
              <w:rPr>
                <w:sz w:val="7"/>
                <w:szCs w:val="7"/>
                <w:color w:val="auto"/>
              </w:rPr>
            </w:pPr>
          </w:p>
        </w:tc>
        <w:tc>
          <w:tcPr>
            <w:tcW w:w="1340" w:type="dxa"/>
            <w:vAlign w:val="bottom"/>
            <w:gridSpan w:val="6"/>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2"/>
              </w:rPr>
              <w:t>Paid-In</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5"/>
            <w:vMerge w:val="restart"/>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1140" w:type="dxa"/>
            <w:vAlign w:val="bottom"/>
            <w:gridSpan w:val="5"/>
            <w:vMerge w:val="restart"/>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gridSpan w:val="5"/>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40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gridSpan w:val="4"/>
          </w:tcPr>
          <w:p>
            <w:pPr>
              <w:ind w:left="4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3"/>
                <w:szCs w:val="13"/>
                <w:color w:val="auto"/>
              </w:rPr>
            </w:pPr>
          </w:p>
        </w:tc>
        <w:tc>
          <w:tcPr>
            <w:tcW w:w="800" w:type="dxa"/>
            <w:vAlign w:val="bottom"/>
            <w:gridSpan w:val="5"/>
          </w:tcPr>
          <w:p>
            <w:pPr>
              <w:jc w:val="right"/>
              <w:ind w:right="288"/>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3"/>
                <w:szCs w:val="13"/>
                <w:color w:val="auto"/>
              </w:rPr>
            </w:pPr>
          </w:p>
        </w:tc>
        <w:tc>
          <w:tcPr>
            <w:tcW w:w="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528"/>
              <w:spacing w:after="0"/>
              <w:rPr>
                <w:sz w:val="20"/>
                <w:szCs w:val="20"/>
                <w:color w:val="auto"/>
              </w:rPr>
            </w:pPr>
            <w:r>
              <w:rPr>
                <w:rFonts w:ascii="Arial" w:cs="Arial" w:eastAsia="Arial" w:hAnsi="Arial"/>
                <w:sz w:val="13"/>
                <w:szCs w:val="13"/>
                <w:b w:val="1"/>
                <w:bCs w:val="1"/>
                <w:color w:val="auto"/>
                <w:w w:val="85"/>
              </w:rPr>
              <w:t>Deficit</w:t>
            </w:r>
          </w:p>
        </w:tc>
        <w:tc>
          <w:tcPr>
            <w:tcW w:w="120" w:type="dxa"/>
            <w:vAlign w:val="bottom"/>
          </w:tcPr>
          <w:p>
            <w:pPr>
              <w:spacing w:after="0"/>
              <w:rPr>
                <w:sz w:val="13"/>
                <w:szCs w:val="13"/>
                <w:color w:val="auto"/>
              </w:rPr>
            </w:pPr>
          </w:p>
        </w:tc>
        <w:tc>
          <w:tcPr>
            <w:tcW w:w="72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2021</w:t>
            </w:r>
          </w:p>
        </w:tc>
        <w:tc>
          <w:tcPr>
            <w:tcW w:w="4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8"/>
              </w:rPr>
              <w:t>94,710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w w:val="90"/>
              </w:rPr>
              <w:t>729,858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31,985</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0"/>
                <w:szCs w:val="10"/>
                <w:color w:val="auto"/>
                <w:w w:val="71"/>
              </w:rPr>
              <w:t>3</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gridSpan w:val="3"/>
            <w:shd w:val="clear" w:color="auto" w:fill="CCEEFF"/>
          </w:tcPr>
          <w:p>
            <w:pPr>
              <w:jc w:val="center"/>
              <w:ind w:left="50"/>
              <w:spacing w:after="0" w:line="142" w:lineRule="exact"/>
              <w:rPr>
                <w:sz w:val="20"/>
                <w:szCs w:val="20"/>
                <w:color w:val="auto"/>
              </w:rPr>
            </w:pPr>
            <w:r>
              <w:rPr>
                <w:rFonts w:ascii="Arial" w:cs="Arial" w:eastAsia="Arial" w:hAnsi="Arial"/>
                <w:sz w:val="14"/>
                <w:szCs w:val="14"/>
                <w:color w:val="auto"/>
                <w:w w:val="88"/>
              </w:rPr>
              <w:t>11,381</w:t>
            </w:r>
          </w:p>
        </w:tc>
        <w:tc>
          <w:tcPr>
            <w:tcW w:w="3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(336,605)</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(325,221)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early exercise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420"/>
              <w:spacing w:after="0"/>
              <w:rPr>
                <w:sz w:val="20"/>
                <w:szCs w:val="20"/>
                <w:color w:val="auto"/>
              </w:rPr>
            </w:pPr>
            <w:r>
              <w:rPr>
                <w:rFonts w:ascii="Arial" w:cs="Arial" w:eastAsia="Arial" w:hAnsi="Arial"/>
                <w:sz w:val="14"/>
                <w:szCs w:val="14"/>
                <w:color w:val="auto"/>
              </w:rPr>
              <w:t>of stock options</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4"/>
                <w:szCs w:val="14"/>
                <w:color w:val="auto"/>
              </w:rPr>
              <w:t>442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4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Issuance of common stock upon exercise of</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options</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152</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ind w:left="300"/>
              <w:spacing w:after="0"/>
              <w:rPr>
                <w:sz w:val="20"/>
                <w:szCs w:val="20"/>
                <w:color w:val="auto"/>
              </w:rPr>
            </w:pPr>
            <w:r>
              <w:rPr>
                <w:rFonts w:ascii="Arial" w:cs="Arial" w:eastAsia="Arial" w:hAnsi="Arial"/>
                <w:sz w:val="14"/>
                <w:szCs w:val="14"/>
                <w:color w:val="auto"/>
              </w:rPr>
              <w:t>422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30"/>
        </w:trPr>
        <w:tc>
          <w:tcPr>
            <w:tcW w:w="340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as noncash</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420"/>
              <w:spacing w:after="0" w:line="149" w:lineRule="exact"/>
              <w:rPr>
                <w:sz w:val="20"/>
                <w:szCs w:val="20"/>
                <w:color w:val="auto"/>
              </w:rPr>
            </w:pPr>
            <w:r>
              <w:rPr>
                <w:rFonts w:ascii="Arial" w:cs="Arial" w:eastAsia="Arial" w:hAnsi="Arial"/>
                <w:sz w:val="14"/>
                <w:szCs w:val="14"/>
                <w:color w:val="auto"/>
              </w:rPr>
              <w:t>consideration related to an acquisition of</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420"/>
              <w:spacing w:after="0"/>
              <w:rPr>
                <w:sz w:val="20"/>
                <w:szCs w:val="20"/>
                <w:color w:val="auto"/>
              </w:rPr>
            </w:pPr>
            <w:r>
              <w:rPr>
                <w:rFonts w:ascii="Arial" w:cs="Arial" w:eastAsia="Arial" w:hAnsi="Arial"/>
                <w:sz w:val="14"/>
                <w:szCs w:val="14"/>
                <w:color w:val="auto"/>
              </w:rPr>
              <w:t>assets</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4"/>
          </w:tcPr>
          <w:p>
            <w:pPr>
              <w:jc w:val="right"/>
              <w:ind w:right="268"/>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4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59"/>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0"/>
        </w:trPr>
        <w:tc>
          <w:tcPr>
            <w:tcW w:w="34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Forfeiture of restricted stock subject to</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repurchase</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(48)</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00" w:type="dxa"/>
            <w:vAlign w:val="bottom"/>
          </w:tcPr>
          <w:p>
            <w:pPr>
              <w:ind w:left="280"/>
              <w:spacing w:after="0" w:line="149" w:lineRule="exact"/>
              <w:rPr>
                <w:sz w:val="20"/>
                <w:szCs w:val="20"/>
                <w:color w:val="auto"/>
              </w:rPr>
            </w:pPr>
            <w:r>
              <w:rPr>
                <w:rFonts w:ascii="Arial" w:cs="Arial" w:eastAsia="Arial" w:hAnsi="Arial"/>
                <w:sz w:val="14"/>
                <w:szCs w:val="14"/>
                <w:color w:val="auto"/>
              </w:rPr>
              <w:t>Vesting of restricted common stock</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946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Unrealized loss on marketable debt securities</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(870)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148"/>
        </w:trPr>
        <w:tc>
          <w:tcPr>
            <w:tcW w:w="34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4"/>
          </w:tcPr>
          <w:p>
            <w:pPr>
              <w:jc w:val="right"/>
              <w:ind w:right="268"/>
              <w:spacing w:after="0" w:line="149" w:lineRule="exact"/>
              <w:rPr>
                <w:sz w:val="20"/>
                <w:szCs w:val="20"/>
                <w:color w:val="auto"/>
              </w:rPr>
            </w:pPr>
            <w:r>
              <w:rPr>
                <w:rFonts w:ascii="Arial" w:cs="Arial" w:eastAsia="Arial" w:hAnsi="Arial"/>
                <w:sz w:val="14"/>
                <w:szCs w:val="14"/>
                <w:color w:val="auto"/>
              </w:rPr>
              <w:t>3,405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3,405</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(73,414)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(73,414)</w:t>
            </w:r>
          </w:p>
        </w:tc>
        <w:tc>
          <w:tcPr>
            <w:tcW w:w="0" w:type="dxa"/>
            <w:vAlign w:val="bottom"/>
          </w:tcPr>
          <w:p>
            <w:pPr>
              <w:spacing w:after="0"/>
              <w:rPr>
                <w:sz w:val="1"/>
                <w:szCs w:val="1"/>
                <w:color w:val="auto"/>
              </w:rPr>
            </w:pPr>
          </w:p>
        </w:tc>
      </w:tr>
      <w:tr>
        <w:trPr>
          <w:trHeight w:val="156"/>
        </w:trPr>
        <w:tc>
          <w:tcPr>
            <w:tcW w:w="3400" w:type="dxa"/>
            <w:vAlign w:val="bottom"/>
          </w:tcPr>
          <w:p>
            <w:pPr>
              <w:spacing w:after="0" w:line="155" w:lineRule="exact"/>
              <w:rPr>
                <w:sz w:val="20"/>
                <w:szCs w:val="20"/>
                <w:color w:val="auto"/>
              </w:rPr>
            </w:pPr>
            <w:r>
              <w:rPr>
                <w:rFonts w:ascii="Arial" w:cs="Arial" w:eastAsia="Arial" w:hAnsi="Arial"/>
                <w:sz w:val="14"/>
                <w:szCs w:val="14"/>
                <w:color w:val="auto"/>
              </w:rPr>
              <w:t>Balance as of June 30, 2022</w:t>
            </w:r>
          </w:p>
        </w:tc>
        <w:tc>
          <w:tcPr>
            <w:tcW w:w="4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94,710</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gridSpan w:val="2"/>
          </w:tcPr>
          <w:p>
            <w:pPr>
              <w:ind w:left="60"/>
              <w:spacing w:after="0" w:line="155" w:lineRule="exact"/>
              <w:rPr>
                <w:sz w:val="20"/>
                <w:szCs w:val="20"/>
                <w:color w:val="auto"/>
              </w:rPr>
            </w:pPr>
            <w:r>
              <w:rPr>
                <w:rFonts w:ascii="Arial" w:cs="Arial" w:eastAsia="Arial" w:hAnsi="Arial"/>
                <w:sz w:val="14"/>
                <w:szCs w:val="14"/>
                <w:color w:val="auto"/>
                <w:w w:val="90"/>
              </w:rPr>
              <w:t>729,858</w:t>
            </w:r>
          </w:p>
        </w:tc>
        <w:tc>
          <w:tcPr>
            <w:tcW w:w="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7"/>
              </w:rPr>
              <w:t>32,536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0"/>
                <w:szCs w:val="10"/>
                <w:color w:val="auto"/>
                <w:w w:val="71"/>
              </w:rPr>
              <w:t>3</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gridSpan w:val="3"/>
          </w:tcPr>
          <w:p>
            <w:pPr>
              <w:jc w:val="center"/>
              <w:ind w:left="50"/>
              <w:spacing w:after="0" w:line="155" w:lineRule="exact"/>
              <w:rPr>
                <w:sz w:val="20"/>
                <w:szCs w:val="20"/>
                <w:color w:val="auto"/>
              </w:rPr>
            </w:pPr>
            <w:r>
              <w:rPr>
                <w:rFonts w:ascii="Arial" w:cs="Arial" w:eastAsia="Arial" w:hAnsi="Arial"/>
                <w:sz w:val="14"/>
                <w:szCs w:val="14"/>
                <w:color w:val="auto"/>
                <w:w w:val="88"/>
              </w:rPr>
              <w:t>16,178</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(410,019</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(394,708</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7"/>
            <w:vMerge w:val="restart"/>
          </w:tcPr>
          <w:p>
            <w:pPr>
              <w:ind w:left="320"/>
              <w:spacing w:after="0"/>
              <w:rPr>
                <w:sz w:val="20"/>
                <w:szCs w:val="20"/>
                <w:color w:val="auto"/>
              </w:rPr>
            </w:pPr>
            <w:r>
              <w:rPr>
                <w:rFonts w:ascii="Arial" w:cs="Arial" w:eastAsia="Arial" w:hAnsi="Arial"/>
                <w:sz w:val="13"/>
                <w:szCs w:val="13"/>
                <w:b w:val="1"/>
                <w:bCs w:val="1"/>
                <w:color w:val="auto"/>
              </w:rPr>
              <w:t>Convertible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7"/>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7"/>
            <w:vMerge w:val="continue"/>
          </w:tcPr>
          <w:p>
            <w:pPr>
              <w:spacing w:after="0"/>
              <w:rPr>
                <w:sz w:val="5"/>
                <w:szCs w:val="5"/>
                <w:color w:val="auto"/>
              </w:rPr>
            </w:pPr>
          </w:p>
        </w:tc>
        <w:tc>
          <w:tcPr>
            <w:tcW w:w="220" w:type="dxa"/>
            <w:vAlign w:val="bottom"/>
            <w:tcBorders>
              <w:left w:val="single" w:sz="8" w:color="auto"/>
            </w:tcBorders>
            <w:gridSpan w:val="2"/>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gridSpan w:val="4"/>
            <w:vMerge w:val="restart"/>
          </w:tcPr>
          <w:p>
            <w:pPr>
              <w:spacing w:after="0" w:line="135" w:lineRule="exact"/>
              <w:rPr>
                <w:sz w:val="20"/>
                <w:szCs w:val="20"/>
                <w:color w:val="auto"/>
              </w:rPr>
            </w:pPr>
            <w:r>
              <w:rPr>
                <w:rFonts w:ascii="Arial" w:cs="Arial" w:eastAsia="Arial" w:hAnsi="Arial"/>
                <w:sz w:val="13"/>
                <w:szCs w:val="13"/>
                <w:b w:val="1"/>
                <w:bCs w:val="1"/>
                <w:color w:val="auto"/>
                <w:w w:val="94"/>
              </w:rPr>
              <w:t>Additional</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19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3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7"/>
            <w:vMerge w:val="restart"/>
          </w:tcPr>
          <w:p>
            <w:pPr>
              <w:ind w:left="22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6"/>
            <w:vMerge w:val="restart"/>
          </w:tcPr>
          <w:p>
            <w:pPr>
              <w:ind w:left="180"/>
              <w:spacing w:after="0"/>
              <w:rPr>
                <w:sz w:val="20"/>
                <w:szCs w:val="20"/>
                <w:color w:val="auto"/>
              </w:rPr>
            </w:pPr>
            <w:r>
              <w:rPr>
                <w:rFonts w:ascii="Arial" w:cs="Arial" w:eastAsia="Arial" w:hAnsi="Arial"/>
                <w:sz w:val="13"/>
                <w:szCs w:val="13"/>
                <w:b w:val="1"/>
                <w:bCs w:val="1"/>
                <w:color w:val="auto"/>
                <w:w w:val="96"/>
              </w:rPr>
              <w:t>Common Stock</w:t>
            </w: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220" w:type="dxa"/>
            <w:vAlign w:val="bottom"/>
            <w:tcBorders>
              <w:left w:val="single" w:sz="8" w:color="auto"/>
            </w:tcBorders>
            <w:gridSpan w:val="2"/>
          </w:tcPr>
          <w:p>
            <w:pPr>
              <w:spacing w:after="0"/>
              <w:rPr>
                <w:sz w:val="7"/>
                <w:szCs w:val="7"/>
                <w:color w:val="auto"/>
              </w:rPr>
            </w:pPr>
          </w:p>
        </w:tc>
        <w:tc>
          <w:tcPr>
            <w:tcW w:w="112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gridSpan w:val="4"/>
            <w:vMerge w:val="restart"/>
          </w:tcPr>
          <w:p>
            <w:pPr>
              <w:ind w:left="80"/>
              <w:spacing w:after="0" w:line="135"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7"/>
                <w:szCs w:val="7"/>
                <w:color w:val="auto"/>
              </w:rPr>
            </w:pPr>
          </w:p>
        </w:tc>
        <w:tc>
          <w:tcPr>
            <w:tcW w:w="1060" w:type="dxa"/>
            <w:vAlign w:val="bottom"/>
            <w:gridSpan w:val="4"/>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7"/>
                <w:szCs w:val="7"/>
                <w:color w:val="auto"/>
              </w:rPr>
            </w:pPr>
          </w:p>
        </w:tc>
        <w:tc>
          <w:tcPr>
            <w:tcW w:w="1040" w:type="dxa"/>
            <w:vAlign w:val="bottom"/>
            <w:gridSpan w:val="4"/>
            <w:vMerge w:val="restart"/>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left w:val="single" w:sz="8" w:color="auto"/>
            </w:tcBorders>
            <w:gridSpan w:val="2"/>
          </w:tcPr>
          <w:p>
            <w:pPr>
              <w:spacing w:after="0"/>
              <w:rPr>
                <w:sz w:val="13"/>
                <w:szCs w:val="13"/>
                <w:color w:val="auto"/>
              </w:rPr>
            </w:pPr>
          </w:p>
        </w:tc>
        <w:tc>
          <w:tcPr>
            <w:tcW w:w="540" w:type="dxa"/>
            <w:vAlign w:val="bottom"/>
            <w:gridSpan w:val="3"/>
          </w:tcPr>
          <w:p>
            <w:pPr>
              <w:ind w:left="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b w:val="1"/>
                <w:bCs w:val="1"/>
                <w:color w:val="auto"/>
                <w:w w:val="89"/>
              </w:rPr>
              <w:t>Amount</w:t>
            </w:r>
          </w:p>
        </w:tc>
        <w:tc>
          <w:tcPr>
            <w:tcW w:w="260" w:type="dxa"/>
            <w:vAlign w:val="bottom"/>
          </w:tcPr>
          <w:p>
            <w:pPr>
              <w:spacing w:after="0"/>
              <w:rPr>
                <w:sz w:val="13"/>
                <w:szCs w:val="13"/>
                <w:color w:val="auto"/>
              </w:rPr>
            </w:pPr>
          </w:p>
        </w:tc>
        <w:tc>
          <w:tcPr>
            <w:tcW w:w="620" w:type="dxa"/>
            <w:vAlign w:val="bottom"/>
            <w:gridSpan w:val="4"/>
          </w:tcPr>
          <w:p>
            <w:pPr>
              <w:ind w:left="80"/>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6"/>
              </w:rPr>
              <w:t>(Loss) Gain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428"/>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72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2022</w:t>
            </w:r>
          </w:p>
        </w:tc>
        <w:tc>
          <w:tcPr>
            <w:tcW w:w="4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6"/>
              </w:rPr>
              <w:t>104,417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843,687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lef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32,612</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3</w:t>
            </w: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center"/>
              <w:ind w:right="51"/>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21,430</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(774)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(467,509)</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(446,850)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80" w:type="dxa"/>
            <w:vAlign w:val="bottom"/>
          </w:tcPr>
          <w:p>
            <w:pPr>
              <w:spacing w:after="0"/>
              <w:rPr>
                <w:sz w:val="12"/>
                <w:szCs w:val="12"/>
                <w:color w:val="auto"/>
              </w:rPr>
            </w:pPr>
          </w:p>
        </w:tc>
        <w:tc>
          <w:tcPr>
            <w:tcW w:w="66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gridSpan w:val="2"/>
          </w:tcPr>
          <w:p>
            <w:pPr>
              <w:spacing w:after="0"/>
              <w:rPr>
                <w:sz w:val="12"/>
                <w:szCs w:val="12"/>
                <w:color w:val="auto"/>
              </w:rPr>
            </w:pPr>
          </w:p>
        </w:tc>
        <w:tc>
          <w:tcPr>
            <w:tcW w:w="5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333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1,006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2"/>
              </w:rPr>
              <w:t>Repurchase of unvested early exercised stock options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gridSpan w:val="2"/>
            <w:shd w:val="clear" w:color="auto" w:fill="CCEEFF"/>
          </w:tcPr>
          <w:p>
            <w:pPr>
              <w:spacing w:after="0"/>
              <w:rPr>
                <w:sz w:val="12"/>
                <w:szCs w:val="12"/>
                <w:color w:val="auto"/>
              </w:rPr>
            </w:pPr>
          </w:p>
        </w:tc>
        <w:tc>
          <w:tcPr>
            <w:tcW w:w="5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00" w:type="dxa"/>
            <w:vAlign w:val="bottom"/>
          </w:tcPr>
          <w:p>
            <w:pPr>
              <w:ind w:left="280"/>
              <w:spacing w:after="0" w:line="149" w:lineRule="exact"/>
              <w:rPr>
                <w:sz w:val="20"/>
                <w:szCs w:val="20"/>
                <w:color w:val="auto"/>
              </w:rPr>
            </w:pPr>
            <w:r>
              <w:rPr>
                <w:rFonts w:ascii="Arial" w:cs="Arial" w:eastAsia="Arial" w:hAnsi="Arial"/>
                <w:sz w:val="14"/>
                <w:szCs w:val="14"/>
                <w:color w:val="auto"/>
              </w:rPr>
              <w:t>Vesting of restricted common stock</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gridSpan w:val="2"/>
          </w:tcPr>
          <w:p>
            <w:pPr>
              <w:spacing w:after="0"/>
              <w:rPr>
                <w:sz w:val="12"/>
                <w:szCs w:val="12"/>
                <w:color w:val="auto"/>
              </w:rPr>
            </w:pPr>
          </w:p>
        </w:tc>
        <w:tc>
          <w:tcPr>
            <w:tcW w:w="5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Unrealized gain on marketable debt securities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gridSpan w:val="2"/>
            <w:shd w:val="clear" w:color="auto" w:fill="CCEEFF"/>
          </w:tcPr>
          <w:p>
            <w:pPr>
              <w:spacing w:after="0"/>
              <w:rPr>
                <w:sz w:val="12"/>
                <w:szCs w:val="12"/>
                <w:color w:val="auto"/>
              </w:rPr>
            </w:pPr>
          </w:p>
        </w:tc>
        <w:tc>
          <w:tcPr>
            <w:tcW w:w="5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34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gridSpan w:val="2"/>
          </w:tcPr>
          <w:p>
            <w:pPr>
              <w:spacing w:after="0"/>
              <w:rPr>
                <w:sz w:val="12"/>
                <w:szCs w:val="12"/>
                <w:color w:val="auto"/>
              </w:rPr>
            </w:pPr>
          </w:p>
        </w:tc>
        <w:tc>
          <w:tcPr>
            <w:tcW w:w="5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4,738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4,738</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gridSpan w:val="2"/>
            <w:shd w:val="clear" w:color="auto" w:fill="CCEEFF"/>
          </w:tcPr>
          <w:p>
            <w:pPr>
              <w:spacing w:after="0"/>
              <w:rPr>
                <w:sz w:val="12"/>
                <w:szCs w:val="12"/>
                <w:color w:val="auto"/>
              </w:rPr>
            </w:pPr>
          </w:p>
        </w:tc>
        <w:tc>
          <w:tcPr>
            <w:tcW w:w="5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(74,168)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(74,168)</w:t>
            </w:r>
          </w:p>
        </w:tc>
        <w:tc>
          <w:tcPr>
            <w:tcW w:w="0" w:type="dxa"/>
            <w:vAlign w:val="bottom"/>
          </w:tcPr>
          <w:p>
            <w:pPr>
              <w:spacing w:after="0"/>
              <w:rPr>
                <w:sz w:val="1"/>
                <w:szCs w:val="1"/>
                <w:color w:val="auto"/>
              </w:rPr>
            </w:pPr>
          </w:p>
        </w:tc>
      </w:tr>
      <w:tr>
        <w:trPr>
          <w:trHeight w:val="155"/>
        </w:trPr>
        <w:tc>
          <w:tcPr>
            <w:tcW w:w="3400" w:type="dxa"/>
            <w:vAlign w:val="bottom"/>
          </w:tcPr>
          <w:p>
            <w:pPr>
              <w:spacing w:after="0" w:line="155" w:lineRule="exact"/>
              <w:rPr>
                <w:sz w:val="20"/>
                <w:szCs w:val="20"/>
                <w:color w:val="auto"/>
              </w:rPr>
            </w:pPr>
            <w:r>
              <w:rPr>
                <w:rFonts w:ascii="Arial" w:cs="Arial" w:eastAsia="Arial" w:hAnsi="Arial"/>
                <w:sz w:val="14"/>
                <w:szCs w:val="14"/>
                <w:color w:val="auto"/>
              </w:rPr>
              <w:t>Balance as of June 30, 2023</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86"/>
              </w:rPr>
              <w:t>104,417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8"/>
              </w:rPr>
              <w:t>843,687</w:t>
            </w:r>
          </w:p>
        </w:tc>
        <w:tc>
          <w:tcPr>
            <w:tcW w:w="12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7"/>
              </w:rPr>
              <w:t>32,822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Borders>
              <w:top w:val="single" w:sz="8" w:color="auto"/>
              <w:bottom w:val="single" w:sz="8" w:color="auto"/>
            </w:tcBorders>
            <w:gridSpan w:val="2"/>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3</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51"/>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8"/>
              </w:rPr>
              <w:t>28,581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(448)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(541,677</w:t>
            </w:r>
          </w:p>
        </w:tc>
        <w:tc>
          <w:tcPr>
            <w:tcW w:w="32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(513,541</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Six Months Ended</w:t>
      </w:r>
    </w:p>
    <w:p>
      <w:pPr>
        <w:jc w:val="center"/>
        <w:ind w:left="88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8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(73,414)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(74,168)</w:t>
            </w: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 in operating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Noncash operating lease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Net (accretion) and amortization of investments in marketable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preferred stock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(58,766)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(64,063)</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(165,794)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(76,142)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paid for an acquisition of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maturities of marketable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103,073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(176,676)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Repurchase of unvested early exercised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Payments for deferred offering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898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 and restricted cash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(233,710)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(36,775)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409,372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242,206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 and cash equivalents and restricted cash at end of year</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175,662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205,431</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Components of cash and restricted cash:</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174,402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204,218</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 and restricted cash</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175,662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205,431</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Deferred offering costs related to initial public offering included in accrued 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p>
      <w:pPr>
        <w:ind w:left="120" w:right="8460" w:hanging="4"/>
        <w:spacing w:after="0" w:line="425" w:lineRule="auto"/>
        <w:tabs>
          <w:tab w:leader="none" w:pos="552"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Liquidity Description of Business</w:t>
      </w:r>
    </w:p>
    <w:p>
      <w:pPr>
        <w:ind w:left="120" w:right="500"/>
        <w:spacing w:after="0" w:line="342" w:lineRule="auto"/>
        <w:rPr>
          <w:sz w:val="20"/>
          <w:szCs w:val="20"/>
          <w:color w:val="auto"/>
        </w:rPr>
      </w:pPr>
      <w:r>
        <w:rPr>
          <w:rFonts w:ascii="Arial" w:cs="Arial" w:eastAsia="Arial" w:hAnsi="Arial"/>
          <w:sz w:val="16"/>
          <w:szCs w:val="16"/>
          <w:color w:val="auto"/>
        </w:rPr>
        <w:t>Neumora Therapeutics, Inc. (the Company), formerly known as RBNC Therapeutics, Inc., was originally incorporated in the State of Delaware in November 2019, and is headquartered in Watertown, Massachusetts and also has operations in South San Francisco, California.</w:t>
      </w:r>
    </w:p>
    <w:p>
      <w:pPr>
        <w:spacing w:after="0" w:line="124"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The Company is a clinical-stage biopharmaceutical company founded to confront the global brain disease crisis by taking a fundamentally different approach to the way treatments for brain diseases are developed. The Company’s therapeutic pipeline currently consists of clinical and preclinical neuroscience programs that target novel mechanisms of action for a broad range of underserved neuropsychiatric disorders and neurodegenerative diseases.</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of June 30, 2023, the Company has devoted a significant portion of its financial resources and efforts to building its organization, acquiring technologies and companies, executing clinical and preclinical studies, conducting research and development, identifying and developing potential product candidates, building its precision neuroscience tools, organizing and staffing the Company, business planning, establishing, maintaining and protecting its intellectual property portfolio, raising capital and providing general and administrative support for these operations. The Company has not generated revenue from the sale of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Company has incurred net losses and negative cash flows from operations since inception and as of June 30, 2023, had an accumulated deficit of $541.7 million. The Company incurred a net loss of $73.4 million and $74.2 million during the six months ended June 30, 2022 and 2023, respectively. As of June 30, 2023, the Company had cash, cash equivalents and marketable securities of $334.1 million, which are available to fund future operations.</w:t>
      </w:r>
    </w:p>
    <w:p>
      <w:pPr>
        <w:spacing w:after="0" w:line="14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Company expects to incur additional losses in the future as it continues its research and development efforts, advances its product candidates through preclinical and clinical development, enhances its precision neuroscience approach and programs, expands its product pipeline, seeks regulatory approval, prepares for commercialization, as well as hires additional personnel, protects its intellectual property and grows its business. The Company will need to raise additional capital to support its continuing operations and pursue its long-term business plan, including to complete the development and commercialization of its product candidates, if approved. Such activities are subject to significant risks and uncertainties, including clinical failure which can impact the Company’s ability to secure additional funding. The Company has historically financed its operations primarily with the proceeds from the issuance of its convertible preferred stock, borrowings pursuant to convertible promissory notes and cash acquired in its acquisitions of assets. The Company may raise additional capital through public or private equity offerings or debt financings or other capital sources, which may include strategic collaborations or other arrangements with third parties, or other sources of financing. However, there is no guarantee that any of these financing or opportunities will be executed or realized on favorable terms, if at all, and some could be dilutive to existing stockholders. The Company’s ability to raise additional capital through either the issuance of equity or debt is dependent on a number of factors including, but not limited to, Company prospects, which itself is subject to a number of development and business risks and uncertainties, as well as uncertainty about whether the Company would be able to raise such additional capital at a price or on terms that are favorable.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believes that its existing cash, cash equivalents and marketable securities as of June 30, 2023 will be sufficient to support operations for at least the next 12 months from the date these condensed consolidated financial statements were available to be issued.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In September 2023, the Company’s board of directors approved an amended and restated certificate of incorporation to effect a reverse split of shares of the Company’s common stock and convertible preferred stock on a 7.8463-for-1 basis (the “Reverse Stock Split”), which was effected on September 8, 2023. The par value of the common stock and convertible preferred stock was not adjusted as a result of the Reverse Stock Split. Accordingly, all share data and per share data amounts for all periods presented in the consolidated financial statements and notes thereto have been retrospectively adjusted to reflect the effect of the Reverse Stock Split.</w:t>
      </w:r>
    </w:p>
    <w:p>
      <w:pPr>
        <w:spacing w:after="0" w:line="332" w:lineRule="exact"/>
        <w:rPr>
          <w:sz w:val="20"/>
          <w:szCs w:val="20"/>
          <w:color w:val="auto"/>
        </w:rPr>
      </w:pPr>
    </w:p>
    <w:p>
      <w:pPr>
        <w:ind w:left="120" w:right="5200" w:hanging="4"/>
        <w:spacing w:after="0" w:line="378" w:lineRule="auto"/>
        <w:tabs>
          <w:tab w:leader="none" w:pos="55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 Basis of Presentation and Consolidation</w:t>
      </w:r>
    </w:p>
    <w:p>
      <w:pPr>
        <w:ind w:left="120" w:right="8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(U.S. GAAP) and applicable rules and regulations of the Securities and Exchange Commission (SEC) regarding annual financial reporting. The condensed consolidated financial statements include all accounts of the Company and its wholly-owned subsidiaries. All intercompany transactions and balances have been eliminated in consolidation.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Financial Statements</w:t>
      </w:r>
    </w:p>
    <w:p>
      <w:pPr>
        <w:spacing w:after="0" w:line="12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condensed consolidated balance sheet as of June 30, 2023, condensed consolidated statements of operations and comprehensive loss, statements of convertible preferred stock and stockholders’ deficit and cash flows for the six months ended June 30, 2022 and 2023 and related notes to condensed consolidated financial statements are unaudited. These unaudited interim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consolidated financial position, results of operations and cash flows for the periods presented. The condensed consolidated results of operations for the six months ended June 30, 2023 are not necessarily indicative of the results to be expected for the full year or for any other future annual or interim period. The condensed consolidated balance sheet as of December 31, 2022 included herein was derived from the audited consolidated financial statements as of that date. These interim condensed consolidated financial statements should be read in conjunction with the Company’s audited consolidated financial statements included elsewhere in this prospectus.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in the condensed consolidated financial statements and accompanying notes. These estimates form the basis for judgments the Company makes about the carrying values of assets and liabilities that are not readily apparent from other sources.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are used for, but not limited to, accrued research and development expenses, accounting for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acquisitions of assets, fair value of certain assets and liabilities, the fair value of the Company’s convertible preferred stock, the fair value of the Company’s convertible preferred stock warrant liability, the fair value of the Company’s common stock, stock-based compensation, the measurement of right-of-use assets and lease liabilities and related incremental borrowing rate, and uncertain tax positions and the valuation allowance for net deferred tax assets. Actual results may differ from the Company’s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 is subject to certain risks and uncertainties, including, but not limited to, changes in any of the following areas that the Company believes could have a material adverse effect on future financial position or results of operations: successfully develop, manufacture, and market any approved products; obtain regulatory approval from the U.S. Food and Drug Administration or foreign regulatory agencies prior to commercial sales; new technological innovations; dependence on key personnel, protection of intellectual property; compliance with governmental regulations; uncertainty of market acceptance of any approved products; product liability; and the need to obtain additional financing.</w:t>
      </w:r>
    </w:p>
    <w:p>
      <w:pPr>
        <w:spacing w:after="0" w:line="17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Although the World Health Organization has declared that COVID-19 no longer represents a global health emergency, the actual and perceived impact of COVID-19 and any effect on the Company’s business cannot be predicted. As a result, there can be no assurance that the Company will not experience additional negative impacts associated with COVID-19, which could be significant and may further delay the Company’s initiation of preclinical studies and clinical trials, interrupt its supply chain, disrupt regulatory activities, or have other adverse effects on its business and operations. The Company’s focus remains on promoting measures intended to help minimize its risk of exposure to the virus for its employees, including policies that allow its employees to work remotely.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Company invests its excess cash in marketable debt securities with high credit ratings including but not limited to money market funds, securities issued by the U.S. government and its agencies and commercial paper that are accounted for as available-for-sale and carried at fair value. Marketable securities are classified as short-term or long-term based on the maturity date and their availability to meet current operating requirements. The amortized cost of debt securities is adjusted for amortization of premiums and accretion of discounts to maturity, which is included in interest income in the condensed consolidated statements of operations and comprehensive loss. Realized gains and losses on marketable securities, if any, are included in other income (expense), net. The cost of securities sold is determined based on the trade date using the specific identification method.</w:t>
      </w:r>
    </w:p>
    <w:p>
      <w:pPr>
        <w:spacing w:after="0" w:line="16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Company periodically assesses its available-for-sale debt securities for impairment. For debt securities in an unrealized loss position, this assessment first considers the Company’s intent to sell, or whether it is more likely than not that it will be required to sell the security before recovery of its amortized cost basis. If either of these criteria are met, the debt security’s amortized cost basis is written down to fair value within other income (expense), net. For debt securities in an unrealized loss position that do not meet the aforementioned criteria, the Company assesses whether the decline in fair value has resulted from credit losses or other factors. In making this assessment, the extent to which fair value is less than amortized cost, any changes to the rating of the security by a rating agency, and any adverse conditions specifically related to the security is considered,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in other income (expense), net, limited by the amount that the fair value is less than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amortized cost basis. Any additional impairment not recorded through an allowance for credit losses is recognized in other comprehensive income (loss). Changes in the allowance for credit losses are recorded as provision for (or reversal of) credit loss expense. Losses are charged against the allowance when management believes the un-collectability of an available-for-sale security is confirmed or when either of the criteria regarding intent or requirement to sell is met. These changes are recorded in other income (expense), net.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when measuring fair value. Financial assets and liabilities recorded at fair value in the condensed consolidated balance sheets are categorized in the fair value hierarchy based upon the lowest level of input that is significant to the fair value as follows: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29" w:lineRule="exact"/>
        <w:rPr>
          <w:sz w:val="20"/>
          <w:szCs w:val="20"/>
          <w:color w:val="auto"/>
        </w:rPr>
      </w:pPr>
    </w:p>
    <w:p>
      <w:pPr>
        <w:ind w:left="560" w:right="280"/>
        <w:spacing w:after="0" w:line="263"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of liabilities in markets that are not active.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24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The Company evaluates mergers, acquisitions, and other similar transactions to assess whether or not the transaction should be accounted for as a business combination or an acquisition of assets. The Company first identifies who is the acquiring entity by determining if the target is a legal entity or a group of assets or liabilities. If control over a legal entity is being evaluated, the Company also evaluates if the target is a variable interest or voting interest entity. For acquisitions of voting interest entities, the Company applies a screen test to determine if substantially all of the fair value of the gross assets acquired is concentrated in a single identifiable asset or group of similar identifiable assets. If the screen test is met, the transaction is accounted for as an acquisition of assets.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65" w:lineRule="exact"/>
        <w:rPr>
          <w:sz w:val="20"/>
          <w:szCs w:val="20"/>
          <w:color w:val="auto"/>
        </w:rPr>
      </w:pPr>
    </w:p>
    <w:p>
      <w:pPr>
        <w:jc w:val="both"/>
        <w:ind w:left="120" w:right="180"/>
        <w:spacing w:after="0" w:line="279" w:lineRule="auto"/>
        <w:rPr>
          <w:sz w:val="20"/>
          <w:szCs w:val="20"/>
          <w:color w:val="auto"/>
        </w:rPr>
      </w:pPr>
      <w:r>
        <w:rPr>
          <w:rFonts w:ascii="Arial" w:cs="Arial" w:eastAsia="Arial" w:hAnsi="Arial"/>
          <w:sz w:val="17"/>
          <w:szCs w:val="17"/>
          <w:color w:val="auto"/>
        </w:rPr>
        <w:t>For an acquisition of assets, a cost accumulation model is used to determine the cost of the acquisition. Common stock and convertible preferred stock issued as consideration in an acquisition of assets are generally measured based on the acquisition date fair value of the equity interests issued. Direct transaction costs are recognized as part of the cost of an acquisition of assets. The Company also evaluates which elements of a transaction should be accounted for as a part of an acquisition of assets and which should be accounted for separately.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cost of an acquisition of assets, including transaction costs, are allocated to identifiable assets acquired and liabilities assumed based on a relative fair value basis. Goodwill is not recognized in an acquisition of assets. Any difference between the cost of an acquisition of assets and the fair value of the net assets acquired is allocated to the non-monetary identifiable assets based on their relative fair values. Assets acquired as part of an acquisition of assets that are considered to be in-process research and development intangible assets (IPR&amp;D) are immediately expensed and recorded as a component of acquired in-process research and development expense in the condensed consolidated statements of operations and comprehensive loss unless there is an alternative future use in other research and development projects.</w:t>
      </w:r>
    </w:p>
    <w:p>
      <w:pPr>
        <w:spacing w:after="0" w:line="17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to upfront consideration, the Company’s acquisitions of assets may also include contingent consideration payments to be made for future milestone events or royalties on net sales of future products. The Company assesses whether such contingent consideration is subject to liability classification and fair value measurement or meets the definition of a derivative. Contingent consideration payments in an acquisition of assets not required to be classified as a liability at fair value, or are accounted for as derivatives that qualify for a scope exception from derivative accounting, are recognized when the contingency is resolved, and the consideration is paid or becomes payable Contingent consideration payments required to be classified as a liability, or are accounted for as derivatives and do not qualify for a scope exception from derivative accounting, are recorded at fair value on the date of the acquisition and are subsequently remeasured to fair value at each reporting date. Contingent consideration payments made prior to regulatory approval are expensed as incurred. Any future payments that are contingent upon continued services to the Company are treated as compensation and recognized when it is probable such amounts will become payable.</w:t>
      </w:r>
    </w:p>
    <w:p>
      <w:pPr>
        <w:spacing w:after="0" w:line="18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If the target legal entity is determined to be a variable interest entity (VIE) and not a business, all tangible and intangible assets acquired, including any IPR&amp;D assets but excluding goodwill, and liabilities assumed, including contingent consideration, are recorded at their fair values. If the acquisition is determined to be a business combination, all tangible and intangible assets acquired, including any IPR&amp;D assets, and liabilities assumed, including contingent consideration, are recorded at their fair values. Goodwill is recognized for any difference between the consideration transferred and fair value determination. In addition, direct transaction costs in connection with business combinations are expensed as incurred, rather than capitalized.</w:t>
      </w:r>
    </w:p>
    <w:p>
      <w:pPr>
        <w:spacing w:after="0" w:line="16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tax basis of assets acquired in either a business combination or acquisition of assets are compared to the book basis of such assets resulting in the recognition of deferred tax assets and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Deferred offering costs, which consist of direct incremental legal, consulting, banking, and accounting fees primarily relating to the Company’s contemplated initial public offering (IPO) are capitalized and will be offset against proceeds upon the consummation of the offering within stockholders’ deficit. In the event an anticipated offering is terminated, deferred IPO offering costs will be expensed. As of December 31, 2022 and June 30, 2023, deferred offering costs included in other assets in the condensed consolidated balance sheets were $2.9 million and $3.6 million,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Company has classified convertible preferred stock, which is contingently redeemable, as temporary equity in the condensed consolidated balance sheets due to terms that allow for the effective redemption of such shares in cash at the option of the holders upon certain liquidation events that are not solely within the Company’s control.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carrying values of the convertible preferred stock are adjusted to their liquidation preferences if and when it becomes probable that such a liquidation event will occur. The Company did not accrete the value of the convertible preferred stock to its redemption value since a liquidation event was not considered probable as of December 31, 2022 and June 30, 2023.</w:t>
      </w:r>
    </w:p>
    <w:p>
      <w:pPr>
        <w:spacing w:after="0" w:line="18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Company also evaluates the features of its convertible preferred stock to determine if the features require bifurcation from the underlying shares by evaluating whether they are clearly and closely related to the underlying shares and whether they meet the definition of a derivative.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 and Related Prepaid Assets and Accrued Liabilities</w:t>
      </w:r>
    </w:p>
    <w:p>
      <w:pPr>
        <w:spacing w:after="0" w:line="121"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Research and development costs are expensed as incurred. Research and development expenses primarily consist of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vendors conducting research and development services on its behalf, such as contract research organizations (CROs), preclinical testing organizations and contract manufacturing organizations (CMOs). Costs to develop the Company’s platform information technologies are recorded as research and development expense unless the criteria to be capitalized as internal-use software costs is met. Payments made prior to the receipt of goods or services to be used in research and development are capitalized, evaluated for current or long-term classification, and included in prepaid expenses and other current assets or other assets in the condensed consolidated balance sheets based on when the goods are received or the services are expected to be received or consumed, and recognized in research and development expenses when they are realized.</w:t>
      </w:r>
    </w:p>
    <w:p>
      <w:pPr>
        <w:spacing w:after="0" w:line="16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is required to estimate expenses resulting from its obligations under contracts with vendors, service providers and clinical site agreements in connection with conducting clinical trials. The financial terms of these contracts are subject to negotiations which vary from contract to contract and may result in cash flows that do not match the periods over which materials or services are provided. The Company estimates and records accrued expenses for the related research and development activities based on the level of services performed but not yet invoiced pursuant to agreements established with its service providers, according to the progress of preclinical studies, clinical trials or related activities, and discussions with applicable personnel and service providers as to the progress or state of consummation of goods and services.</w:t>
      </w:r>
    </w:p>
    <w:p>
      <w:pPr>
        <w:spacing w:after="0" w:line="17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During the course of a clinical trial, the rate of expense recognition is adjusted if actual results differ from the Company’s estimates. The Company estimates accrued expenses as of each balance sheet date in its condensed consolidated financial statements based on the facts and circumstances known at that time. The clinical trial accrual is dependent in part upon the timely and accurate reporting of CROs, CMOs and other third-party vendors. Although the Company does not expect its estimates to be materially different from amounts actually incurred, its estimate may vary from the actual results. To date, the Company has not experienced material differences between its accrued expenses and actual expenses.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maintains equity incentive plans (the Plans) as a long-term incentive for employees, directors, and non-employee service providers. The Company accounts for all stock-based awards based on their fair value on the date of the grant. For stock-based awards with service only vesting conditions, the Company recognizes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expense on a straight-line basis over the requisite service period, which is generally the vesting period of the respective award. For awards with performance vesting conditions, the Company evaluates the probability of achieving the performance vesting condition at each reporting date. The Company begins to recognize expense for awards with performance- based vesting conditions using an accelerated attribution method when it is deemed probable that the performance condition will be met. For awards with both market and service vesting conditions, the Company recognizes expense using the accelerated attribution method over the derived requisite service period. Stock-based compensation is classified in the condensed consolidated statements of operations and comprehensive loss based on the function to which the related services are provided. Forfeitures are accounted for as they occur.</w:t>
      </w:r>
    </w:p>
    <w:p>
      <w:pPr>
        <w:spacing w:after="0" w:line="195"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The fair value of stock option awards with only service conditions and/or performance-based vesting conditions are estimated on the date of grant using the Black-Scholes option pricing model, which requires inputs based on certain subjective assumptions, including the expected stock price volatility, the expected term of the option, the risk-free interest rate for a period that approximates the expected term of the option, and the expected dividend yield.</w:t>
      </w:r>
    </w:p>
    <w:p>
      <w:pPr>
        <w:spacing w:after="0" w:line="2"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fair value of stock options awards with market-based vesting conditions is estimated on the grant date using the Monte Carlo simulation model, which utilizes subjective assumptions, including volatility and the derived service periods, that determine the probability of satisfying the market condition stipulated in the award to estimate the fair value of the award. The fair value of restricted stock awards is based on the estimated fair value of the Company’s common stock on the grant date.</w:t>
      </w:r>
    </w:p>
    <w:p>
      <w:pPr>
        <w:spacing w:after="0" w:line="19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The fair value of the Company’s common stock is determined by the Company’s board of directors with the assistance of management. The fair value of common stock is determined using valuation methodologies which utilize certain assumptions, including probability weighting of events, volatility, time to an exit event, a risk-free interest rate and an assumption for a discount for lack of marketability. In determining the fair value of common stock, the methodologies used to estimate the enterprise value of the Company were performed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w:t>
      </w:r>
      <w:r>
        <w:rPr>
          <w:rFonts w:ascii="Arial" w:cs="Arial" w:eastAsia="Arial" w:hAnsi="Arial"/>
          <w:sz w:val="18"/>
          <w:szCs w:val="18"/>
          <w:color w:val="auto"/>
        </w:rPr>
        <w:t xml:space="preserve"> </w:t>
      </w:r>
      <w:r>
        <w:rPr>
          <w:rFonts w:ascii="Arial" w:cs="Arial" w:eastAsia="Arial" w:hAnsi="Arial"/>
          <w:sz w:val="18"/>
          <w:szCs w:val="18"/>
          <w:i w:val="1"/>
          <w:iCs w:val="1"/>
          <w:color w:val="auto"/>
        </w:rPr>
        <w:t>as Compensation</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Comprehensive loss includes net loss and certain changes in stockholders’ deficit that are excluded from net loss, such as unrealized losses on the Company’s available-for-sale marketable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continues to monitor new accounting pronouncements issued by the FASB and does not believe any accounting pronouncements issued through the date of this report, which have not yet been adopted, will have a material impact on the Company’s condensed consolidated financial statements.</w:t>
      </w:r>
    </w:p>
    <w:p>
      <w:pPr>
        <w:spacing w:after="0" w:line="85"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and Marketable Securities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summarizes the amortized cost and fair value of the Company’s cash equivalents and marketable securities by major investment category for the period indicated:</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11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140" w:type="dxa"/>
            <w:vAlign w:val="bottom"/>
            <w:gridSpan w:val="2"/>
          </w:tcPr>
          <w:p>
            <w:pPr>
              <w:jc w:val="right"/>
              <w:ind w:right="661"/>
              <w:spacing w:after="0" w:line="119" w:lineRule="exact"/>
              <w:rPr>
                <w:sz w:val="20"/>
                <w:szCs w:val="20"/>
                <w:color w:val="auto"/>
              </w:rPr>
            </w:pPr>
            <w:r>
              <w:rPr>
                <w:rFonts w:ascii="Arial" w:cs="Arial" w:eastAsia="Arial" w:hAnsi="Arial"/>
                <w:sz w:val="13"/>
                <w:szCs w:val="13"/>
                <w:b w:val="1"/>
                <w:bCs w:val="1"/>
                <w:color w:val="auto"/>
              </w:rPr>
              <w:t>Gross</w:t>
            </w: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40" w:type="dxa"/>
            <w:vAlign w:val="bottom"/>
            <w:gridSpan w:val="2"/>
          </w:tcPr>
          <w:p>
            <w:pPr>
              <w:jc w:val="right"/>
              <w:ind w:right="701"/>
              <w:spacing w:after="0"/>
              <w:rPr>
                <w:sz w:val="20"/>
                <w:szCs w:val="20"/>
                <w:color w:val="auto"/>
              </w:rPr>
            </w:pPr>
            <w:r>
              <w:rPr>
                <w:rFonts w:ascii="Arial" w:cs="Arial" w:eastAsia="Arial" w:hAnsi="Arial"/>
                <w:sz w:val="14"/>
                <w:szCs w:val="14"/>
                <w:b w:val="1"/>
                <w:bCs w:val="1"/>
                <w:color w:val="auto"/>
              </w:rPr>
              <w:t>Loss</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5"/>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6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183,353</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center"/>
              <w:ind w:left="115"/>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183,353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cash equivalents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183,353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right="32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183,353</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Marketable securities:</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agency debt securities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57,534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57,262</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42,267</w:t>
            </w:r>
          </w:p>
        </w:tc>
        <w:tc>
          <w:tcPr>
            <w:tcW w:w="120" w:type="dxa"/>
            <w:vAlign w:val="bottom"/>
          </w:tcPr>
          <w:p>
            <w:pPr>
              <w:spacing w:after="0"/>
              <w:rPr>
                <w:sz w:val="18"/>
                <w:szCs w:val="18"/>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40" w:type="dxa"/>
            <w:vAlign w:val="bottom"/>
            <w:gridSpan w:val="2"/>
          </w:tcPr>
          <w:p>
            <w:pPr>
              <w:jc w:val="right"/>
              <w:ind w:right="461"/>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42,002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55,425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55,188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155,226</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1</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center"/>
              <w:ind w:left="135"/>
              <w:spacing w:after="0"/>
              <w:rPr>
                <w:sz w:val="20"/>
                <w:szCs w:val="20"/>
                <w:color w:val="auto"/>
              </w:rPr>
            </w:pPr>
            <w:r>
              <w:rPr>
                <w:rFonts w:ascii="Arial" w:cs="Arial" w:eastAsia="Arial" w:hAnsi="Arial"/>
                <w:sz w:val="18"/>
                <w:szCs w:val="18"/>
                <w:color w:val="auto"/>
                <w:w w:val="88"/>
              </w:rPr>
              <w:t>(775</w:t>
            </w:r>
          </w:p>
        </w:tc>
        <w:tc>
          <w:tcPr>
            <w:tcW w:w="600" w:type="dxa"/>
            <w:vAlign w:val="bottom"/>
          </w:tcPr>
          <w:p>
            <w:pPr>
              <w:jc w:val="right"/>
              <w:ind w:right="4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154,452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cash equivalents and marketable securities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338,579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337,805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marketable securities by contractual maturity were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980" w:type="dxa"/>
            <w:vAlign w:val="bottom"/>
            <w:tcBorders>
              <w:bottom w:val="single" w:sz="8" w:color="CCEEFF"/>
            </w:tcBorders>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130,941</w:t>
            </w:r>
          </w:p>
        </w:tc>
        <w:tc>
          <w:tcPr>
            <w:tcW w:w="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After one year through two years</w:t>
            </w: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23,511</w:t>
            </w:r>
          </w:p>
        </w:tc>
      </w:tr>
      <w:tr>
        <w:trPr>
          <w:trHeight w:val="27"/>
        </w:trPr>
        <w:tc>
          <w:tcPr>
            <w:tcW w:w="29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378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154,452</w:t>
            </w:r>
          </w:p>
        </w:tc>
      </w:tr>
      <w:tr>
        <w:trPr>
          <w:trHeight w:val="20"/>
        </w:trPr>
        <w:tc>
          <w:tcPr>
            <w:tcW w:w="2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3780" w:type="dxa"/>
            <w:vAlign w:val="bottom"/>
            <w:gridSpan w:val="2"/>
          </w:tcPr>
          <w:p>
            <w:pPr>
              <w:ind w:left="600"/>
              <w:spacing w:after="0"/>
              <w:rPr>
                <w:sz w:val="20"/>
                <w:szCs w:val="20"/>
                <w:color w:val="auto"/>
              </w:rPr>
            </w:pPr>
            <w:r>
              <w:rPr>
                <w:rFonts w:ascii="Arial" w:cs="Arial" w:eastAsia="Arial" w:hAnsi="Arial"/>
                <w:sz w:val="18"/>
                <w:szCs w:val="18"/>
                <w:color w:val="auto"/>
              </w:rPr>
              <w:t>F-54</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40"/>
          </w:cols>
          <w:pgMar w:left="320" w:top="459" w:right="6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summarizes the amortized cost and fair value of the Company’s cash equivalents and marketable securities by major investment category for the period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96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Loss</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7"/>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179,434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179,434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11,183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320" w:type="dxa"/>
            <w:vAlign w:val="bottom"/>
            <w:gridSpan w:val="2"/>
          </w:tcPr>
          <w:p>
            <w:pPr>
              <w:ind w:left="720"/>
              <w:spacing w:after="0"/>
              <w:rPr>
                <w:sz w:val="20"/>
                <w:szCs w:val="20"/>
                <w:color w:val="auto"/>
              </w:rPr>
            </w:pPr>
            <w:r>
              <w:rPr>
                <w:rFonts w:ascii="Arial" w:cs="Arial" w:eastAsia="Arial" w:hAnsi="Arial"/>
                <w:sz w:val="18"/>
                <w:szCs w:val="18"/>
                <w:color w:val="auto"/>
              </w:rPr>
              <w:t>Total cash equivalents</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190,617</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center"/>
              <w:ind w:left="13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190,619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tcPr>
          <w:p>
            <w:pPr>
              <w:ind w:left="360"/>
              <w:spacing w:after="0"/>
              <w:rPr>
                <w:sz w:val="20"/>
                <w:szCs w:val="20"/>
                <w:color w:val="auto"/>
              </w:rPr>
            </w:pPr>
            <w:r>
              <w:rPr>
                <w:rFonts w:ascii="Arial" w:cs="Arial" w:eastAsia="Arial" w:hAnsi="Arial"/>
                <w:sz w:val="18"/>
                <w:szCs w:val="18"/>
                <w:color w:val="auto"/>
              </w:rPr>
              <w:t>U.S. government and agency debt securities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35,316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35,073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10,757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20" w:type="dxa"/>
            <w:vAlign w:val="bottom"/>
            <w:gridSpan w:val="2"/>
          </w:tcPr>
          <w:p>
            <w:pPr>
              <w:ind w:left="3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84,248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84,072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130,321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129,871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320" w:type="dxa"/>
            <w:vAlign w:val="bottom"/>
            <w:gridSpan w:val="2"/>
          </w:tcPr>
          <w:p>
            <w:pPr>
              <w:ind w:left="720"/>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320,938</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center"/>
              <w:ind w:left="94"/>
              <w:spacing w:after="0"/>
              <w:rPr>
                <w:sz w:val="20"/>
                <w:szCs w:val="20"/>
                <w:color w:val="auto"/>
              </w:rPr>
            </w:pPr>
            <w:r>
              <w:rPr>
                <w:rFonts w:ascii="Arial" w:cs="Arial" w:eastAsia="Arial" w:hAnsi="Arial"/>
                <w:sz w:val="18"/>
                <w:szCs w:val="18"/>
                <w:color w:val="auto"/>
                <w:w w:val="90"/>
              </w:rPr>
              <w:t>(456)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320,490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spacing w:after="0"/>
              <w:rPr>
                <w:sz w:val="20"/>
                <w:szCs w:val="20"/>
                <w:color w:val="auto"/>
              </w:rPr>
            </w:pPr>
            <w:r>
              <w:rPr>
                <w:rFonts w:ascii="Arial" w:cs="Arial" w:eastAsia="Arial" w:hAnsi="Arial"/>
                <w:sz w:val="18"/>
                <w:szCs w:val="18"/>
                <w:color w:val="auto"/>
                <w:w w:val="93"/>
              </w:rPr>
              <w:t>The Company’s marketable securities by contractual maturity (in thousands):</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119,979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After one year through two years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9,892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129,871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As of June 30, 2023, the Company has not realized any material gains or losses on its marketable securities, including any impairment charges on its securities related to expected credit losses. As of June 30, 2023,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June 30, 2023 (see Note 4).</w:t>
      </w:r>
    </w:p>
    <w:p>
      <w:pPr>
        <w:spacing w:after="0" w:line="316"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carrying amounts of the Company’s financial instruments, including prepaid expenses and other current assets, accounts payable, accrued liabilities and the current portion of operating lease liabilities approximate fair value due to the short-term nature of those instruments.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tables summarize the Company’s assets and liabilities measured at fair value on a recurring basis by level within the valuation hierarchy:</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1"/>
              </w:rPr>
              <w:t>December 31, 2022</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Level 2</w:t>
            </w:r>
          </w:p>
        </w:tc>
        <w:tc>
          <w:tcPr>
            <w:tcW w:w="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Level 3</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left="9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183,353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183,353</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government and agency debt securities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12,485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57,262</w:t>
            </w: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42,002</w:t>
            </w:r>
          </w:p>
        </w:tc>
        <w:tc>
          <w:tcPr>
            <w:tcW w:w="1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42,002</w:t>
            </w: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55,188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55,188</w:t>
            </w:r>
          </w:p>
        </w:tc>
      </w:tr>
      <w:tr>
        <w:trPr>
          <w:trHeight w:val="223"/>
        </w:trPr>
        <w:tc>
          <w:tcPr>
            <w:tcW w:w="7260" w:type="dxa"/>
            <w:vAlign w:val="bottom"/>
          </w:tcPr>
          <w:p>
            <w:pPr>
              <w:ind w:left="108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228,130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109,675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337,805</w:t>
            </w:r>
          </w:p>
        </w:tc>
        <w:tc>
          <w:tcPr>
            <w:tcW w:w="8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7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4"/>
                <w:szCs w:val="14"/>
                <w:b w:val="1"/>
                <w:bCs w:val="1"/>
                <w:color w:val="auto"/>
                <w:w w:val="92"/>
              </w:rPr>
              <w:t>June 30, 2023</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7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Level 2</w:t>
            </w:r>
          </w:p>
        </w:tc>
        <w:tc>
          <w:tcPr>
            <w:tcW w:w="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Level 3</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left="9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179,434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179,434</w:t>
            </w: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11,185</w:t>
            </w:r>
          </w:p>
        </w:tc>
        <w:tc>
          <w:tcPr>
            <w:tcW w:w="1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11,185</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U.S. government and agency debt securities</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11,863</w:t>
            </w:r>
          </w:p>
        </w:tc>
        <w:tc>
          <w:tcPr>
            <w:tcW w:w="1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35,073</w:t>
            </w: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10,726</w:t>
            </w: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84,072</w:t>
            </w:r>
          </w:p>
        </w:tc>
        <w:tc>
          <w:tcPr>
            <w:tcW w:w="1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84,072</w:t>
            </w:r>
          </w:p>
        </w:tc>
      </w:tr>
      <w:tr>
        <w:trPr>
          <w:trHeight w:val="27"/>
        </w:trPr>
        <w:tc>
          <w:tcPr>
            <w:tcW w:w="7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2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202,644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117,846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320,490</w:t>
            </w:r>
          </w:p>
        </w:tc>
      </w:tr>
      <w:tr>
        <w:trPr>
          <w:trHeight w:val="20"/>
        </w:trPr>
        <w:tc>
          <w:tcPr>
            <w:tcW w:w="7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Money market funds are highly liquid and actively traded marketable securities that generally transact at a stable $1.00 net asset value representing its estimated fair value. The Company estimates the fair value of its commercial paper, corporate debt securities and U.S. government and agency debt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Company issued convertible preferred stock warrants to purchase shares of its Series A-1 convertible preferred stock in September 2020, which did not meet the criteria for equity classification. The estimated fair value of the convertible preferred stock warrant liability, prior to exercise or expiration, was determined based on significant inputs not observable in the market, which represents a Level 3 measurement within the fair value hierarchy. All of the convertible preferred stock warrants were exercised or had expired on or before December 31, 2022. There were no outstanding convertible preferred stock warrants as of December 31, 2022 or June 30, 2023.</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 Sheet Components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60" w:type="dxa"/>
            <w:vAlign w:val="bottom"/>
            <w:gridSpan w:val="3"/>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6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 research and development costs ($11.9 million and $8.1 million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related party in 2022 and 2023, respectively)</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13,484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Prepaid 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Accrued Liabilities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60" w:type="dxa"/>
            <w:vAlign w:val="bottom"/>
            <w:gridSpan w:val="3"/>
          </w:tcPr>
          <w:p>
            <w:pPr>
              <w:spacing w:after="0"/>
              <w:rPr>
                <w:sz w:val="20"/>
                <w:szCs w:val="20"/>
                <w:color w:val="auto"/>
              </w:rPr>
            </w:pPr>
            <w:r>
              <w:rPr>
                <w:rFonts w:ascii="Arial" w:cs="Arial" w:eastAsia="Arial" w:hAnsi="Arial"/>
                <w:sz w:val="18"/>
                <w:szCs w:val="18"/>
                <w:color w:val="auto"/>
              </w:rPr>
              <w:t>Accrued liabilities consisted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Accrued clinical trial and preclinical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Accrued research and development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11,536</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right="8640" w:hanging="4"/>
        <w:spacing w:after="0" w:line="425" w:lineRule="auto"/>
        <w:tabs>
          <w:tab w:leader="none" w:pos="552"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of Assets BlackThorn Therapeutics, Inc.</w:t>
      </w:r>
    </w:p>
    <w:p>
      <w:pPr>
        <w:ind w:left="120"/>
        <w:spacing w:after="0" w:line="272" w:lineRule="auto"/>
        <w:rPr>
          <w:sz w:val="20"/>
          <w:szCs w:val="20"/>
          <w:color w:val="auto"/>
        </w:rPr>
      </w:pPr>
      <w:r>
        <w:rPr>
          <w:rFonts w:ascii="Arial" w:cs="Arial" w:eastAsia="Arial" w:hAnsi="Arial"/>
          <w:sz w:val="17"/>
          <w:szCs w:val="17"/>
          <w:color w:val="auto"/>
        </w:rPr>
        <w:t>In June 2020, the Company entered into an agreement and plan of merger (BlackThorn Merger Agreement) to acquire all of the equity interests of BlackThorn Therapeutics, Inc. (BlackThorn), which became effective in September 2020. The Company acquired BlackThorn for its in-process research and development programs, including an antagonist of the Kappa Opioid Receptor (navacaprant (NMRA-140)) for the treatment of major depressive disorders and an antagonist of the Vasopressin 1a Receptor (NMRA-511) for the treatment of anxiety disorders. The Company also gained access to a cloud-based computational psychiatry and data platform that was being developed to support drug target identification, patient stratification and objective clinical trial endpoints. Both navacaprant and NMRA-511 were exclusively licensed to BlackThorn by The Scripps Research Institute (TSRI). The acquisition was accounted for as an acquisition of assets.</w:t>
      </w:r>
    </w:p>
    <w:p>
      <w:pPr>
        <w:spacing w:after="0" w:line="17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BlackThorn Merger Agreement requires the Company to pay the former stockholders of BlackThorn contingent consideration (i) with respect to navacaprant, in the form of development and regulatory approval milestones of up to an aggregate amount of $365.0 million, which includes a milestone payment of $90.0 million that will become due upon dosing the first patient in the Phase 3 clinical trial for navacaprant, and sales-based milestones of up to an aggregate amount of $450.0 million and (ii) with respect to NMRA-511, in the form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development and regulatory approval milestones of up to an aggregate amount of $100.0 million, and sales-based milestones of up to an aggregate amount of $100.0 million (BlackThorn Milestones). At the Company’s sole discretion, the BlackThorn Milestone payments may be settled in cash or shares of the Company, or a combination of both, subject to the provisions of the BlackThorn Merger Agreement, other than one development milestone in the amount of $10.0 million, which must be settled in cash. None of the BlackThorn Milestones were subject to liability classification and/or derivative accounting and any such contingent consideration will be recognized when the contingency is resolved, and the consideration becomes payable. As of June 30, 2023, none of the milestones had been achieved and no such amounts were deemed due or payable.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BlackThorn Carveout Plan</w:t>
      </w:r>
    </w:p>
    <w:p>
      <w:pPr>
        <w:spacing w:after="0" w:line="117"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The BlackThorn Merger Agreement required that the Company establish a carveout plan (the BlackThorn Carveout Plan), pursuant to which each BlackThorn stock option holder as of immediately prior to the closing date was allocated a certain number of units (the BlackThorn Carveout Units) based on the number of shares underlying the outstanding options held by each participant at that time. Each BlackThorn Carveout Unit represents a right to receive a portion of the BlackThorn Milestone payment (the BlackThorn Carveout Payments) upon the later of (i) the achievement of a BlackThorn Milestone and (ii) the vesting of the BlackThorn Carveout Unit.</w:t>
      </w:r>
    </w:p>
    <w:p>
      <w:pPr>
        <w:spacing w:after="0" w:line="188"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The BlackThorn Carveout Units vest based on time-based schedules that mirror the vesting schedules for the original option awards held by each participant. As of the closing date in September 2020, a portion of the BlackThorn Carveout Units corresponding to the pre-acquisition service periods were fully vested (Vested Carveout Units). The remainder of the BlackThorn Carveout Units vest subject to the continued service of the participants.</w:t>
      </w:r>
    </w:p>
    <w:p>
      <w:pPr>
        <w:spacing w:after="0" w:line="14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Vested Carveout Units represent contingent consideration for the acquisition as they are attributable to pre-acquisition services rendered by the participants and continuing service is not required for the participants to receive future payments upon a BlackThorn Milestone being achieved. The Company will recognize the contingent consideration obligation for the Vested Carveout Units when the contingency is resolved, and the consideration becomes payable. The BlackThorn Carveout Units that were unvested as of the closing date are dependent on the continued service of participants and were deemed to be a compensation arrangement. The Company recognizes compensation starting from the time payment becomes probable over each participant’s service period. As of June 30, 2023, none of the BlackThorn Milestones had been achieved, and no contingent consideration obligation related to the BlackThorn Carveout Plan was deemed due or payable and the Company recorded $1.8 million of compensation related to the BlackThorn Carveout Units with a corresponding offset to accrued liabilities.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Syllable Life Sciences, Inc.</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September 2020, the Company entered into an agreement and plan of merger (Syllable Merger Agreement) to acquire all of the outstanding equity of Syllable Life Sciences, Inc. (Syllable). The Company acquired Syllable to gain access the rights granted to Syllable under an exclusive license agreement (as amended, the Harvard License Agreement) with President and Fellows of Harvard College (Harvard) and an associated behavior analysis machine learning and computer vision software tool which Syllable was developing to identify and quantify behavior as an indicator of neurological conditions. The transaction was accounted for as an acquisition of assets.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former stockholders of Syllable are entitled to contingent consideration in the form of development milestones of up to an aggregate of $5.0 million (Syllable Milestones). At the Company’s sole discretion,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320" w:top="459" w:right="47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Syllable Milestone payments may be settled, in cash or shares equity of the Company, or a combination of both, subject to the provisions of the Syllable Merger Agreement and were not subject to liability classification and/or derivative accounting. Any such contingent consideration will be recognized when the contingency is resolved, and the consideration becomes payable. As of June 30, 2023, none of the milestones had been achieved and no such amounts were deemed due or payable.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Alairion, Inc.</w:t>
      </w:r>
    </w:p>
    <w:p>
      <w:pPr>
        <w:spacing w:after="0" w:line="12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 November 2020, the Company entered into an agreement and plan of merger (Alairion Merger Agreement) to acquire all of the outstanding equity of Alairion, Inc. (Alairion). The acquisition of Alairion allowed the Company to expand its program pipeline by gaining rights to two preclinical stage research and development programs focused on the treatment of sleep disorders, an H1 receptor antagonist program (the H1 Program) and a GABA receptor positive allosteric modulator program (the GABA Program). The acquisition also provided the Company with access to a license for software that records sleep and related drug discovery and optimization technology platform. The transaction was accounted for as an acquisition of assets.</w:t>
      </w:r>
    </w:p>
    <w:p>
      <w:pPr>
        <w:spacing w:after="0" w:line="161"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The holders of Alairion common stock outstanding as of immediately prior to the closing date received non-transferable rights to future milestone payments of up to $33.5 million upon the achievement of specified development events and $135.0 million upon the achievement of specified commercialization events related to the H1 Program and the GABA Program (the Alairion Milestones).</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Alairion Milestone payments may be settled, at the Company’s sole discretion, in cash or shares of the Company, or a combination of both, subject to the provisions of the Alairion Merger Agreement. None of the Alairion Milestones were subject to liability classification and/or derivative accounting and any such contingent consideration will be recognized when the contingency is resolved, and the consideration becomes payable. As of June 2023, none of the Alairion Milestones have been recognized. In March 2022, the Company paused the active program acquired from Alairion while it assesses pre-IND feedback received from the FDA and considers alternative options for that program.</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Alairion Carveout Plan</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Alairion Merger Agreement also required the Company to establish a carveout plan (the Alairion Carveout Plan) pursuant to which a portion of the payments under the Alairion Milestones, up to $3.0 million (the Alairion Carveout Payments), are reserved for participants under the Alairion Carveout Plan. Participants in the Alairion Carveout Plan are comprised of former Alairion employees, several of whom were retained as employees or consultants of the Company post-acquisition. Under the Alairion Carveout Plan, the Company granted the participants retention units, each representing a right to receive future payments upon the completion of Phase 2 clinical studies with respect to either the H1 Program or the GABA Program and achievement of the related Alairion Milestone, subject to the continued service of the participant until such time and were deemed to be a compensation arrangement. The retention units are forfeited if a participant’s service is terminated prior to the receipt of results from the Phase 2 clinical studies associated with the H1 Program and GABA Program. The Company will recognize such compensation starting from the time payment becomes probable over each participant’s service period. As of June 30, 2023, it was not probable that Phase 2 clinical studies would be achieved, and no compensation related to the Alairion Carveout Plan had been recorded.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Amgen Inc. Licenses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September 2021, the Company entered into two license agreements with Amgen Inc. (Amgen) pursuant to which it obtained exclusive, worldwide licenses to develop, manufacture, use, commercialize and distribute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products containing compounds that are directed to, in one case, CK1d, and in the other case, glucocerebrocidase (GCase), both for the treatment of neurodegenerative diseases (the Amgen License Agreements) and related know-how and clinical material (collectively, the Amgen IPR&amp;D Assets). Concurrently, the Company also executed a research collaboration agreement as well as a stock purchase agreement with Amgen. Both agreements were deemed to be separate transactions and not accounted for as part of the acquisition of assets. The Company accounted for these transactions as acquisitions of assets.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total upfront consideration transferred to Amgen of 20.0 million shares of the Company’s Series A-2 convertible preferred stock, with an acquisition date fair value of $157.0 million was allocated to the Amgen IPR&amp;D Assets.</w:t>
      </w:r>
    </w:p>
    <w:p>
      <w:pPr>
        <w:spacing w:after="0" w:line="170"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Under these two license agreements, Amgen is eligible to receive contingent consideration up to an aggregate of $360.0 million in commercial milestone payments per product payable in cash with a compound directed to CK1d and up to an aggregate of $360.0 million in commercial milestone payments per product payable in cash with a compound directed to GCase, in each case, upon the achievement of certain sales thresholds and single digit royalties on potential future net sales, related to CK1d or GCase. Such contingent consideration was not subject to liability classification and/or derivative accounting and will be recognized when the contingency is resolved, and the consideration becomes payable. As of June 30, 2023, none of the milestones had been achieved and no such amounts were deemed due or payable.</w:t>
      </w:r>
    </w:p>
    <w:p>
      <w:pPr>
        <w:spacing w:after="0" w:line="17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addition, until a specified period of time following the achievement of the first successful Phase 2 clinical trial for any licensed product, if the Company chooses to sell, transfer, sublicense or divest rights to a licensed product in certain major markets, Amgen has a period of time to enter into an agreement with the Company for such rights. The Company determined that these rights of first negotiation were not freestanding instruments from the Amgen License Agreements and did not meet the definition of a derivative.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Vanderbilt License</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February 2022, the Company and Vanderbilt University (Vanderbilt) entered into a license agreement (Vanderbilt License Agreement). Pursuant to the Vanderbilt License Agreement, the Company obtained an exclusive, worldwide royalty-bearing, sublicensable (subject to certain restrictions) license under certain patent rights and a non-exclusive, worldwide, royalty-bearing, sublicensable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uses (the Vanderbilt IPR&amp;D Assets). Concurrently, the Company also executed a sponsored research agreement (see Note 8) with Vanderbilt. The sponsored research agreement was deemed to be separate transactions and not accounted for as part of the acquisition of assets. The acquisition of Vanderbilt IPR&amp;D Assets became effective in February 2022.</w:t>
      </w:r>
    </w:p>
    <w:p>
      <w:pPr>
        <w:spacing w:after="0" w:line="178"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 licensed patent rights are subject to Vanderbilt’s right to use the patent rights for research, internal non-commercial use, and educational purposes. The Company intends to develop the PAMs for the treatment of schizophrenia and other neuropsychiatric disorders. The Company has agreed to use commercially reasonable efforts to develop and commercialize licensed products, and to achieve certain development milestones.</w:t>
      </w:r>
    </w:p>
    <w:p>
      <w:pPr>
        <w:spacing w:after="0" w:line="14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Company paid Vanderbilt a non-refundable, non-creditable upfront cash payment of $13.0 million for the Vanderbilt IPR&amp;D Assets, which was immediately recognized as acquired in-process research and development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expense in the condensed consolidated statement of operations and comprehensive loss as it was determined to have no alternative future use as of the acquisition date. Under the Vanderbilt License Agreement, Vanderbilt is eligible to receive contingent consideration payable in cash up to an aggregate of $42.0 million upon the achievement of specified development milestones and up to an aggregate of $380.0 million upon the achievement of commercial milestone events as well as and tiered royalties at mid-single digit percentages on potential future net sales, subject to specified reductions for the lack of patent coverage, generic entry and payment obligations for third-party licenses. In addition, the Company is obligated to pay Vanderbilt low-double-digit percentage of sublicense income it receives for sublicenses entered into before the achievement of a specified event. Such contingent consideration was not subject to liability classification and/or derivative accounting and will be recognized when the contingency is resolved, and the consideration becomes payable. As of June 30, 2023, none of the milestones had been achieved and no such amounts were deemed due or payable.</w:t>
      </w:r>
    </w:p>
    <w:p>
      <w:pPr>
        <w:spacing w:after="0" w:line="165"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addition, the Company also has an exclusive option, exercisable for a specified period of time, to negotiate an exclusive license to certain patent rights conceived or developed by Vanderbilt in the course of carrying out the sponsored research pursuant to a sponsored research agreement the between the Company and Vanderbilt, which was entered into at the same time as the Vanderbilt License Agreement. The Company determined that the right to negotiate was not a freestanding instrument from the Vanderbilt License Agreement and did not meet the definition of a derivative.</w:t>
      </w:r>
    </w:p>
    <w:p>
      <w:pPr>
        <w:spacing w:after="0" w:line="302" w:lineRule="exact"/>
        <w:rPr>
          <w:sz w:val="20"/>
          <w:szCs w:val="20"/>
          <w:color w:val="auto"/>
        </w:rPr>
      </w:pPr>
    </w:p>
    <w:p>
      <w:pPr>
        <w:ind w:left="120" w:right="8020" w:hanging="4"/>
        <w:spacing w:after="0" w:line="378" w:lineRule="auto"/>
        <w:tabs>
          <w:tab w:leader="none" w:pos="552"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Indemnification</w:t>
      </w:r>
    </w:p>
    <w:p>
      <w:pPr>
        <w:ind w:left="120" w:right="60"/>
        <w:spacing w:after="0" w:line="271"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Commitments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has various manufacturing, clinical, research and other contracts with vendors in the conduct of the normal course of its business. Such contracts are generally terminable with advanced written notice and payment for any products or services received by the Company through the effective time of termination and any non-cancelable and non-refundable obligations incurred by the vendor at the effective time of the termination. In the case of terminating a clinical trial agreement at a particular site, the Company would also be obligated to provide continued support for appropriate medical procedures at that site until completion or termination.</w:t>
      </w:r>
    </w:p>
    <w:p>
      <w:pPr>
        <w:spacing w:after="0" w:line="332"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License and Research and Collaboration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2015 TSRI License Agreement</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 connection with the acquisition of BlackThorn (see Note 6), the Company gained certain exclusive rights to intellectual property related to Kappa Opioid Receptor and V1aR Receptor Antagonist programs as well as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oxytocin receptors positive allosteric modulator program (collectively, the TSRI Programs) under a license agreement between BlackThorn and TSRI originally entered into in November 2015 (as amended, the 2015 TSRI License Agreement). The technology licensed under the 2015 TSRI License Agreement is used in the Company’s navacaprant and NMRA-511 research and development programs.</w:t>
      </w:r>
    </w:p>
    <w:p>
      <w:pPr>
        <w:spacing w:after="0" w:line="165"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Pursuant to the 2015 TSRI License Agreement, the Company is obligated, among other things, to pay TSRI (i) a nominal annual license fee due and payable on the first day of each calendar year and after the fourth anniversary creditable against any royalties due for such calendar year,</w:t>
      </w:r>
    </w:p>
    <w:p>
      <w:pPr>
        <w:jc w:val="both"/>
        <w:ind w:left="120" w:right="20" w:hanging="4"/>
        <w:spacing w:after="0" w:line="252" w:lineRule="auto"/>
        <w:tabs>
          <w:tab w:leader="none" w:pos="3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development and regulatory milestone payments of up to $1.5 million in aggregate for the first product from each TSRI Program, which are contingent upon achieving specific development and regulatory milestone events, (iii) commercial milestone payments of up to $3.5 million in aggregate for each occurrence, which are contingent upon achieving specified commercialization milestone events, (iv) tiered low-single digit royalties on future net sales of each royalty-bearing product and (v) a percentage ranging from the mid-single digits to sub teen double digits of any sublicensing revenues the Company receives. As of June 30, 2023, none of the milestones had been achieved and no royalties were due under the 2015 TSRI License Agreement.</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Harvard License Agreement</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connection with the acquisition of Syllable (see Note 6), the Company gained exclusive rights covering certain behavior imagining and behavioral tracking software under a license agreement between Syllable and Harvard originally entered into in June 2020. The Company uses the technology licensed under the Harvard License Agreement to advance its precision neuroscience approach.</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Harvard License Agreement, the Company was obligated, among other things, to pay Harvard (i) nominal annual license maintenance fees,</w:t>
      </w:r>
    </w:p>
    <w:p>
      <w:pPr>
        <w:spacing w:after="0" w:line="46" w:lineRule="exact"/>
        <w:rPr>
          <w:sz w:val="20"/>
          <w:szCs w:val="20"/>
          <w:color w:val="auto"/>
        </w:rPr>
      </w:pPr>
    </w:p>
    <w:p>
      <w:pPr>
        <w:ind w:left="120" w:hanging="4"/>
        <w:spacing w:after="0" w:line="252" w:lineRule="auto"/>
        <w:tabs>
          <w:tab w:leader="none" w:pos="3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mid-single digit royalties on future net sales of each royalty-bearing product that utilized the licensed technology, and (iii) a portion of any sub licensing revenues the Company received ranging from the high teens to low-double digits. In addition, the Harvard License Agreement, as amended in March 2021, provided for certain development milestones that the Company was required to meet between December 2021 and January 2024. Failure to meet such milestones constituted a material breach of contract and would provide Harvard with the right to terminate the agreement. Effective as of March 31, 2023, Harvard and the Company agreed to terminate the agreement. Prior to termination of the agreement, the Company had not met any of the development or sales-based milestones.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Collaboration Agreement with Amgen</w:t>
      </w:r>
    </w:p>
    <w:p>
      <w:pPr>
        <w:spacing w:after="0" w:line="11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In September 2021, and concurrently with the Amgen License Agreements (see Note 6), the Company entered into a research collaboration agreement with Amgen (Amgen Collaboration Agreement) to collectively discover drug targets, biomarkers, and other insights associated with central nervous system (CNS) diseases utilizing Amgen’s deCODE genetics and human data research capabilities. The Company received exclusive rights under intellectual property generated in the collaboration to exploit therapeutic compounds and diagnostics for use with therapeutics in the CNS field and Amgen received exclusive rights to exploit therapeutic compounds and diagnostics for use with therapeutics outside of the CNS field. The agreement is governed by the Joint Research Committee (JRC), which is made up of equal representatives from each of the Company and Amgen to manage the progress and direction of research and development activities. All decisions made by the JRC shall be by consensus with each party having one vote, and if the JRC cannot reach a consensus, the dispute shall be referred to each company’s executive officers. If the executive officers fail to reach a consensus, the Company will have final decision-making authority provided that the matter does not relate to the approval of, or any material change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to, a project, decisions to acquire rights from a third party, decisions or activities that are in conflict with Amgen’s database usage or data access rights, or the approval of external costs and expenses relating to certain new data generation activities or certain new dataset acquisitions, as such matters require mutual agreement.</w:t>
      </w:r>
    </w:p>
    <w:p>
      <w:pPr>
        <w:spacing w:after="0" w:line="184" w:lineRule="exact"/>
        <w:rPr>
          <w:sz w:val="20"/>
          <w:szCs w:val="20"/>
          <w:color w:val="auto"/>
        </w:rPr>
      </w:pPr>
    </w:p>
    <w:p>
      <w:pPr>
        <w:ind w:left="120" w:right="440"/>
        <w:spacing w:after="0" w:line="301" w:lineRule="auto"/>
        <w:rPr>
          <w:sz w:val="20"/>
          <w:szCs w:val="20"/>
          <w:color w:val="auto"/>
        </w:rPr>
      </w:pPr>
      <w:r>
        <w:rPr>
          <w:rFonts w:ascii="Arial" w:cs="Arial" w:eastAsia="Arial" w:hAnsi="Arial"/>
          <w:sz w:val="16"/>
          <w:szCs w:val="16"/>
          <w:color w:val="auto"/>
        </w:rPr>
        <w:t>In return for Amgen performing research and development activities under the agreement, the Company is committed to making non-refundable, non-creditable quarterly payments over the first two years totaling $50.0 million and for the third year between $12.5 million and $25.0 million depending on whether certain progress milestones are achieved. Additionally, the Company will reimburse Amgen for certain direct, out-of-pocket external costs and expenses that are incurred in the performance of the activities under the Amgen Collaboration Agreement.</w:t>
      </w:r>
    </w:p>
    <w:p>
      <w:pPr>
        <w:spacing w:after="0" w:line="157" w:lineRule="exact"/>
        <w:rPr>
          <w:sz w:val="20"/>
          <w:szCs w:val="20"/>
          <w:color w:val="auto"/>
        </w:rPr>
      </w:pPr>
    </w:p>
    <w:p>
      <w:pPr>
        <w:ind w:left="120" w:right="460"/>
        <w:spacing w:after="0" w:line="257" w:lineRule="auto"/>
        <w:rPr>
          <w:sz w:val="20"/>
          <w:szCs w:val="20"/>
          <w:color w:val="auto"/>
        </w:rPr>
      </w:pPr>
      <w:r>
        <w:rPr>
          <w:rFonts w:ascii="Arial" w:cs="Arial" w:eastAsia="Arial" w:hAnsi="Arial"/>
          <w:sz w:val="18"/>
          <w:szCs w:val="18"/>
          <w:color w:val="auto"/>
        </w:rPr>
        <w:t>The term of the agreement is up to five years, although it will terminate after three years if the Company and Amgen do not mutually agree upon a compensation structure for years four and five. If the parties do not reach an agreement at least 30 days prior to the end of year three, the Amgen Collaboration Agreement will automatically terminate upon its third anniversary. Further, either party can terminate the Amgen Collaboration Agreement upon material uncured breach or bankruptcy by the other party, in which case all amounts that have become due through the date of termination are non-refundable.</w:t>
      </w:r>
    </w:p>
    <w:p>
      <w:pPr>
        <w:spacing w:after="0" w:line="188" w:lineRule="exact"/>
        <w:rPr>
          <w:sz w:val="20"/>
          <w:szCs w:val="20"/>
          <w:color w:val="auto"/>
        </w:rPr>
      </w:pPr>
    </w:p>
    <w:p>
      <w:pPr>
        <w:ind w:left="120" w:right="220"/>
        <w:spacing w:after="0" w:line="269" w:lineRule="auto"/>
        <w:rPr>
          <w:sz w:val="20"/>
          <w:szCs w:val="20"/>
          <w:color w:val="auto"/>
        </w:rPr>
      </w:pPr>
      <w:r>
        <w:rPr>
          <w:rFonts w:ascii="Arial" w:cs="Arial" w:eastAsia="Arial" w:hAnsi="Arial"/>
          <w:sz w:val="17"/>
          <w:szCs w:val="17"/>
          <w:color w:val="auto"/>
        </w:rPr>
        <w:t>Amgen also has an exclusive option to negotiate, and the right of first negotiation, to obtain exclusive, worldwide licenses to research, develop, commercialize, and otherwise exploit up to two therapeutic compounds or any pharmaceutical product containing such therapeutic compound arising from the collaboration. That right exists with respect to each compound for a certain period of time following positive Phase 2 results for that compound. The Company determined that these rights were not freestanding instruments from the Amgen Collaboration Agreement and did not meet the definition of a derivative. Upon execution of the Amgen Collaboration Agreement in September 2021, the Company was obligated to start paying Amgen non-refundable quarterly payments of $6.3 million. As of June 30, 2023, the eighth non-refundable quarterly payment of $6.3 million became due and has been recorded within accounts payable. As of December 31, 2022 and June 30, 2023, the related prepaid research and development costs included in the condensed consolidated balance sheet were $11.9 million and $8.1 million, respectively, within prepaid expenses and other current assets. The Company recorded $14.3 million and $16.3 million of related research and development expenses during the six months ended June 30, 2022 and 2023, respectively.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Sponsored Research Agreement with Vanderbilt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February 2022, and concurrently with the Vanderbilt License Agreement (see Note 6), the Company entered into a sponsored research agreement with Vanderbilt (Vanderbilt Research Agreement), pursuant to which Vanderbilt agreed to provide the Company research services to develop a M4 PAM back-up program.</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agreement is governed by the Joint Steering Committee (JSC) which is made up of three representatives from each of the Company and Vanderbilt to manage the progress and direction of research and development activities. All decisions made by the JSC shall be by consensus with each party having one vote, and if the JSC cannot reach a consensus, then (i) each party shall make the final decision on non-strategic, day to day, operational matters related to the implementation of research program activities conducted, managed, controlled or directed by such party, and (ii) the Company will have final decision-making authority with respect to material operation and strategic decisions.</w:t>
      </w:r>
    </w:p>
    <w:p>
      <w:pPr>
        <w:spacing w:after="0" w:line="17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In return for Vanderbilt performing research and development activities under the agreement, the Company agreed to make quarterly payments for research up to a total of $1.7 million on an annual basis. The term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agreement was extended from February 2023 to September 2023. Vanderbilt may terminate the agreement upon 60 days’ written notice. The Company may terminate the agreement upon 30 days’ written notice, subject to the Company paying reasonable costs incurred by Vanderbilt to wind-down the program and all costs incurred and non-cancellable commitments made prior to the termination date.</w:t>
      </w:r>
    </w:p>
    <w:p>
      <w:pPr>
        <w:spacing w:after="0" w:line="16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addition, the Company also has an exclusive option to negotiate an exclusive license to certain patent rights conceived or developed by Vanderbilt in the course of carrying out the sponsored research (see Note 6).</w:t>
      </w:r>
    </w:p>
    <w:p>
      <w:pPr>
        <w:spacing w:after="0" w:line="315" w:lineRule="exact"/>
        <w:rPr>
          <w:sz w:val="20"/>
          <w:szCs w:val="20"/>
          <w:color w:val="auto"/>
        </w:rPr>
      </w:pPr>
    </w:p>
    <w:p>
      <w:pPr>
        <w:ind w:left="120" w:right="6400" w:hanging="4"/>
        <w:spacing w:after="0" w:line="378" w:lineRule="auto"/>
        <w:tabs>
          <w:tab w:leader="none" w:pos="552"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Deficit Convertible Preferred Stock</w:t>
      </w:r>
    </w:p>
    <w:p>
      <w:pPr>
        <w:ind w:left="120" w:right="60"/>
        <w:spacing w:after="0" w:line="254" w:lineRule="auto"/>
        <w:rPr>
          <w:sz w:val="20"/>
          <w:szCs w:val="20"/>
          <w:color w:val="auto"/>
        </w:rPr>
      </w:pPr>
      <w:r>
        <w:rPr>
          <w:rFonts w:ascii="Arial" w:cs="Arial" w:eastAsia="Arial" w:hAnsi="Arial"/>
          <w:sz w:val="18"/>
          <w:szCs w:val="18"/>
          <w:color w:val="auto"/>
        </w:rPr>
        <w:t>In September 2022, the Company executed a preferred stock purchase agreement (the Series B SPA) and issued 7,425,572 shares of its Series B convertible preferred stock, including 1,274,486 shares to a new investor and 6,151,086 shares to existing investors, two of whom were related parties, at $11.77 per share for aggregate proceeds of $87.4 million in the initial closing of its Series B convertible preferred stock financing (the Series B Initial Closing). The Series B SPA provides that within 90 days of the Series B Initial Closing, the Company may issue and sell on the same terms and conditions, additional shares of its Series B convertible preferred stock to one or more purchasers (Series B Subsequent Closing). The Series B Subsequent Closing is at the option of the Company and therefore was not determined to be a commitment by the Company that is subject to liability classification and/or derivative accounting.</w:t>
      </w:r>
    </w:p>
    <w:p>
      <w:pPr>
        <w:spacing w:after="0" w:line="1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October 2022, the Series B Subsequent Closing occurred, and the Company issued an additional 2,124,143 shares of its Series B convertible preferred stock to a new investor at $11.77 per share for aggregate proceeds of $25.0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and June 30, 2023, the Company’s convertible preferred stock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Carrying</w:t>
            </w:r>
          </w:p>
        </w:tc>
        <w:tc>
          <w:tcPr>
            <w:tcW w:w="9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Authorized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right"/>
              <w:ind w:right="10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47,471</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Series A-2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697,948</w:t>
            </w:r>
          </w:p>
        </w:tc>
        <w:tc>
          <w:tcPr>
            <w:tcW w:w="4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88,952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693,263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697,948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74,930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112,216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112,395</w:t>
            </w:r>
          </w:p>
        </w:tc>
        <w:tc>
          <w:tcPr>
            <w:tcW w:w="0" w:type="dxa"/>
            <w:vAlign w:val="bottom"/>
          </w:tcPr>
          <w:p>
            <w:pPr>
              <w:spacing w:after="0"/>
              <w:rPr>
                <w:sz w:val="1"/>
                <w:szCs w:val="1"/>
                <w:color w:val="auto"/>
              </w:rPr>
            </w:pP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Total convertible preferred stock</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820,349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843,687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Amgen Future Financing</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Subject to certain conditions, Amgen is obligated to provide the Company with additional financing of up to $100.0 million in equity securities. This obligation terminates upon the completion of a public offering of the Company’s common stock. This future financing is a freestanding financial instrument and is not subject to liability classification and/or derivative accounting. The value of this future financing was determined to be de minimis at issuance and as of December 31, 2022 and June 30, 2023, as it would be settled based on the same terms and conditions other third parties will receive.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In October 2022, the Company’s board of directors approved a certificate of amendment to the Company’s amended and restated certificate of incorporation which, among other things, (i) increased the authorized number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of shares of the Company’s common stock to 1,210,000,000 shares and (ii) increased the authorized number of shares of the Company’s convertible preferred stock to 820,348,942 shares.</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holders of the Company’s common stock are entitled to one vote per share on all matters to be voted on by the stockholders of the Company and are entitled to dividends, if and when declared by the Company’s board of directors, subject to the prior rights of the preferred stockholders. Common stock outstanding in the condensed consolidated balance sheet and condensed consolidated statement of convertible preferred stock and stockholders’ deficit as of June 30, 2023 includes 1,493,124 shares of restricted stock that vest based on service conditions and are subject to the Company’s right of repurchase upon termination of services and 892,136 shares of restricted stock that vest based on performance conditions (see Note 11). Common stock reserved for future issuance consisted of the following:</w:t>
      </w:r>
    </w:p>
    <w:p>
      <w:pPr>
        <w:spacing w:after="0" w:line="19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84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conversion of outstanding 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104,417</w:t>
            </w:r>
          </w:p>
        </w:tc>
        <w:tc>
          <w:tcPr>
            <w:tcW w:w="8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Shares reserved for options to purchase common stock under the Plans</w:t>
            </w:r>
          </w:p>
        </w:tc>
        <w:tc>
          <w:tcPr>
            <w:tcW w:w="780" w:type="dxa"/>
            <w:vAlign w:val="bottom"/>
          </w:tcPr>
          <w:p>
            <w:pPr>
              <w:jc w:val="right"/>
              <w:spacing w:after="0"/>
              <w:rPr>
                <w:sz w:val="20"/>
                <w:szCs w:val="20"/>
                <w:color w:val="auto"/>
              </w:rPr>
            </w:pPr>
            <w:r>
              <w:rPr>
                <w:rFonts w:ascii="Arial" w:cs="Arial" w:eastAsia="Arial" w:hAnsi="Arial"/>
                <w:sz w:val="18"/>
                <w:szCs w:val="18"/>
                <w:color w:val="auto"/>
              </w:rPr>
              <w:t>12,195</w:t>
            </w:r>
          </w:p>
        </w:tc>
        <w:tc>
          <w:tcPr>
            <w:tcW w:w="8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issuance under the Plans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80" w:type="dxa"/>
            <w:vAlign w:val="bottom"/>
            <w:shd w:val="clear" w:color="auto" w:fill="CCEEFF"/>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119,839</w:t>
            </w:r>
          </w:p>
        </w:tc>
        <w:tc>
          <w:tcPr>
            <w:tcW w:w="8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the Company may be required to issue additional shares of its capital stock if certain milestone conditions are met pursuant to the contingent consideration associated with the Company’s acquisitions of assets (see Note 6). As of June 30, 2023, none of the milestone conditions have been met and no shares have been reserved for potential future issuances.</w:t>
      </w:r>
    </w:p>
    <w:p>
      <w:pPr>
        <w:spacing w:after="0" w:line="328"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Warrants</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In connection with the BlackThorn acquisition in September 2020, the Company issued preferred stock warrants to purchase up to 292,193 shares of Series A-1 convertible preferred stock with an exercise price of $10.60 per share. In December 2022, 210,481 preferred stock warrants were exercised and the remaining 81,712 preferred stock warrants expired as of December 31, 2022. The Company issued 157,371 shares of Series A-1 convertible preferred stock, including 104,563 to a related party, upon the exercise and net exercise of preferred stock warrants.</w:t>
      </w:r>
    </w:p>
    <w:p>
      <w:pPr>
        <w:spacing w:after="0" w:line="302"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7"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2020 Equity Incentive Plan</w:t>
      </w:r>
    </w:p>
    <w:p>
      <w:pPr>
        <w:spacing w:after="0" w:line="121"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In January 2020, the Company adopted the 2020 Equity Incentive Plan (the 2020 Plan) that provides for the grant of incentive stock options, non-statutory stock options, restricted stock awards, restricted stock unit, and other stock-based awards to employees, directors, and non-employee service providers of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2015 Equity Incentive Plan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Upon the closing of the BlackThorn acquisition in September 2020, the Company assumed BlackThorn’s 2015 Equity Incentive Plan (the 2015 Plan, and collectively with the 2020 Plan, the Plans), pursuant to which outstanding stock options previously granted under the 2015 Plan converted into stock options to purchase common stock of the Company, which remain subject to the terms and conditions of the 2015 Plan. The 2015 Plan was suspended in connection with the closing of the acquisition of BlackThorn in September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00"/>
          </w:cols>
          <w:pgMar w:left="320" w:top="459" w:right="47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under the Plans: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ind w:left="660"/>
              <w:spacing w:after="0"/>
              <w:rPr>
                <w:sz w:val="20"/>
                <w:szCs w:val="20"/>
                <w:color w:val="auto"/>
              </w:rPr>
            </w:pPr>
            <w:r>
              <w:rPr>
                <w:rFonts w:ascii="Arial" w:cs="Arial" w:eastAsia="Arial" w:hAnsi="Arial"/>
                <w:sz w:val="14"/>
                <w:szCs w:val="14"/>
                <w:b w:val="1"/>
                <w:bCs w:val="1"/>
                <w:color w:val="auto"/>
              </w:rPr>
              <w:t>Weighted-</w:t>
            </w:r>
          </w:p>
        </w:tc>
        <w:tc>
          <w:tcPr>
            <w:tcW w:w="174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lef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7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3"/>
            <w:vMerge w:val="restart"/>
          </w:tcPr>
          <w:p>
            <w:pPr>
              <w:jc w:val="center"/>
              <w:ind w:left="7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Outstanding</w:t>
            </w:r>
          </w:p>
        </w:tc>
        <w:tc>
          <w:tcPr>
            <w:tcW w:w="1680" w:type="dxa"/>
            <w:vAlign w:val="bottom"/>
            <w:gridSpan w:val="2"/>
          </w:tcPr>
          <w:p>
            <w:pPr>
              <w:jc w:val="center"/>
              <w:ind w:lef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80" w:type="dxa"/>
            <w:vAlign w:val="bottom"/>
            <w:gridSpan w:val="2"/>
          </w:tcPr>
          <w:p>
            <w:pPr>
              <w:jc w:val="center"/>
              <w:ind w:left="220"/>
              <w:spacing w:after="0" w:line="149" w:lineRule="exact"/>
              <w:rPr>
                <w:sz w:val="20"/>
                <w:szCs w:val="20"/>
                <w:color w:val="auto"/>
              </w:rPr>
            </w:pPr>
            <w:r>
              <w:rPr>
                <w:rFonts w:ascii="Arial" w:cs="Arial" w:eastAsia="Arial" w:hAnsi="Arial"/>
                <w:sz w:val="14"/>
                <w:szCs w:val="14"/>
                <w:b w:val="1"/>
                <w:bCs w:val="1"/>
                <w:color w:val="auto"/>
                <w:w w:val="95"/>
              </w:rPr>
              <w:t>Price Per</w:t>
            </w:r>
          </w:p>
        </w:tc>
        <w:tc>
          <w:tcPr>
            <w:tcW w:w="17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40" w:type="dxa"/>
            <w:vAlign w:val="bottom"/>
            <w:gridSpan w:val="3"/>
          </w:tcPr>
          <w:p>
            <w:pPr>
              <w:jc w:val="center"/>
              <w:ind w:left="76"/>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Stock Options</w:t>
            </w:r>
          </w:p>
        </w:tc>
        <w:tc>
          <w:tcPr>
            <w:tcW w:w="780" w:type="dxa"/>
            <w:vAlign w:val="bottom"/>
          </w:tcPr>
          <w:p>
            <w:pPr>
              <w:spacing w:after="0"/>
              <w:rPr>
                <w:sz w:val="14"/>
                <w:szCs w:val="14"/>
                <w:color w:val="auto"/>
              </w:rPr>
            </w:pPr>
          </w:p>
        </w:tc>
        <w:tc>
          <w:tcPr>
            <w:tcW w:w="900" w:type="dxa"/>
            <w:vAlign w:val="bottom"/>
          </w:tcPr>
          <w:p>
            <w:pPr>
              <w:jc w:val="center"/>
              <w:ind w:right="412"/>
              <w:spacing w:after="0"/>
              <w:rPr>
                <w:sz w:val="20"/>
                <w:szCs w:val="20"/>
                <w:color w:val="auto"/>
              </w:rPr>
            </w:pPr>
            <w:r>
              <w:rPr>
                <w:rFonts w:ascii="Arial" w:cs="Arial" w:eastAsia="Arial" w:hAnsi="Arial"/>
                <w:sz w:val="14"/>
                <w:szCs w:val="14"/>
                <w:b w:val="1"/>
                <w:bCs w:val="1"/>
                <w:color w:val="auto"/>
                <w:w w:val="92"/>
              </w:rPr>
              <w:t>Share</w:t>
            </w:r>
          </w:p>
        </w:tc>
        <w:tc>
          <w:tcPr>
            <w:tcW w:w="1740" w:type="dxa"/>
            <w:vAlign w:val="bottom"/>
          </w:tcPr>
          <w:p>
            <w:pPr>
              <w:jc w:val="right"/>
              <w:ind w:right="480"/>
              <w:spacing w:after="0"/>
              <w:rPr>
                <w:sz w:val="20"/>
                <w:szCs w:val="20"/>
                <w:color w:val="auto"/>
              </w:rPr>
            </w:pPr>
            <w:r>
              <w:rPr>
                <w:rFonts w:ascii="Arial" w:cs="Arial" w:eastAsia="Arial" w:hAnsi="Arial"/>
                <w:sz w:val="14"/>
                <w:szCs w:val="14"/>
                <w:b w:val="1"/>
                <w:bCs w:val="1"/>
                <w:color w:val="auto"/>
              </w:rPr>
              <w:t>Term (years)</w:t>
            </w:r>
          </w:p>
        </w:tc>
        <w:tc>
          <w:tcPr>
            <w:tcW w:w="34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5"/>
              </w:rPr>
              <w:t>(in thousands, except per share amounts and years)</w:t>
            </w: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8,570</w:t>
            </w:r>
          </w:p>
        </w:tc>
        <w:tc>
          <w:tcPr>
            <w:tcW w:w="7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3.79</w:t>
            </w:r>
          </w:p>
        </w:tc>
        <w:tc>
          <w:tcPr>
            <w:tcW w:w="174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24,085</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4,206</w:t>
            </w:r>
          </w:p>
        </w:tc>
        <w:tc>
          <w:tcPr>
            <w:tcW w:w="780" w:type="dxa"/>
            <w:vAlign w:val="bottom"/>
          </w:tcPr>
          <w:p>
            <w:pPr>
              <w:spacing w:after="0"/>
              <w:rPr>
                <w:sz w:val="18"/>
                <w:szCs w:val="18"/>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6.37</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3.03</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(787)</w:t>
            </w:r>
          </w:p>
        </w:tc>
        <w:tc>
          <w:tcPr>
            <w:tcW w:w="780" w:type="dxa"/>
            <w:vAlign w:val="bottom"/>
          </w:tcPr>
          <w:p>
            <w:pPr>
              <w:spacing w:after="0"/>
              <w:rPr>
                <w:sz w:val="18"/>
                <w:szCs w:val="18"/>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3.69</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3.08</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Outstanding as of June 30, 2023</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140" w:type="dxa"/>
            <w:vAlign w:val="bottom"/>
          </w:tcPr>
          <w:p>
            <w:pPr>
              <w:spacing w:after="0"/>
              <w:rPr>
                <w:sz w:val="19"/>
                <w:szCs w:val="19"/>
                <w:color w:val="auto"/>
              </w:rPr>
            </w:pPr>
          </w:p>
        </w:tc>
        <w:tc>
          <w:tcPr>
            <w:tcW w:w="78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4.78</w:t>
            </w:r>
          </w:p>
        </w:tc>
        <w:tc>
          <w:tcPr>
            <w:tcW w:w="1740" w:type="dxa"/>
            <w:vAlign w:val="bottom"/>
          </w:tcPr>
          <w:p>
            <w:pPr>
              <w:jc w:val="right"/>
              <w:ind w:right="480"/>
              <w:spacing w:after="0"/>
              <w:rPr>
                <w:sz w:val="20"/>
                <w:szCs w:val="20"/>
                <w:color w:val="auto"/>
              </w:rPr>
            </w:pPr>
            <w:r>
              <w:rPr>
                <w:rFonts w:ascii="Arial" w:cs="Arial" w:eastAsia="Arial" w:hAnsi="Arial"/>
                <w:sz w:val="18"/>
                <w:szCs w:val="18"/>
                <w:color w:val="auto"/>
              </w:rPr>
              <w:t>8.6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19,114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as of June 30, 2023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3,041</w:t>
            </w:r>
          </w:p>
        </w:tc>
        <w:tc>
          <w:tcPr>
            <w:tcW w:w="7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3.79</w:t>
            </w:r>
          </w:p>
        </w:tc>
        <w:tc>
          <w:tcPr>
            <w:tcW w:w="174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Exercisable as of June 30, 2023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3,296</w:t>
            </w:r>
          </w:p>
        </w:tc>
        <w:tc>
          <w:tcPr>
            <w:tcW w:w="78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3.69</w:t>
            </w:r>
          </w:p>
        </w:tc>
        <w:tc>
          <w:tcPr>
            <w:tcW w:w="1740" w:type="dxa"/>
            <w:vAlign w:val="bottom"/>
          </w:tcPr>
          <w:p>
            <w:pPr>
              <w:jc w:val="right"/>
              <w:ind w:right="480"/>
              <w:spacing w:after="0"/>
              <w:rPr>
                <w:sz w:val="20"/>
                <w:szCs w:val="20"/>
                <w:color w:val="auto"/>
              </w:rPr>
            </w:pPr>
            <w:r>
              <w:rPr>
                <w:rFonts w:ascii="Arial" w:cs="Arial" w:eastAsia="Arial" w:hAnsi="Arial"/>
                <w:sz w:val="18"/>
                <w:szCs w:val="18"/>
                <w:color w:val="auto"/>
              </w:rPr>
              <w:t>7.6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stock option activity table above excludes options to purchase 299,503 shares of the Company’s common stock issued to the Company’s scientific advisors which vest based on the achievement of certain performance conditions to be separately defined and approved by the Company’s board of directors. As the performance conditions had not been determined as of June 30, 2023, the criteria for establishing a grant date, and accordingly a measurement date, were not met as of that date.</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stock option activity table above also excludes options granted to purchase 446,068 shares of common stock that were originally granted with market conditions to one of the Company’s executives.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Stock Options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fair value of stock options granted for employee and non-employee awards was estimated at the grant date using the Black-Scholes option pricing model based on the following assumptions: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18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2"/>
          </w:tcPr>
          <w:p>
            <w:pPr>
              <w:jc w:val="right"/>
              <w:ind w:right="495"/>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2023</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91.1%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92.7%</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 6.5</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780" w:type="dxa"/>
            <w:vAlign w:val="bottom"/>
          </w:tcPr>
          <w:p>
            <w:pPr>
              <w:ind w:left="20"/>
              <w:spacing w:after="0"/>
              <w:rPr>
                <w:sz w:val="20"/>
                <w:szCs w:val="20"/>
                <w:color w:val="auto"/>
              </w:rPr>
            </w:pPr>
            <w:r>
              <w:rPr>
                <w:rFonts w:ascii="Arial" w:cs="Arial" w:eastAsia="Arial" w:hAnsi="Arial"/>
                <w:sz w:val="18"/>
                <w:szCs w:val="18"/>
                <w:color w:val="auto"/>
              </w:rPr>
              <w:t>– 6.1</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color w:val="auto"/>
              </w:rPr>
              <w:t>— %</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rPr>
              <w:t>— %</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Early Exercise of Employee Stock Options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Company’s 2020 Plan allows certain employees to exercise their stock options prior to vesting into shares of restricted common stock. The proceeds from early exercised stock options are recorded as liabilities in the condensed consolidated balance sheets at the time of exercise and reclassified to common stock and additional paid-in capital as the underlying stock options vest and the Company’s repurchase right lapses. As of June 30, 2023, the Company had issued 1,004,607 shares of restricted common stock upon the early exercise of unvested stock options, of which 799,629 shares had vested and 122,987 unvested shares had been repurchased, such that 81,991 shares or restricted stock remained outstanding and unvested.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Company’s 2020 Plan allows for the grant of restricted common stock to certain employees, executives, non-employee scientific advisors, and third-party service providers. The restrictions lapse over time primarily according to service-based vesting conditions of each award. In the event of a voluntary or involuntary termination of the holder’s continuous provision of services to the Company, any unvested portion of the restricted stock award is automatically forfeited.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left="521"/>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Shares</w:t>
            </w:r>
          </w:p>
        </w:tc>
        <w:tc>
          <w:tcPr>
            <w:tcW w:w="16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224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per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share amounts)</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as of December 31, 2022</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Vested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(1,175)</w:t>
            </w:r>
          </w:p>
        </w:tc>
        <w:tc>
          <w:tcPr>
            <w:tcW w:w="7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as of June 30, 2023</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restricted stock activity table above excludes 509,792 shares of restricted common stock issued to certain of the Company’s scientific advisors which vest based on the achievement of certain performance conditions to be separately defined and approved by the Company’s board of directors. As the performance conditions had not been determined as of June 30, 2023, the criteria for establishing a grant date, and accordingly a measurement date, were not met as of that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 with Market and Performance Conditions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June 2021, the Company granted stock options to purchase 446,068 shares of its common stock to one of its executive officers with an exercise price of $2.52 per share that contained both market and service conditions (the Market Award). Subject to the holder’s continued service, the Market Award provided for vesting in four equal tranches once the Company’s stock price exceeded certain thresholds. The original grant-date fair value of the Market Award of $0.9 million was determined using a Monte Carlo simulation model using an expected volatility of 100.0% and risk-free rate of 1.6%.</w:t>
      </w:r>
    </w:p>
    <w:p>
      <w:pPr>
        <w:spacing w:after="0" w:line="157" w:lineRule="exact"/>
        <w:rPr>
          <w:sz w:val="20"/>
          <w:szCs w:val="20"/>
          <w:color w:val="auto"/>
        </w:rPr>
      </w:pPr>
    </w:p>
    <w:p>
      <w:pPr>
        <w:ind w:left="120" w:right="320"/>
        <w:spacing w:after="0" w:line="296" w:lineRule="auto"/>
        <w:rPr>
          <w:sz w:val="20"/>
          <w:szCs w:val="20"/>
          <w:color w:val="auto"/>
        </w:rPr>
      </w:pPr>
      <w:r>
        <w:rPr>
          <w:rFonts w:ascii="Arial" w:cs="Arial" w:eastAsia="Arial" w:hAnsi="Arial"/>
          <w:sz w:val="16"/>
          <w:szCs w:val="16"/>
          <w:color w:val="auto"/>
        </w:rPr>
        <w:t>In January 2022, the Company amended the terms of the Market Award such that the award would vest in three modified tranches. One tranche of 223,034 stock options was based on a performance condition and two tranches of 111,517 stock options each were based on revised Company stock price thresholds and/or vesting schedules, subject to the holder’s continued service. The modification resulting in a performance-based tranche was determined to be a probable-to-improbable modification and the modification resulting in two revised market-based tranches were determined to be probable-to-probable modifications. The modification resulted in $0.3 million in total incremental expense.</w:t>
      </w:r>
    </w:p>
    <w:p>
      <w:pPr>
        <w:spacing w:after="0" w:line="16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June 2023, the Company amended the terms such that vesting schedule for the two tranches of 111,517 stock options each that were based on the Company stock price thresholds would instead vest monthly over 3 years, subject to the holder’s continued service. The modification of the two market-based tranches were deemed to be probable-to-probable modifications. The modification resulted in $0.1 million in total incremental expense.</w:t>
      </w:r>
    </w:p>
    <w:p>
      <w:pPr>
        <w:spacing w:after="0" w:line="14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unrecognized original grant-date fair value, together with incremental expense, is recognized as compensation for each tranche over the requisite service period. For the six months ended June 30, 2022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080"/>
          </w:cols>
          <w:pgMar w:left="320" w:top="459" w:right="49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2023, stock-based compensation related to the tranches was not material, and no expense was recognized for the performance-based tranche as the performance condition was not probable of being met.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 with Performance Conditions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2020, the Company approved 700,965 stock options and 892,136 restricted common stock to certain of the Company’s scientific advisors, which vest based on the achievement of performance conditions to be determined and continued service to the Company. In December 2022, the Company’s board of directors established performance conditions, consisting of certain development milestones, for 337,738 stock options and 382,344 restricted common stock such that the criteria for establishing a grant date, and accordingly a measurement date, were met for these performance stock options and performance restricted common. During the six months ended June 30, 2023, the conditions (and therefore the grant date) for an additional 63,724 stock options were established. As of June 30, 2023, it was probable that the milestones would be met for certain of the performance stock options and performance restricted stock that were granted and for which expense was recognized using the accelerated attribution method. For the six months ended June 30, 2023, the Company recognized expense of $0.4 million related to these awards with performance conditions that were probable of being met.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following table summarizes total stock-based compensation included in the Company’s condensed consolidated statements of operations and comprehensive loss: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ind w:left="4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1,635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2,958</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4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3,405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4,738</w:t>
            </w: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As of June 30, 2023, there was $34.5 million and $2.1 million of unrecognized stock-based compensation related to stock options and restricted stock awards outstanding, respectively, including stock options and restricted common stock for which achievement of milestones was not probable, which were expected to be recognized over a weighted-average remaining service period of 2.4 years and 1.0 year, respectively.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Agreement</w:t>
      </w:r>
    </w:p>
    <w:p>
      <w:pPr>
        <w:spacing w:after="0" w:line="121" w:lineRule="exact"/>
        <w:rPr>
          <w:sz w:val="20"/>
          <w:szCs w:val="20"/>
          <w:color w:val="auto"/>
        </w:rPr>
      </w:pPr>
    </w:p>
    <w:p>
      <w:pPr>
        <w:ind w:left="120" w:right="720"/>
        <w:spacing w:after="0" w:line="291" w:lineRule="auto"/>
        <w:rPr>
          <w:sz w:val="20"/>
          <w:szCs w:val="20"/>
          <w:color w:val="auto"/>
        </w:rPr>
      </w:pPr>
      <w:r>
        <w:rPr>
          <w:rFonts w:ascii="Arial" w:cs="Arial" w:eastAsia="Arial" w:hAnsi="Arial"/>
          <w:sz w:val="16"/>
          <w:szCs w:val="16"/>
          <w:color w:val="auto"/>
        </w:rPr>
        <w:t>In May 2020, the Company entered into a services agreement with a vendor for assistance in evaluating assets and technologies in the field of neurodegeneration. In return for services provided, the Company agreed to issue the vendor shares of its common stock representing a value of</w:t>
      </w:r>
    </w:p>
    <w:p>
      <w:pPr>
        <w:ind w:left="120" w:right="180"/>
        <w:spacing w:after="0" w:line="255" w:lineRule="auto"/>
        <w:rPr>
          <w:sz w:val="20"/>
          <w:szCs w:val="20"/>
          <w:color w:val="auto"/>
        </w:rPr>
      </w:pPr>
      <w:r>
        <w:rPr>
          <w:rFonts w:ascii="Arial" w:cs="Arial" w:eastAsia="Arial" w:hAnsi="Arial"/>
          <w:sz w:val="18"/>
          <w:szCs w:val="18"/>
          <w:color w:val="auto"/>
        </w:rPr>
        <w:t>$1.0 million upon the achievement of certain milestones tied to the successful in-license or acquisition of assets (the Milestone Shares). The Company concluded the Milestone Shares are stock settled debt that are required to be classified as a liability and recognized at such time the milestones are probable of being met. As of June 30, 2023, the milestones were not probable of being met.</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computation of basic and diluted net loss per share: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5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r>
      <w:tr>
        <w:trPr>
          <w:trHeight w:val="119"/>
        </w:trPr>
        <w:tc>
          <w:tcPr>
            <w:tcW w:w="5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4"/>
          </w:tcPr>
          <w:p>
            <w:pPr>
              <w:jc w:val="center"/>
              <w:ind w:right="55"/>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100" w:type="dxa"/>
            <w:vAlign w:val="bottom"/>
          </w:tcPr>
          <w:p>
            <w:pPr>
              <w:spacing w:after="0"/>
              <w:rPr>
                <w:sz w:val="10"/>
                <w:szCs w:val="10"/>
                <w:color w:val="auto"/>
              </w:rPr>
            </w:pPr>
          </w:p>
        </w:tc>
      </w:tr>
      <w:tr>
        <w:trPr>
          <w:trHeight w:val="171"/>
        </w:trPr>
        <w:tc>
          <w:tcPr>
            <w:tcW w:w="5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share amounts)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(73,414)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(74,168)</w:t>
            </w:r>
          </w:p>
        </w:tc>
      </w:tr>
      <w:tr>
        <w:trPr>
          <w:trHeight w:val="20"/>
        </w:trPr>
        <w:tc>
          <w:tcPr>
            <w:tcW w:w="5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26,432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29,703</w:t>
            </w:r>
          </w:p>
        </w:tc>
      </w:tr>
      <w:tr>
        <w:trPr>
          <w:trHeight w:val="20"/>
        </w:trPr>
        <w:tc>
          <w:tcPr>
            <w:tcW w:w="5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0"/>
        </w:trPr>
        <w:tc>
          <w:tcPr>
            <w:tcW w:w="5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for the periods presented because including them would have been antidilutive:</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2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w w:val="96"/>
              </w:rPr>
              <w:t>June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1880" w:type="dxa"/>
            <w:vAlign w:val="bottom"/>
            <w:gridSpan w:val="5"/>
          </w:tcPr>
          <w:p>
            <w:pPr>
              <w:jc w:val="right"/>
              <w:ind w:right="412"/>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104,417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11,449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Performance stock options (with performance conditions to be established)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Early exercised stock options subject to future vesting</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1,727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Performance restricted stock (with performance conditions to be established)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109,495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118,485</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September 2022, the Company issued 2,973,800 shares of its Series B convertible preferred stock for total cash proceeds of $35.0 million to two significant stockholders that have designated members on the Company’s board of directors and each of whom is considered to be a related party (see Note 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2022, 104,563 preferred stock warrants held by a related party were exercised at $10.60 per share (see Note 10).</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of December 31, 2022 and June 30, 2023, the Company was obligated to pay Amgen $6.3 million under the Amgen Collaboration Agreement, which was recorded within current liabilities on the condensed consolidated balance sheets. As of December 31, 2022 and June 30, 2023, $11.9 million and $8.1 million related to amounts prepayable to Amgen were recorded as prepaid expenses and other current assets, respectively, on the condensed consolidated balance sheets. During the six months ended June 30, 2022 and 2023, the Company recorded $14.3 million and $16.3 million of research and development expenses with Amgen, respectively (see Note 8).</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Subject to certain conditions, Amgen is also obligated to provide the Company with additional financing of up to $100.0 million. This obligation terminates upon the completion of a public offering of the Company’s common stock (see Note 9).</w:t>
      </w:r>
    </w:p>
    <w:p>
      <w:pPr>
        <w:spacing w:after="0" w:line="315"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evaluated subsequent events through August 8, 2023, the date these condensed consolidated financial statements were available to be issued. The Company has also evaluated subsequent events through August 25, 2023 (except for the impact of the reverse stock split as discussed in the Reverse Stock Split paragraph of Note 1, as to which the date is September 11, 2023).</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 with Performance Conditions Not Established</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In July 2023, certain of the Company’s scientific advisors were terminated. As a result, 299,503 stock options and 254,896 restricted common stock with performance conditions that were not established did not meet the criteria for establishing a grant date and a measurement date (see Note 11).</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14,710,000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24130</wp:posOffset>
            </wp:positionV>
            <wp:extent cx="2554605" cy="5657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546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974725</wp:posOffset>
            </wp:positionV>
            <wp:extent cx="18173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168910</wp:posOffset>
            </wp:positionV>
            <wp:extent cx="18173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tabs>
          <w:tab w:leader="none" w:pos="1800" w:val="left"/>
          <w:tab w:leader="none" w:pos="3440" w:val="left"/>
          <w:tab w:leader="none" w:pos="4860" w:val="left"/>
          <w:tab w:leader="none" w:pos="7560" w:val="left"/>
          <w:tab w:leader="none" w:pos="9980" w:val="left"/>
        </w:tabs>
        <w:rPr>
          <w:sz w:val="20"/>
          <w:szCs w:val="20"/>
          <w:color w:val="auto"/>
        </w:rPr>
      </w:pPr>
      <w:r>
        <w:rPr>
          <w:rFonts w:ascii="Arial" w:cs="Arial" w:eastAsia="Arial" w:hAnsi="Arial"/>
          <w:sz w:val="18"/>
          <w:szCs w:val="18"/>
          <w:b w:val="1"/>
          <w:bCs w:val="1"/>
          <w:color w:val="auto"/>
        </w:rPr>
        <w:t>J.P. Morgan</w:t>
      </w:r>
      <w:r>
        <w:rPr>
          <w:sz w:val="20"/>
          <w:szCs w:val="20"/>
          <w:color w:val="auto"/>
        </w:rPr>
        <w:tab/>
      </w:r>
      <w:r>
        <w:rPr>
          <w:rFonts w:ascii="Arial" w:cs="Arial" w:eastAsia="Arial" w:hAnsi="Arial"/>
          <w:sz w:val="18"/>
          <w:szCs w:val="18"/>
          <w:b w:val="1"/>
          <w:bCs w:val="1"/>
          <w:color w:val="auto"/>
        </w:rPr>
        <w:t>BofA Securities</w:t>
      </w:r>
      <w:r>
        <w:rPr>
          <w:sz w:val="20"/>
          <w:szCs w:val="20"/>
          <w:color w:val="auto"/>
        </w:rPr>
        <w:tab/>
      </w:r>
      <w:r>
        <w:rPr>
          <w:rFonts w:ascii="Arial" w:cs="Arial" w:eastAsia="Arial" w:hAnsi="Arial"/>
          <w:sz w:val="18"/>
          <w:szCs w:val="18"/>
          <w:b w:val="1"/>
          <w:bCs w:val="1"/>
          <w:color w:val="auto"/>
        </w:rPr>
        <w:t>Stifel</w:t>
      </w:r>
      <w:r>
        <w:rPr>
          <w:sz w:val="20"/>
          <w:szCs w:val="20"/>
          <w:color w:val="auto"/>
        </w:rPr>
        <w:tab/>
      </w:r>
      <w:r>
        <w:rPr>
          <w:rFonts w:ascii="Arial" w:cs="Arial" w:eastAsia="Arial" w:hAnsi="Arial"/>
          <w:sz w:val="18"/>
          <w:szCs w:val="18"/>
          <w:b w:val="1"/>
          <w:bCs w:val="1"/>
          <w:color w:val="auto"/>
        </w:rPr>
        <w:t>Guggenheim Securities</w:t>
      </w:r>
      <w:r>
        <w:rPr>
          <w:sz w:val="20"/>
          <w:szCs w:val="20"/>
          <w:color w:val="auto"/>
        </w:rPr>
        <w:tab/>
      </w:r>
      <w:r>
        <w:rPr>
          <w:rFonts w:ascii="Arial" w:cs="Arial" w:eastAsia="Arial" w:hAnsi="Arial"/>
          <w:sz w:val="18"/>
          <w:szCs w:val="18"/>
          <w:b w:val="1"/>
          <w:bCs w:val="1"/>
          <w:color w:val="auto"/>
        </w:rPr>
        <w:t>RBC Capital Markets</w:t>
      </w:r>
      <w:r>
        <w:rPr>
          <w:sz w:val="20"/>
          <w:szCs w:val="20"/>
          <w:color w:val="auto"/>
        </w:rPr>
        <w:tab/>
      </w:r>
      <w:r>
        <w:rPr>
          <w:rFonts w:ascii="Arial" w:cs="Arial" w:eastAsia="Arial" w:hAnsi="Arial"/>
          <w:sz w:val="17"/>
          <w:szCs w:val="17"/>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 2023</w:t>
      </w:r>
    </w:p>
    <w:p>
      <w:pPr>
        <w:sectPr>
          <w:pgSz w:w="11900" w:h="16838" w:orient="portrait"/>
          <w:cols w:equalWidth="0" w:num="1">
            <w:col w:w="11060"/>
          </w:cols>
          <w:pgMar w:left="320" w:top="459" w:right="51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The following table sets forth the costs and expenses, other than underwriting discounts and commissions, payable by us in connection with the sale of the common stock being registered. All amounts are estimates except for the Securities and Exchange Commission (SEC) registration fee, the Financial Industry Regulatory Authority (FINRA) filing fee and the Nasdaq Global Market (Nasdaq) listing fee.</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 Paid</w:t>
            </w:r>
          </w:p>
        </w:tc>
      </w:tr>
      <w:tr>
        <w:trPr>
          <w:trHeight w:val="171"/>
        </w:trPr>
        <w:tc>
          <w:tcPr>
            <w:tcW w:w="650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or to Be Paid</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33,556</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46,175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Transfer agent’s fees and expenses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1,000,000</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1,900,000</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1,750,000</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40,000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75,269</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9 of the registrant’s amended and restated certificate of incorporation provides for indemnification by the registrant of its directors, officers, and employees to the fullest extent permitted by the Delaware General Corporation Law. The registrant has entered into indemnification agreements with each of its current directors, executive officers, and certain other officers to provide these directors and officers additional contractual assurances regarding the scope of the indemnification set forth in the registrant’s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7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amended and restated certificate of incorporation provides for such limitation of liability.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9" w:right="49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that may be made by the registrant to such officers and directors pursuant to the above indemnification provision or otherwise as a matter of law.</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directors and officers of the registrant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Since its inception in November 2019, the registrant has sold the following securities without registration under the Securities Act of 1933:</w:t>
      </w:r>
    </w:p>
    <w:p>
      <w:pPr>
        <w:spacing w:after="0" w:line="142" w:lineRule="exact"/>
        <w:rPr>
          <w:sz w:val="20"/>
          <w:szCs w:val="20"/>
          <w:color w:val="auto"/>
        </w:rPr>
      </w:pPr>
    </w:p>
    <w:p>
      <w:pPr>
        <w:ind w:left="1080" w:hanging="532"/>
        <w:spacing w:after="0"/>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From January 2020 to May 2022, the registrant issued 23,472,829 shares of its common stock for proceeds of approximately $49,320.</w:t>
      </w:r>
    </w:p>
    <w:p>
      <w:pPr>
        <w:spacing w:after="0" w:line="153"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From May 2020 to September 2020, the registrant issued 6,692,103 shares of its common stock in connection with its issuance and sale of its Series A-2 convertible preferred stock for no additional consideration.</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September 2020, the registrant issued 5,757,901 shares of its Series A-1 convertible preferred stock at $7.85 per share for gross proceeds of approximately $45.2 million, in connection with its acquisition of BlackThorn.</w:t>
      </w:r>
    </w:p>
    <w:p>
      <w:pPr>
        <w:spacing w:after="0" w:line="75"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September 2020, the registrant issued 292,193 shares of its Series A-1 convertible preferred stock upon exercise of warrants for proceeds of approximately $3.1 million and in December 2022, warrants were exercised for 157,371 shares of Series A-1 convertible for gross proceeds of approximately $1.6 million. The warrants expired on December 31, 2022.</w:t>
      </w:r>
    </w:p>
    <w:p>
      <w:pPr>
        <w:spacing w:after="0" w:line="89"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September 2020, the registrant issued 30,294,213 shares of its Series A-2 convertible preferred stock at $7.85 per share for gross proceeds of approximately $ 237.7 million, including conversion of the convertible promissory notes of an aggregate principal amount of approximately $55.9 million issued from February 2020 to September 2020.</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November 2020, the registrant issued 1,529,383 shares of its Series A-2 convertible preferred stock at $7.85 per share for gross proceeds of $12.0 million, in connection with its acquisition of Alairion.</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From August 2021 to September 2021, the registrant issued 24,374,541 shares of its Series A-2 convertible preferred stock at $7.85 per share for gross proceeds of approximately $191.3 million.</w:t>
      </w:r>
    </w:p>
    <w:p>
      <w:pPr>
        <w:spacing w:after="0" w:line="75"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September 2021, the registrant issued 12,744,860 shares of its Series A-2 convertible preferred stock at $7.85 per share for gross proceeds of approximately $100.0 million.</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September 2021, the registrant issued 20,009,431 shares of its Series A-2 convertible preferred stock in connection with the entry into an intellectual property license arrangement.</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From September 2022 to October 2022, the registrant issued 9,549,715 shares of its Series B convertible preferred stock at $11.77 per share for gross proceeds of approximately $112.4 million.</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 has granted equity awards under the 2015 Plan to its directors, officers, employees, and consultants, which awards consisted of 296,959 options to purchase an aggregate of 296,959 shares of its common stock at exercise prices ranging from $2.51 to $10.83 per share.</w:t>
      </w:r>
    </w:p>
    <w:p>
      <w:pPr>
        <w:spacing w:after="0" w:line="89" w:lineRule="exact"/>
        <w:rPr>
          <w:rFonts w:ascii="Arial" w:cs="Arial" w:eastAsia="Arial" w:hAnsi="Arial"/>
          <w:sz w:val="18"/>
          <w:szCs w:val="18"/>
          <w:color w:val="auto"/>
        </w:rPr>
      </w:pPr>
    </w:p>
    <w:p>
      <w:pPr>
        <w:ind w:left="1080" w:right="72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 has issued an aggregate of 32,374 shares of its common stock upon the exercise of options under our 2015 Plan for aggregate proceeds of approximately $239,726.</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 has granted equity awards under the 2020 Plan its directors, officers, employees, and consultants, which awards consisted of 19,433,520 options to purchase an aggregate of 19,433,520 shares of its common stock at exercise prices ranging from $2.51 to $9.65 per share and 1,019,586 restricted stock awards issued at prices up to $6.35 per share.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532"/>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registrant has issued an aggregate of 2,280,210 shares of its common stock upon the exercise of options under our 2020 Plan for aggregate proceeds of approximately $6.0 million.</w:t>
      </w:r>
    </w:p>
    <w:p>
      <w:pPr>
        <w:spacing w:after="0" w:line="170"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The offers, sales and issuances of the securities described in Item 15(a) through 15(j) were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our company.</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offers, sales, and issuances of the securities described in Item 15(k) through 15(n) were exempt from registration under the Securities Act under either Rule 701, in that the transaction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our employees, directors or consultants. Appropriate legends were affixed to the securities issued in these transactions.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Exhibit Index attached to this registration statement, which Exhibit Index is incorporated herein by reference.</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1080" w:hanging="532"/>
        <w:spacing w:after="0" w:line="25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1"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540" w:right="40" w:hanging="439"/>
        <w:spacing w:after="0" w:line="259" w:lineRule="auto"/>
        <w:tabs>
          <w:tab w:leader="none" w:pos="15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540" w:right="460" w:hanging="439"/>
        <w:spacing w:after="0" w:line="263" w:lineRule="auto"/>
        <w:tabs>
          <w:tab w:leader="none" w:pos="15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12"/>
          </w:tcPr>
          <w:p>
            <w:pPr>
              <w:jc w:val="center"/>
              <w:ind w:right="380"/>
              <w:spacing w:after="0"/>
              <w:rPr>
                <w:sz w:val="20"/>
                <w:szCs w:val="20"/>
                <w:color w:val="auto"/>
              </w:rPr>
            </w:pPr>
            <w:r>
              <w:rPr>
                <w:rFonts w:ascii="Arial" w:cs="Arial" w:eastAsia="Arial" w:hAnsi="Arial"/>
                <w:sz w:val="18"/>
                <w:szCs w:val="18"/>
                <w:b w:val="1"/>
                <w:bCs w:val="1"/>
                <w:color w:val="auto"/>
              </w:rPr>
              <w:t>EXHIBIT INDEX</w:t>
            </w:r>
          </w:p>
        </w:tc>
      </w:tr>
      <w:tr>
        <w:trPr>
          <w:trHeight w:val="400"/>
        </w:trPr>
        <w:tc>
          <w:tcPr>
            <w:tcW w:w="8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3"/>
          </w:tcPr>
          <w:p>
            <w:pPr>
              <w:ind w:left="20"/>
              <w:spacing w:after="0"/>
              <w:rPr>
                <w:sz w:val="20"/>
                <w:szCs w:val="20"/>
                <w:color w:val="auto"/>
              </w:rPr>
            </w:pPr>
            <w:r>
              <w:rPr>
                <w:rFonts w:ascii="Arial" w:cs="Arial" w:eastAsia="Arial" w:hAnsi="Arial"/>
                <w:sz w:val="14"/>
                <w:szCs w:val="14"/>
                <w:color w:val="auto"/>
              </w:rPr>
              <w:t>Exhibit Description</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540" w:type="dxa"/>
            <w:vAlign w:val="bottom"/>
            <w:gridSpan w:val="2"/>
          </w:tcPr>
          <w:p>
            <w:pPr>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6020" w:type="dxa"/>
            <w:vAlign w:val="bottom"/>
            <w:gridSpan w:val="29"/>
          </w:tcPr>
          <w:p>
            <w:pPr>
              <w:spacing w:after="0"/>
              <w:rPr>
                <w:sz w:val="20"/>
                <w:szCs w:val="20"/>
                <w:color w:val="auto"/>
              </w:rPr>
            </w:pPr>
            <w:r>
              <w:rPr>
                <w:rFonts w:ascii="Arial" w:cs="Arial" w:eastAsia="Arial" w:hAnsi="Arial"/>
                <w:sz w:val="18"/>
                <w:szCs w:val="18"/>
                <w:color w:val="0000EE"/>
              </w:rPr>
              <w:t>Form of Underwriting Agreement</w:t>
            </w:r>
          </w:p>
        </w:tc>
      </w:tr>
      <w:tr>
        <w:trPr>
          <w:trHeight w:val="20"/>
        </w:trPr>
        <w:tc>
          <w:tcPr>
            <w:tcW w:w="820" w:type="dxa"/>
            <w:vAlign w:val="bottom"/>
            <w:gridSpan w:val="3"/>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2.1†</w:t>
            </w:r>
          </w:p>
        </w:tc>
        <w:tc>
          <w:tcPr>
            <w:tcW w:w="5880" w:type="dxa"/>
            <w:vAlign w:val="bottom"/>
            <w:tcBorders>
              <w:bottom w:val="single" w:sz="8" w:color="0000EE"/>
            </w:tcBorders>
            <w:gridSpan w:val="27"/>
          </w:tcPr>
          <w:p>
            <w:pPr>
              <w:spacing w:after="0"/>
              <w:rPr>
                <w:rFonts w:ascii="Arial" w:cs="Arial" w:eastAsia="Arial" w:hAnsi="Arial"/>
                <w:sz w:val="18"/>
                <w:szCs w:val="18"/>
                <w:color w:val="0000EE"/>
                <w:w w:val="89"/>
              </w:rPr>
            </w:pPr>
            <w:hyperlink r:id="rId345">
              <w:r>
                <w:rPr>
                  <w:rFonts w:ascii="Arial" w:cs="Arial" w:eastAsia="Arial" w:hAnsi="Arial"/>
                  <w:sz w:val="18"/>
                  <w:szCs w:val="18"/>
                  <w:color w:val="0000EE"/>
                  <w:w w:val="89"/>
                </w:rPr>
                <w:t>Agreement and Plan of Merger, dated June 1, 2020, by and among the Registrant,</w:t>
              </w:r>
            </w:hyperlink>
          </w:p>
        </w:tc>
        <w:tc>
          <w:tcPr>
            <w:tcW w:w="140" w:type="dxa"/>
            <w:vAlign w:val="bottom"/>
            <w:gridSpan w:val="2"/>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8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345">
              <w:r>
                <w:rPr>
                  <w:rFonts w:ascii="Arial" w:cs="Arial" w:eastAsia="Arial" w:hAnsi="Arial"/>
                  <w:sz w:val="18"/>
                  <w:szCs w:val="18"/>
                  <w:color w:val="0000EE"/>
                  <w:w w:val="92"/>
                </w:rPr>
                <w:t>Berries Merger Sub, Inc, BlackThorn Therapeutics, Inc. and Fortis Advisors LLC</w:t>
              </w:r>
            </w:hyperlink>
          </w:p>
        </w:tc>
        <w:tc>
          <w:tcPr>
            <w:tcW w:w="140" w:type="dxa"/>
            <w:vAlign w:val="bottom"/>
            <w:gridSpan w:val="2"/>
          </w:tcPr>
          <w:p>
            <w:pPr>
              <w:spacing w:after="0"/>
              <w:rPr>
                <w:sz w:val="17"/>
                <w:szCs w:val="17"/>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2.2†</w:t>
            </w:r>
          </w:p>
        </w:tc>
        <w:tc>
          <w:tcPr>
            <w:tcW w:w="6020" w:type="dxa"/>
            <w:vAlign w:val="bottom"/>
            <w:gridSpan w:val="29"/>
          </w:tcPr>
          <w:p>
            <w:pPr>
              <w:spacing w:after="0"/>
              <w:rPr>
                <w:rFonts w:ascii="Arial" w:cs="Arial" w:eastAsia="Arial" w:hAnsi="Arial"/>
                <w:sz w:val="18"/>
                <w:szCs w:val="18"/>
                <w:color w:val="0000EE"/>
                <w:w w:val="97"/>
              </w:rPr>
            </w:pPr>
            <w:hyperlink r:id="rId346">
              <w:r>
                <w:rPr>
                  <w:rFonts w:ascii="Arial" w:cs="Arial" w:eastAsia="Arial" w:hAnsi="Arial"/>
                  <w:sz w:val="18"/>
                  <w:szCs w:val="18"/>
                  <w:color w:val="0000EE"/>
                  <w:w w:val="97"/>
                </w:rPr>
                <w:t>Agreement and Plan of Merger, dated November 24, 2020, by and among the</w:t>
              </w:r>
            </w:hyperlink>
          </w:p>
        </w:tc>
      </w:tr>
      <w:tr>
        <w:trPr>
          <w:trHeight w:val="20"/>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2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r:id="rId346">
              <w:r>
                <w:rPr>
                  <w:rFonts w:ascii="Arial" w:cs="Arial" w:eastAsia="Arial" w:hAnsi="Arial"/>
                  <w:sz w:val="18"/>
                  <w:szCs w:val="18"/>
                  <w:color w:val="0000EE"/>
                  <w:w w:val="95"/>
                </w:rPr>
                <w:t>Registrant, Alairion Merger Sub I, Inc, Alairion Merger Sub II, LLC, Alairion, Inc.</w:t>
              </w:r>
            </w:hyperlink>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346">
              <w:r>
                <w:rPr>
                  <w:rFonts w:ascii="Arial" w:cs="Arial" w:eastAsia="Arial" w:hAnsi="Arial"/>
                  <w:sz w:val="18"/>
                  <w:szCs w:val="18"/>
                  <w:color w:val="0000EE"/>
                  <w:w w:val="86"/>
                </w:rPr>
                <w:t>and John F. Lee</w:t>
              </w:r>
            </w:hyperlink>
          </w:p>
        </w:tc>
        <w:tc>
          <w:tcPr>
            <w:tcW w:w="4880" w:type="dxa"/>
            <w:vAlign w:val="bottom"/>
            <w:gridSpan w:val="28"/>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6020" w:type="dxa"/>
            <w:vAlign w:val="bottom"/>
            <w:gridSpan w:val="29"/>
          </w:tcPr>
          <w:p>
            <w:pPr>
              <w:spacing w:after="0"/>
              <w:rPr>
                <w:rFonts w:ascii="Arial" w:cs="Arial" w:eastAsia="Arial" w:hAnsi="Arial"/>
                <w:sz w:val="18"/>
                <w:szCs w:val="18"/>
                <w:color w:val="0000EE"/>
                <w:w w:val="90"/>
              </w:rPr>
            </w:pPr>
            <w:hyperlink r:id="rId347">
              <w:r>
                <w:rPr>
                  <w:rFonts w:ascii="Arial" w:cs="Arial" w:eastAsia="Arial" w:hAnsi="Arial"/>
                  <w:sz w:val="18"/>
                  <w:szCs w:val="18"/>
                  <w:color w:val="0000EE"/>
                  <w:w w:val="90"/>
                </w:rPr>
                <w:t>Amended and Restated Certificate of Incorporation, as amended, currently in effect</w:t>
              </w:r>
            </w:hyperlink>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6000" w:type="dxa"/>
            <w:vAlign w:val="bottom"/>
            <w:tcBorders>
              <w:top w:val="single" w:sz="8" w:color="0000EE"/>
            </w:tcBorders>
            <w:gridSpan w:val="28"/>
          </w:tcPr>
          <w:p>
            <w:pPr>
              <w:spacing w:after="0"/>
              <w:rPr>
                <w:rFonts w:ascii="Arial" w:cs="Arial" w:eastAsia="Arial" w:hAnsi="Arial"/>
                <w:sz w:val="18"/>
                <w:szCs w:val="18"/>
                <w:color w:val="0000EE"/>
              </w:rPr>
            </w:pPr>
            <w:hyperlink r:id="rId348">
              <w:r>
                <w:rPr>
                  <w:rFonts w:ascii="Arial" w:cs="Arial" w:eastAsia="Arial" w:hAnsi="Arial"/>
                  <w:sz w:val="18"/>
                  <w:szCs w:val="18"/>
                  <w:color w:val="0000EE"/>
                </w:rPr>
                <w:t>Form of Amended and Restated Certificate of Incorporation, to be in effect</w:t>
              </w:r>
            </w:hyperlink>
          </w:p>
        </w:tc>
        <w:tc>
          <w:tcPr>
            <w:tcW w:w="2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3"/>
              </w:rPr>
            </w:pPr>
            <w:hyperlink r:id="rId348">
              <w:r>
                <w:rPr>
                  <w:rFonts w:ascii="Arial" w:cs="Arial" w:eastAsia="Arial" w:hAnsi="Arial"/>
                  <w:sz w:val="18"/>
                  <w:szCs w:val="18"/>
                  <w:color w:val="0000EE"/>
                  <w:w w:val="93"/>
                </w:rPr>
                <w:t>immediately prior to the completion of this offering</w:t>
              </w:r>
            </w:hyperlink>
          </w:p>
        </w:tc>
        <w:tc>
          <w:tcPr>
            <w:tcW w:w="1680" w:type="dxa"/>
            <w:vAlign w:val="bottom"/>
            <w:tcBorders>
              <w:top w:val="single" w:sz="8" w:color="0000EE"/>
            </w:tcBorders>
            <w:gridSpan w:val="4"/>
          </w:tcPr>
          <w:p>
            <w:pPr>
              <w:spacing w:after="0"/>
              <w:rPr>
                <w:sz w:val="17"/>
                <w:szCs w:val="17"/>
                <w:color w:val="auto"/>
              </w:rPr>
            </w:pPr>
          </w:p>
        </w:tc>
        <w:tc>
          <w:tcPr>
            <w:tcW w:w="620" w:type="dxa"/>
            <w:vAlign w:val="bottom"/>
            <w:gridSpan w:val="8"/>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920" w:type="dxa"/>
            <w:vAlign w:val="bottom"/>
            <w:tcBorders>
              <w:bottom w:val="single" w:sz="8" w:color="0000EE"/>
            </w:tcBorders>
            <w:gridSpan w:val="2"/>
          </w:tcPr>
          <w:p>
            <w:pPr>
              <w:spacing w:after="0"/>
              <w:rPr>
                <w:rFonts w:ascii="Arial" w:cs="Arial" w:eastAsia="Arial" w:hAnsi="Arial"/>
                <w:sz w:val="18"/>
                <w:szCs w:val="18"/>
                <w:color w:val="0000EE"/>
                <w:w w:val="93"/>
              </w:rPr>
            </w:pPr>
            <w:hyperlink r:id="rId349">
              <w:r>
                <w:rPr>
                  <w:rFonts w:ascii="Arial" w:cs="Arial" w:eastAsia="Arial" w:hAnsi="Arial"/>
                  <w:sz w:val="18"/>
                  <w:szCs w:val="18"/>
                  <w:color w:val="0000EE"/>
                  <w:w w:val="93"/>
                </w:rPr>
                <w:t>Bylaws, currently in effect</w:t>
              </w:r>
            </w:hyperlink>
          </w:p>
        </w:tc>
        <w:tc>
          <w:tcPr>
            <w:tcW w:w="4100" w:type="dxa"/>
            <w:vAlign w:val="bottom"/>
            <w:gridSpan w:val="27"/>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5760" w:type="dxa"/>
            <w:vAlign w:val="bottom"/>
            <w:tcBorders>
              <w:bottom w:val="single" w:sz="8" w:color="0000EE"/>
            </w:tcBorders>
            <w:gridSpan w:val="25"/>
          </w:tcPr>
          <w:p>
            <w:pPr>
              <w:spacing w:after="0"/>
              <w:rPr>
                <w:rFonts w:ascii="Arial" w:cs="Arial" w:eastAsia="Arial" w:hAnsi="Arial"/>
                <w:sz w:val="18"/>
                <w:szCs w:val="18"/>
                <w:color w:val="0000EE"/>
                <w:w w:val="91"/>
              </w:rPr>
            </w:pPr>
            <w:hyperlink r:id="rId350">
              <w:r>
                <w:rPr>
                  <w:rFonts w:ascii="Arial" w:cs="Arial" w:eastAsia="Arial" w:hAnsi="Arial"/>
                  <w:sz w:val="18"/>
                  <w:szCs w:val="18"/>
                  <w:color w:val="0000EE"/>
                  <w:w w:val="91"/>
                </w:rPr>
                <w:t>Form of Amended and Restated Bylaws, to be in effect immediately prior to the</w:t>
              </w:r>
            </w:hyperlink>
          </w:p>
        </w:tc>
        <w:tc>
          <w:tcPr>
            <w:tcW w:w="260" w:type="dxa"/>
            <w:vAlign w:val="bottom"/>
            <w:gridSpan w:val="4"/>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350">
              <w:r>
                <w:rPr>
                  <w:rFonts w:ascii="Arial" w:cs="Arial" w:eastAsia="Arial" w:hAnsi="Arial"/>
                  <w:sz w:val="18"/>
                  <w:szCs w:val="18"/>
                  <w:color w:val="0000EE"/>
                  <w:w w:val="93"/>
                </w:rPr>
                <w:t>completion of this offering</w:t>
              </w:r>
            </w:hyperlink>
          </w:p>
        </w:tc>
        <w:tc>
          <w:tcPr>
            <w:tcW w:w="4080" w:type="dxa"/>
            <w:vAlign w:val="bottom"/>
            <w:gridSpan w:val="26"/>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6020" w:type="dxa"/>
            <w:vAlign w:val="bottom"/>
            <w:gridSpan w:val="29"/>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351">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r:id="rId350">
              <w:r>
                <w:rPr>
                  <w:rFonts w:ascii="Arial" w:cs="Arial" w:eastAsia="Arial" w:hAnsi="Arial"/>
                  <w:sz w:val="18"/>
                  <w:szCs w:val="18"/>
                  <w:color w:val="0000EE"/>
                </w:rPr>
                <w:t>3.4</w:t>
              </w:r>
            </w:hyperlink>
          </w:p>
        </w:tc>
      </w:tr>
      <w:tr>
        <w:trPr>
          <w:trHeight w:val="20"/>
        </w:trPr>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25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Form of Common Stock Certificate</w:t>
            </w:r>
          </w:p>
        </w:tc>
        <w:tc>
          <w:tcPr>
            <w:tcW w:w="3460" w:type="dxa"/>
            <w:vAlign w:val="bottom"/>
            <w:gridSpan w:val="21"/>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25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4"/>
              </w:rPr>
              <w:t>Opinion of Latham &amp; Watkins LLP</w:t>
            </w:r>
          </w:p>
        </w:tc>
        <w:tc>
          <w:tcPr>
            <w:tcW w:w="3460" w:type="dxa"/>
            <w:vAlign w:val="bottom"/>
            <w:gridSpan w:val="21"/>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6020" w:type="dxa"/>
            <w:vAlign w:val="bottom"/>
            <w:gridSpan w:val="29"/>
          </w:tcPr>
          <w:p>
            <w:pPr>
              <w:spacing w:after="0"/>
              <w:rPr>
                <w:rFonts w:ascii="Arial" w:cs="Arial" w:eastAsia="Arial" w:hAnsi="Arial"/>
                <w:sz w:val="18"/>
                <w:szCs w:val="18"/>
                <w:color w:val="0000EE"/>
                <w:w w:val="99"/>
              </w:rPr>
            </w:pPr>
            <w:hyperlink r:id="rId352">
              <w:r>
                <w:rPr>
                  <w:rFonts w:ascii="Arial" w:cs="Arial" w:eastAsia="Arial" w:hAnsi="Arial"/>
                  <w:sz w:val="18"/>
                  <w:szCs w:val="18"/>
                  <w:color w:val="0000EE"/>
                  <w:w w:val="99"/>
                </w:rPr>
                <w:t>Investors’ Rights Agreement, dated September 22, 2022, by and among the</w:t>
              </w:r>
            </w:hyperlink>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Registrant and the investors listed therein</w:t>
              </w:r>
            </w:hyperlink>
          </w:p>
        </w:tc>
        <w:tc>
          <w:tcPr>
            <w:tcW w:w="600" w:type="dxa"/>
            <w:vAlign w:val="bottom"/>
            <w:gridSpan w:val="7"/>
          </w:tcPr>
          <w:p>
            <w:pPr>
              <w:spacing w:after="0"/>
              <w:rPr>
                <w:sz w:val="17"/>
                <w:szCs w:val="17"/>
                <w:color w:val="auto"/>
              </w:rPr>
            </w:pPr>
          </w:p>
        </w:tc>
      </w:tr>
      <w:tr>
        <w:trPr>
          <w:trHeight w:val="20"/>
        </w:trPr>
        <w:tc>
          <w:tcPr>
            <w:tcW w:w="820" w:type="dxa"/>
            <w:vAlign w:val="bottom"/>
            <w:gridSpan w:val="3"/>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10.2†</w:t>
            </w:r>
          </w:p>
        </w:tc>
        <w:tc>
          <w:tcPr>
            <w:tcW w:w="6000" w:type="dxa"/>
            <w:vAlign w:val="bottom"/>
            <w:tcBorders>
              <w:bottom w:val="single" w:sz="8" w:color="0000EE"/>
            </w:tcBorders>
            <w:gridSpan w:val="28"/>
          </w:tcPr>
          <w:p>
            <w:pPr>
              <w:spacing w:after="0"/>
              <w:rPr>
                <w:rFonts w:ascii="Arial" w:cs="Arial" w:eastAsia="Arial" w:hAnsi="Arial"/>
                <w:sz w:val="18"/>
                <w:szCs w:val="18"/>
                <w:color w:val="0000EE"/>
                <w:w w:val="89"/>
              </w:rPr>
            </w:pPr>
            <w:hyperlink r:id="rId353">
              <w:r>
                <w:rPr>
                  <w:rFonts w:ascii="Arial" w:cs="Arial" w:eastAsia="Arial" w:hAnsi="Arial"/>
                  <w:sz w:val="18"/>
                  <w:szCs w:val="18"/>
                  <w:color w:val="0000EE"/>
                  <w:w w:val="89"/>
                </w:rPr>
                <w:t>Research Collaboration and License Agreement, dated September 10, 2021, by and</w:t>
              </w:r>
            </w:hyperlink>
          </w:p>
        </w:tc>
        <w:tc>
          <w:tcPr>
            <w:tcW w:w="2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353">
              <w:r>
                <w:rPr>
                  <w:rFonts w:ascii="Arial" w:cs="Arial" w:eastAsia="Arial" w:hAnsi="Arial"/>
                  <w:sz w:val="18"/>
                  <w:szCs w:val="18"/>
                  <w:color w:val="0000EE"/>
                  <w:w w:val="89"/>
                </w:rPr>
                <w:t>between the Registrant and Amgen Inc.</w:t>
              </w:r>
            </w:hyperlink>
          </w:p>
        </w:tc>
        <w:tc>
          <w:tcPr>
            <w:tcW w:w="3160" w:type="dxa"/>
            <w:vAlign w:val="bottom"/>
            <w:gridSpan w:val="19"/>
          </w:tcPr>
          <w:p>
            <w:pPr>
              <w:spacing w:after="0"/>
              <w:rPr>
                <w:sz w:val="17"/>
                <w:szCs w:val="17"/>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10.3†</w:t>
            </w:r>
          </w:p>
        </w:tc>
        <w:tc>
          <w:tcPr>
            <w:tcW w:w="5480" w:type="dxa"/>
            <w:vAlign w:val="bottom"/>
            <w:tcBorders>
              <w:bottom w:val="single" w:sz="8" w:color="0000EE"/>
            </w:tcBorders>
            <w:gridSpan w:val="23"/>
          </w:tcPr>
          <w:p>
            <w:pPr>
              <w:spacing w:after="0"/>
              <w:rPr>
                <w:rFonts w:ascii="Arial" w:cs="Arial" w:eastAsia="Arial" w:hAnsi="Arial"/>
                <w:sz w:val="18"/>
                <w:szCs w:val="18"/>
                <w:color w:val="0000EE"/>
                <w:w w:val="91"/>
              </w:rPr>
            </w:pPr>
            <w:hyperlink r:id="rId354">
              <w:r>
                <w:rPr>
                  <w:rFonts w:ascii="Arial" w:cs="Arial" w:eastAsia="Arial" w:hAnsi="Arial"/>
                  <w:sz w:val="18"/>
                  <w:szCs w:val="18"/>
                  <w:color w:val="0000EE"/>
                  <w:w w:val="91"/>
                </w:rPr>
                <w:t>Exclusive License Agreement for CK1d, dated September 10, 2021, by and</w:t>
              </w:r>
            </w:hyperlink>
          </w:p>
        </w:tc>
        <w:tc>
          <w:tcPr>
            <w:tcW w:w="540" w:type="dxa"/>
            <w:vAlign w:val="bottom"/>
            <w:gridSpan w:val="6"/>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354">
              <w:r>
                <w:rPr>
                  <w:rFonts w:ascii="Arial" w:cs="Arial" w:eastAsia="Arial" w:hAnsi="Arial"/>
                  <w:sz w:val="18"/>
                  <w:szCs w:val="18"/>
                  <w:color w:val="0000EE"/>
                  <w:w w:val="89"/>
                </w:rPr>
                <w:t>between the Registrant and Amgen Inc.</w:t>
              </w:r>
            </w:hyperlink>
          </w:p>
        </w:tc>
        <w:tc>
          <w:tcPr>
            <w:tcW w:w="3160" w:type="dxa"/>
            <w:vAlign w:val="bottom"/>
            <w:gridSpan w:val="19"/>
          </w:tcPr>
          <w:p>
            <w:pPr>
              <w:spacing w:after="0"/>
              <w:rPr>
                <w:sz w:val="17"/>
                <w:szCs w:val="17"/>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10.4(a)†</w:t>
            </w:r>
          </w:p>
        </w:tc>
        <w:tc>
          <w:tcPr>
            <w:tcW w:w="5560" w:type="dxa"/>
            <w:vAlign w:val="bottom"/>
            <w:tcBorders>
              <w:bottom w:val="single" w:sz="8" w:color="0000EE"/>
            </w:tcBorders>
            <w:gridSpan w:val="24"/>
          </w:tcPr>
          <w:p>
            <w:pPr>
              <w:spacing w:after="0"/>
              <w:rPr>
                <w:rFonts w:ascii="Arial" w:cs="Arial" w:eastAsia="Arial" w:hAnsi="Arial"/>
                <w:sz w:val="18"/>
                <w:szCs w:val="18"/>
                <w:color w:val="0000EE"/>
                <w:w w:val="90"/>
              </w:rPr>
            </w:pPr>
            <w:hyperlink r:id="rId355">
              <w:r>
                <w:rPr>
                  <w:rFonts w:ascii="Arial" w:cs="Arial" w:eastAsia="Arial" w:hAnsi="Arial"/>
                  <w:sz w:val="18"/>
                  <w:szCs w:val="18"/>
                  <w:color w:val="0000EE"/>
                  <w:w w:val="90"/>
                </w:rPr>
                <w:t>Exclusive License Agreement for GCase, dated September 10, 2021, by and</w:t>
              </w:r>
            </w:hyperlink>
          </w:p>
        </w:tc>
        <w:tc>
          <w:tcPr>
            <w:tcW w:w="460" w:type="dxa"/>
            <w:vAlign w:val="bottom"/>
            <w:gridSpan w:val="5"/>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20" w:type="dxa"/>
            <w:vAlign w:val="bottom"/>
            <w:gridSpan w:val="29"/>
          </w:tcPr>
          <w:p>
            <w:pPr>
              <w:spacing w:after="0" w:line="196" w:lineRule="exact"/>
              <w:rPr>
                <w:rFonts w:ascii="Arial" w:cs="Arial" w:eastAsia="Arial" w:hAnsi="Arial"/>
                <w:sz w:val="18"/>
                <w:szCs w:val="18"/>
                <w:color w:val="0000EE"/>
              </w:rPr>
            </w:pPr>
            <w:hyperlink r:id="rId355">
              <w:r>
                <w:rPr>
                  <w:rFonts w:ascii="Arial" w:cs="Arial" w:eastAsia="Arial" w:hAnsi="Arial"/>
                  <w:sz w:val="18"/>
                  <w:szCs w:val="18"/>
                  <w:color w:val="0000EE"/>
                </w:rPr>
                <w:t>between the Registrant and Amgen Inc.</w:t>
              </w:r>
            </w:hyperlink>
          </w:p>
        </w:tc>
      </w:tr>
      <w:tr>
        <w:trPr>
          <w:trHeight w:val="20"/>
        </w:trPr>
        <w:tc>
          <w:tcPr>
            <w:tcW w:w="820" w:type="dxa"/>
            <w:vAlign w:val="bottom"/>
            <w:gridSpan w:val="3"/>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10.4(b)†</w:t>
            </w:r>
          </w:p>
        </w:tc>
        <w:tc>
          <w:tcPr>
            <w:tcW w:w="6020" w:type="dxa"/>
            <w:vAlign w:val="bottom"/>
            <w:gridSpan w:val="29"/>
          </w:tcPr>
          <w:p>
            <w:pPr>
              <w:spacing w:after="0"/>
              <w:rPr>
                <w:sz w:val="20"/>
                <w:szCs w:val="20"/>
                <w:color w:val="auto"/>
              </w:rPr>
            </w:pPr>
            <w:r>
              <w:rPr>
                <w:rFonts w:ascii="Arial" w:cs="Arial" w:eastAsia="Arial" w:hAnsi="Arial"/>
                <w:sz w:val="18"/>
                <w:szCs w:val="18"/>
                <w:color w:val="0000EE"/>
                <w:w w:val="90"/>
              </w:rPr>
              <w:t>First Amendment to Exclusive License Agreement for GCase, dated June 14, 2022,</w:t>
            </w: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0" w:type="dxa"/>
            <w:vAlign w:val="bottom"/>
            <w:tcBorders>
              <w:top w:val="single" w:sz="8" w:color="0000EE"/>
            </w:tcBorders>
            <w:gridSpan w:val="28"/>
          </w:tcPr>
          <w:p>
            <w:pPr>
              <w:spacing w:after="0" w:line="196" w:lineRule="exact"/>
              <w:rPr>
                <w:sz w:val="20"/>
                <w:szCs w:val="20"/>
                <w:color w:val="auto"/>
              </w:rPr>
            </w:pPr>
            <w:r>
              <w:rPr>
                <w:rFonts w:ascii="Arial" w:cs="Arial" w:eastAsia="Arial" w:hAnsi="Arial"/>
                <w:sz w:val="18"/>
                <w:szCs w:val="18"/>
                <w:color w:val="0000EE"/>
              </w:rPr>
              <w:t>by and between the Registrant and Amgen, Inc.</w:t>
            </w:r>
          </w:p>
        </w:tc>
        <w:tc>
          <w:tcPr>
            <w:tcW w:w="20" w:type="dxa"/>
            <w:vAlign w:val="bottom"/>
          </w:tcPr>
          <w:p>
            <w:pPr>
              <w:spacing w:after="0"/>
              <w:rPr>
                <w:sz w:val="17"/>
                <w:szCs w:val="17"/>
                <w:color w:val="auto"/>
              </w:rPr>
            </w:pPr>
          </w:p>
        </w:tc>
      </w:tr>
      <w:tr>
        <w:trPr>
          <w:trHeight w:val="20"/>
        </w:trPr>
        <w:tc>
          <w:tcPr>
            <w:tcW w:w="820" w:type="dxa"/>
            <w:vAlign w:val="bottom"/>
            <w:gridSpan w:val="3"/>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10.5(a)†</w:t>
            </w:r>
          </w:p>
        </w:tc>
        <w:tc>
          <w:tcPr>
            <w:tcW w:w="5560" w:type="dxa"/>
            <w:vAlign w:val="bottom"/>
            <w:tcBorders>
              <w:bottom w:val="single" w:sz="8" w:color="0000EE"/>
            </w:tcBorders>
            <w:gridSpan w:val="24"/>
          </w:tcPr>
          <w:p>
            <w:pPr>
              <w:spacing w:after="0"/>
              <w:rPr>
                <w:rFonts w:ascii="Arial" w:cs="Arial" w:eastAsia="Arial" w:hAnsi="Arial"/>
                <w:sz w:val="18"/>
                <w:szCs w:val="18"/>
                <w:color w:val="0000EE"/>
                <w:w w:val="91"/>
              </w:rPr>
            </w:pPr>
            <w:hyperlink r:id="rId356">
              <w:r>
                <w:rPr>
                  <w:rFonts w:ascii="Arial" w:cs="Arial" w:eastAsia="Arial" w:hAnsi="Arial"/>
                  <w:sz w:val="18"/>
                  <w:szCs w:val="18"/>
                  <w:color w:val="0000EE"/>
                  <w:w w:val="91"/>
                </w:rPr>
                <w:t>License Agreement, dated November 23, 2015, by and between BlackThorn</w:t>
              </w:r>
            </w:hyperlink>
          </w:p>
        </w:tc>
        <w:tc>
          <w:tcPr>
            <w:tcW w:w="460" w:type="dxa"/>
            <w:vAlign w:val="bottom"/>
            <w:gridSpan w:val="5"/>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20" w:type="dxa"/>
            <w:vAlign w:val="bottom"/>
            <w:gridSpan w:val="29"/>
          </w:tcPr>
          <w:p>
            <w:pPr>
              <w:spacing w:after="0" w:line="196" w:lineRule="exact"/>
              <w:rPr>
                <w:rFonts w:ascii="Arial" w:cs="Arial" w:eastAsia="Arial" w:hAnsi="Arial"/>
                <w:sz w:val="18"/>
                <w:szCs w:val="18"/>
                <w:color w:val="0000EE"/>
              </w:rPr>
            </w:pPr>
            <w:hyperlink r:id="rId356">
              <w:r>
                <w:rPr>
                  <w:rFonts w:ascii="Arial" w:cs="Arial" w:eastAsia="Arial" w:hAnsi="Arial"/>
                  <w:sz w:val="18"/>
                  <w:szCs w:val="18"/>
                  <w:color w:val="0000EE"/>
                </w:rPr>
                <w:t>Therapeutics, Inc. and Scripps Research Institute</w:t>
              </w:r>
            </w:hyperlink>
          </w:p>
        </w:tc>
      </w:tr>
      <w:tr>
        <w:trPr>
          <w:trHeight w:val="20"/>
        </w:trPr>
        <w:tc>
          <w:tcPr>
            <w:tcW w:w="820" w:type="dxa"/>
            <w:vAlign w:val="bottom"/>
            <w:gridSpan w:val="3"/>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560" w:type="dxa"/>
            <w:vAlign w:val="bottom"/>
            <w:gridSpan w:val="11"/>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10.5(b)†</w:t>
            </w:r>
          </w:p>
        </w:tc>
        <w:tc>
          <w:tcPr>
            <w:tcW w:w="5480" w:type="dxa"/>
            <w:vAlign w:val="bottom"/>
            <w:tcBorders>
              <w:bottom w:val="single" w:sz="8" w:color="0000EE"/>
            </w:tcBorders>
            <w:gridSpan w:val="23"/>
          </w:tcPr>
          <w:p>
            <w:pPr>
              <w:spacing w:after="0"/>
              <w:rPr>
                <w:rFonts w:ascii="Arial" w:cs="Arial" w:eastAsia="Arial" w:hAnsi="Arial"/>
                <w:sz w:val="18"/>
                <w:szCs w:val="18"/>
                <w:color w:val="0000EE"/>
                <w:w w:val="91"/>
              </w:rPr>
            </w:pPr>
            <w:hyperlink r:id="rId357">
              <w:r>
                <w:rPr>
                  <w:rFonts w:ascii="Arial" w:cs="Arial" w:eastAsia="Arial" w:hAnsi="Arial"/>
                  <w:sz w:val="18"/>
                  <w:szCs w:val="18"/>
                  <w:color w:val="0000EE"/>
                  <w:w w:val="91"/>
                </w:rPr>
                <w:t>First Amendment to License Agreement, dated November 13, 2017, by and</w:t>
              </w:r>
            </w:hyperlink>
          </w:p>
        </w:tc>
        <w:tc>
          <w:tcPr>
            <w:tcW w:w="540" w:type="dxa"/>
            <w:vAlign w:val="bottom"/>
            <w:gridSpan w:val="6"/>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357">
              <w:r>
                <w:rPr>
                  <w:rFonts w:ascii="Arial" w:cs="Arial" w:eastAsia="Arial" w:hAnsi="Arial"/>
                  <w:sz w:val="18"/>
                  <w:szCs w:val="18"/>
                  <w:color w:val="0000EE"/>
                  <w:w w:val="89"/>
                </w:rPr>
                <w:t>between BlackThorn Therapeutics, Inc. and Scripps Research Institute</w:t>
              </w:r>
            </w:hyperlink>
          </w:p>
        </w:tc>
        <w:tc>
          <w:tcPr>
            <w:tcW w:w="940" w:type="dxa"/>
            <w:vAlign w:val="bottom"/>
            <w:gridSpan w:val="10"/>
          </w:tcPr>
          <w:p>
            <w:pPr>
              <w:spacing w:after="0"/>
              <w:rPr>
                <w:sz w:val="17"/>
                <w:szCs w:val="17"/>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10.5(c)†</w:t>
            </w:r>
          </w:p>
        </w:tc>
        <w:tc>
          <w:tcPr>
            <w:tcW w:w="5860" w:type="dxa"/>
            <w:vAlign w:val="bottom"/>
            <w:tcBorders>
              <w:bottom w:val="single" w:sz="8" w:color="0000EE"/>
            </w:tcBorders>
            <w:gridSpan w:val="26"/>
          </w:tcPr>
          <w:p>
            <w:pPr>
              <w:spacing w:after="0"/>
              <w:rPr>
                <w:rFonts w:ascii="Arial" w:cs="Arial" w:eastAsia="Arial" w:hAnsi="Arial"/>
                <w:sz w:val="18"/>
                <w:szCs w:val="18"/>
                <w:color w:val="0000EE"/>
                <w:w w:val="91"/>
              </w:rPr>
            </w:pPr>
            <w:hyperlink r:id="rId358">
              <w:r>
                <w:rPr>
                  <w:rFonts w:ascii="Arial" w:cs="Arial" w:eastAsia="Arial" w:hAnsi="Arial"/>
                  <w:sz w:val="18"/>
                  <w:szCs w:val="18"/>
                  <w:color w:val="0000EE"/>
                  <w:w w:val="91"/>
                </w:rPr>
                <w:t>Second Amendment to License Agreement, dated April 9, 2019, by and between</w:t>
              </w:r>
            </w:hyperlink>
          </w:p>
        </w:tc>
        <w:tc>
          <w:tcPr>
            <w:tcW w:w="160" w:type="dxa"/>
            <w:vAlign w:val="bottom"/>
            <w:gridSpan w:val="3"/>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20" w:type="dxa"/>
            <w:vAlign w:val="bottom"/>
            <w:gridSpan w:val="29"/>
          </w:tcPr>
          <w:p>
            <w:pPr>
              <w:spacing w:after="0" w:line="196" w:lineRule="exact"/>
              <w:rPr>
                <w:rFonts w:ascii="Arial" w:cs="Arial" w:eastAsia="Arial" w:hAnsi="Arial"/>
                <w:sz w:val="18"/>
                <w:szCs w:val="18"/>
                <w:color w:val="0000EE"/>
              </w:rPr>
            </w:pPr>
            <w:hyperlink r:id="rId358">
              <w:r>
                <w:rPr>
                  <w:rFonts w:ascii="Arial" w:cs="Arial" w:eastAsia="Arial" w:hAnsi="Arial"/>
                  <w:sz w:val="18"/>
                  <w:szCs w:val="18"/>
                  <w:color w:val="0000EE"/>
                </w:rPr>
                <w:t>BlackThorn Therapeutics, Inc. and Scripps Research Institute</w:t>
              </w:r>
            </w:hyperlink>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10.6(a)#</w:t>
            </w:r>
          </w:p>
        </w:tc>
        <w:tc>
          <w:tcPr>
            <w:tcW w:w="4420" w:type="dxa"/>
            <w:vAlign w:val="bottom"/>
            <w:tcBorders>
              <w:top w:val="single" w:sz="8" w:color="0000EE"/>
            </w:tcBorders>
            <w:gridSpan w:val="18"/>
          </w:tcPr>
          <w:p>
            <w:pPr>
              <w:spacing w:after="0"/>
              <w:rPr>
                <w:rFonts w:ascii="Arial" w:cs="Arial" w:eastAsia="Arial" w:hAnsi="Arial"/>
                <w:sz w:val="18"/>
                <w:szCs w:val="18"/>
                <w:color w:val="0000EE"/>
              </w:rPr>
            </w:pPr>
            <w:hyperlink r:id="rId359">
              <w:r>
                <w:rPr>
                  <w:rFonts w:ascii="Arial" w:cs="Arial" w:eastAsia="Arial" w:hAnsi="Arial"/>
                  <w:sz w:val="18"/>
                  <w:szCs w:val="18"/>
                  <w:color w:val="0000EE"/>
                </w:rPr>
                <w:t>2020 Equity Incentive Plan</w:t>
              </w:r>
            </w:hyperlink>
          </w:p>
        </w:tc>
        <w:tc>
          <w:tcPr>
            <w:tcW w:w="1600" w:type="dxa"/>
            <w:vAlign w:val="bottom"/>
            <w:gridSpan w:val="11"/>
          </w:tcPr>
          <w:p>
            <w:pPr>
              <w:spacing w:after="0"/>
              <w:rPr>
                <w:sz w:val="24"/>
                <w:szCs w:val="24"/>
                <w:color w:val="auto"/>
              </w:rPr>
            </w:pPr>
          </w:p>
        </w:tc>
      </w:tr>
      <w:tr>
        <w:trPr>
          <w:trHeight w:val="20"/>
        </w:trPr>
        <w:tc>
          <w:tcPr>
            <w:tcW w:w="820" w:type="dxa"/>
            <w:vAlign w:val="bottom"/>
            <w:gridSpan w:val="3"/>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3200" w:type="dxa"/>
            <w:vAlign w:val="bottom"/>
            <w:gridSpan w:val="16"/>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r>
      <w:tr>
        <w:trPr>
          <w:trHeight w:val="304"/>
        </w:trPr>
        <w:tc>
          <w:tcPr>
            <w:tcW w:w="820" w:type="dxa"/>
            <w:vAlign w:val="bottom"/>
            <w:gridSpan w:val="3"/>
          </w:tcPr>
          <w:p>
            <w:pPr>
              <w:spacing w:after="0"/>
              <w:rPr>
                <w:sz w:val="20"/>
                <w:szCs w:val="20"/>
                <w:color w:val="auto"/>
              </w:rPr>
            </w:pPr>
            <w:r>
              <w:rPr>
                <w:rFonts w:ascii="Arial" w:cs="Arial" w:eastAsia="Arial" w:hAnsi="Arial"/>
                <w:sz w:val="18"/>
                <w:szCs w:val="18"/>
                <w:color w:val="auto"/>
              </w:rPr>
              <w:t>10.6(b)#</w:t>
            </w:r>
          </w:p>
        </w:tc>
        <w:tc>
          <w:tcPr>
            <w:tcW w:w="5160" w:type="dxa"/>
            <w:vAlign w:val="bottom"/>
            <w:tcBorders>
              <w:bottom w:val="single" w:sz="8" w:color="0000EE"/>
            </w:tcBorders>
            <w:gridSpan w:val="20"/>
          </w:tcPr>
          <w:p>
            <w:pPr>
              <w:spacing w:after="0"/>
              <w:rPr>
                <w:rFonts w:ascii="Arial" w:cs="Arial" w:eastAsia="Arial" w:hAnsi="Arial"/>
                <w:sz w:val="18"/>
                <w:szCs w:val="18"/>
                <w:color w:val="0000EE"/>
                <w:w w:val="91"/>
              </w:rPr>
            </w:pPr>
            <w:hyperlink r:id="rId360">
              <w:r>
                <w:rPr>
                  <w:rFonts w:ascii="Arial" w:cs="Arial" w:eastAsia="Arial" w:hAnsi="Arial"/>
                  <w:sz w:val="18"/>
                  <w:szCs w:val="18"/>
                  <w:color w:val="0000EE"/>
                  <w:w w:val="91"/>
                </w:rPr>
                <w:t>Form of Stock Option Agreement under the 2020 Equity Incentive Plan</w:t>
              </w:r>
            </w:hyperlink>
          </w:p>
        </w:tc>
        <w:tc>
          <w:tcPr>
            <w:tcW w:w="860" w:type="dxa"/>
            <w:vAlign w:val="bottom"/>
            <w:gridSpan w:val="9"/>
          </w:tcPr>
          <w:p>
            <w:pPr>
              <w:spacing w:after="0"/>
              <w:rPr>
                <w:sz w:val="24"/>
                <w:szCs w:val="24"/>
                <w:color w:val="auto"/>
              </w:rPr>
            </w:pPr>
          </w:p>
        </w:tc>
      </w:tr>
      <w:tr>
        <w:trPr>
          <w:trHeight w:val="38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gridSpan w:val="11"/>
          </w:tcPr>
          <w:p>
            <w:pPr>
              <w:jc w:val="center"/>
              <w:ind w:right="1080"/>
              <w:spacing w:after="0"/>
              <w:rPr>
                <w:sz w:val="20"/>
                <w:szCs w:val="20"/>
                <w:color w:val="auto"/>
              </w:rPr>
            </w:pPr>
            <w:r>
              <w:rPr>
                <w:rFonts w:ascii="Arial" w:cs="Arial" w:eastAsia="Arial" w:hAnsi="Arial"/>
                <w:sz w:val="18"/>
                <w:szCs w:val="18"/>
                <w:color w:val="auto"/>
              </w:rPr>
              <w:t>II-4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12700</wp:posOffset>
            </wp:positionV>
            <wp:extent cx="186055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1">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1" w:lineRule="exact"/>
        <w:rPr>
          <w:sz w:val="20"/>
          <w:szCs w:val="20"/>
          <w:color w:val="auto"/>
        </w:rPr>
      </w:pPr>
    </w:p>
    <w:p>
      <w:pPr>
        <w:spacing w:after="0"/>
        <w:tabs>
          <w:tab w:leader="none" w:pos="1080" w:val="left"/>
          <w:tab w:leader="none" w:pos="2060" w:val="left"/>
        </w:tabs>
        <w:rPr>
          <w:sz w:val="20"/>
          <w:szCs w:val="20"/>
          <w:color w:val="auto"/>
        </w:rPr>
      </w:pPr>
      <w:r>
        <w:rPr>
          <w:rFonts w:ascii="Arial" w:cs="Arial" w:eastAsia="Arial" w:hAnsi="Arial"/>
          <w:sz w:val="14"/>
          <w:szCs w:val="14"/>
          <w:u w:val="single" w:color="auto"/>
          <w:color w:val="auto"/>
        </w:rPr>
        <w:t>Form</w:t>
      </w:r>
      <w:r>
        <w:rPr>
          <w:sz w:val="20"/>
          <w:szCs w:val="20"/>
          <w:color w:val="auto"/>
        </w:rPr>
        <w:tab/>
      </w:r>
      <w:r>
        <w:rPr>
          <w:rFonts w:ascii="Arial" w:cs="Arial" w:eastAsia="Arial" w:hAnsi="Arial"/>
          <w:sz w:val="14"/>
          <w:szCs w:val="14"/>
          <w:u w:val="single" w:color="auto"/>
          <w:color w:val="auto"/>
        </w:rPr>
        <w:t>Date</w:t>
      </w:r>
      <w:r>
        <w:rPr>
          <w:sz w:val="20"/>
          <w:szCs w:val="20"/>
          <w:color w:val="auto"/>
        </w:rPr>
        <w:tab/>
      </w:r>
      <w:r>
        <w:rPr>
          <w:rFonts w:ascii="Arial" w:cs="Arial" w:eastAsia="Arial" w:hAnsi="Arial"/>
          <w:sz w:val="13"/>
          <w:szCs w:val="13"/>
          <w:u w:val="single" w:color="auto"/>
          <w:color w:val="auto"/>
        </w:rPr>
        <w:t>Number</w:t>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8/25/2023</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40"/>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8/25/2023</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756"/>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8/25/2023</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8/25/2023</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40"/>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8/25/2023</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8/25/2023</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80"/>
        <w:spacing w:after="0"/>
        <w:tabs>
          <w:tab w:leader="none" w:pos="980" w:val="left"/>
          <w:tab w:leader="none" w:pos="21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8/25/2023</w:t>
      </w:r>
      <w:r>
        <w:rPr>
          <w:sz w:val="20"/>
          <w:szCs w:val="20"/>
          <w:color w:val="auto"/>
        </w:rPr>
        <w:tab/>
      </w:r>
      <w:r>
        <w:rPr>
          <w:rFonts w:ascii="Arial" w:cs="Arial" w:eastAsia="Arial" w:hAnsi="Arial"/>
          <w:sz w:val="16"/>
          <w:szCs w:val="16"/>
          <w:color w:val="auto"/>
        </w:rPr>
        <w:t>10.1</w:t>
      </w:r>
    </w:p>
    <w:p>
      <w:pPr>
        <w:spacing w:after="0" w:line="333" w:lineRule="exact"/>
        <w:rPr>
          <w:sz w:val="20"/>
          <w:szCs w:val="20"/>
          <w:color w:val="auto"/>
        </w:rPr>
      </w:pPr>
    </w:p>
    <w:p>
      <w:pPr>
        <w:ind w:left="280"/>
        <w:spacing w:after="0"/>
        <w:tabs>
          <w:tab w:leader="none" w:pos="980" w:val="left"/>
          <w:tab w:leader="none" w:pos="21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8/25/2023</w:t>
      </w:r>
      <w:r>
        <w:rPr>
          <w:sz w:val="20"/>
          <w:szCs w:val="20"/>
          <w:color w:val="auto"/>
        </w:rPr>
        <w:tab/>
      </w:r>
      <w:r>
        <w:rPr>
          <w:rFonts w:ascii="Arial" w:cs="Arial" w:eastAsia="Arial" w:hAnsi="Arial"/>
          <w:sz w:val="16"/>
          <w:szCs w:val="16"/>
          <w:color w:val="auto"/>
        </w:rPr>
        <w:t>10.2</w:t>
      </w:r>
    </w:p>
    <w:p>
      <w:pPr>
        <w:spacing w:after="0" w:line="333" w:lineRule="exact"/>
        <w:rPr>
          <w:sz w:val="20"/>
          <w:szCs w:val="20"/>
          <w:color w:val="auto"/>
        </w:rPr>
      </w:pPr>
    </w:p>
    <w:p>
      <w:pPr>
        <w:ind w:left="280"/>
        <w:spacing w:after="0"/>
        <w:tabs>
          <w:tab w:leader="none" w:pos="980" w:val="left"/>
          <w:tab w:leader="none" w:pos="21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8/25/2023</w:t>
      </w:r>
      <w:r>
        <w:rPr>
          <w:sz w:val="20"/>
          <w:szCs w:val="20"/>
          <w:color w:val="auto"/>
        </w:rPr>
        <w:tab/>
      </w:r>
      <w:r>
        <w:rPr>
          <w:rFonts w:ascii="Arial" w:cs="Arial" w:eastAsia="Arial" w:hAnsi="Arial"/>
          <w:sz w:val="16"/>
          <w:szCs w:val="16"/>
          <w:color w:val="auto"/>
        </w:rPr>
        <w:t>10.3</w:t>
      </w:r>
    </w:p>
    <w:p>
      <w:pPr>
        <w:spacing w:after="0" w:line="333" w:lineRule="exact"/>
        <w:rPr>
          <w:sz w:val="20"/>
          <w:szCs w:val="20"/>
          <w:color w:val="auto"/>
        </w:rPr>
      </w:pPr>
    </w:p>
    <w:p>
      <w:pPr>
        <w:jc w:val="right"/>
        <w:spacing w:after="0"/>
        <w:tabs>
          <w:tab w:leader="none" w:pos="1560" w:val="left"/>
          <w:tab w:leader="none" w:pos="5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8/25/2023</w:t>
      </w:r>
      <w:r>
        <w:rPr>
          <w:sz w:val="20"/>
          <w:szCs w:val="20"/>
          <w:color w:val="auto"/>
        </w:rPr>
        <w:tab/>
      </w:r>
      <w:r>
        <w:rPr>
          <w:rFonts w:ascii="Arial" w:cs="Arial" w:eastAsia="Arial" w:hAnsi="Arial"/>
          <w:sz w:val="16"/>
          <w:szCs w:val="16"/>
          <w:color w:val="auto"/>
        </w:rPr>
        <w:t>10.4(a)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8/25/2023</w:t>
            </w:r>
          </w:p>
        </w:tc>
        <w:tc>
          <w:tcPr>
            <w:tcW w:w="680" w:type="dxa"/>
            <w:vAlign w:val="bottom"/>
          </w:tcPr>
          <w:p>
            <w:pPr>
              <w:ind w:left="160"/>
              <w:spacing w:after="0"/>
              <w:rPr>
                <w:sz w:val="20"/>
                <w:szCs w:val="20"/>
                <w:color w:val="auto"/>
              </w:rPr>
            </w:pPr>
            <w:r>
              <w:rPr>
                <w:rFonts w:ascii="Arial" w:cs="Arial" w:eastAsia="Arial" w:hAnsi="Arial"/>
                <w:sz w:val="18"/>
                <w:szCs w:val="18"/>
                <w:color w:val="auto"/>
                <w:w w:val="87"/>
              </w:rPr>
              <w:t>10.5(a)</w:t>
            </w:r>
          </w:p>
        </w:tc>
      </w:tr>
      <w:tr>
        <w:trPr>
          <w:trHeight w:val="540"/>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8/25/2023</w:t>
            </w:r>
          </w:p>
        </w:tc>
        <w:tc>
          <w:tcPr>
            <w:tcW w:w="680" w:type="dxa"/>
            <w:vAlign w:val="bottom"/>
          </w:tcPr>
          <w:p>
            <w:pPr>
              <w:ind w:left="160"/>
              <w:spacing w:after="0"/>
              <w:rPr>
                <w:sz w:val="20"/>
                <w:szCs w:val="20"/>
                <w:color w:val="auto"/>
              </w:rPr>
            </w:pPr>
            <w:r>
              <w:rPr>
                <w:rFonts w:ascii="Arial" w:cs="Arial" w:eastAsia="Arial" w:hAnsi="Arial"/>
                <w:sz w:val="18"/>
                <w:szCs w:val="18"/>
                <w:color w:val="auto"/>
                <w:w w:val="87"/>
              </w:rPr>
              <w:t>10.5(b)</w:t>
            </w:r>
          </w:p>
        </w:tc>
      </w:tr>
      <w:tr>
        <w:trPr>
          <w:trHeight w:val="540"/>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8/25/2023</w:t>
            </w:r>
          </w:p>
        </w:tc>
        <w:tc>
          <w:tcPr>
            <w:tcW w:w="680" w:type="dxa"/>
            <w:vAlign w:val="bottom"/>
          </w:tcPr>
          <w:p>
            <w:pPr>
              <w:ind w:left="160"/>
              <w:spacing w:after="0"/>
              <w:rPr>
                <w:sz w:val="20"/>
                <w:szCs w:val="20"/>
                <w:color w:val="auto"/>
              </w:rPr>
            </w:pPr>
            <w:r>
              <w:rPr>
                <w:rFonts w:ascii="Arial" w:cs="Arial" w:eastAsia="Arial" w:hAnsi="Arial"/>
                <w:sz w:val="18"/>
                <w:szCs w:val="18"/>
                <w:color w:val="auto"/>
                <w:w w:val="89"/>
              </w:rPr>
              <w:t>10.5(c)</w:t>
            </w:r>
          </w:p>
        </w:tc>
      </w:tr>
      <w:tr>
        <w:trPr>
          <w:trHeight w:val="540"/>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8/25/2023</w:t>
            </w:r>
          </w:p>
        </w:tc>
        <w:tc>
          <w:tcPr>
            <w:tcW w:w="680" w:type="dxa"/>
            <w:vAlign w:val="bottom"/>
          </w:tcPr>
          <w:p>
            <w:pPr>
              <w:ind w:left="160"/>
              <w:spacing w:after="0"/>
              <w:rPr>
                <w:sz w:val="20"/>
                <w:szCs w:val="20"/>
                <w:color w:val="auto"/>
              </w:rPr>
            </w:pPr>
            <w:r>
              <w:rPr>
                <w:rFonts w:ascii="Arial" w:cs="Arial" w:eastAsia="Arial" w:hAnsi="Arial"/>
                <w:sz w:val="18"/>
                <w:szCs w:val="18"/>
                <w:color w:val="auto"/>
                <w:w w:val="87"/>
              </w:rPr>
              <w:t>10.6(a)</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8/25/2023</w:t>
            </w:r>
          </w:p>
        </w:tc>
        <w:tc>
          <w:tcPr>
            <w:tcW w:w="680" w:type="dxa"/>
            <w:vAlign w:val="bottom"/>
          </w:tcPr>
          <w:p>
            <w:pPr>
              <w:ind w:left="160"/>
              <w:spacing w:after="0"/>
              <w:rPr>
                <w:sz w:val="20"/>
                <w:szCs w:val="20"/>
                <w:color w:val="auto"/>
              </w:rPr>
            </w:pPr>
            <w:r>
              <w:rPr>
                <w:rFonts w:ascii="Arial" w:cs="Arial" w:eastAsia="Arial" w:hAnsi="Arial"/>
                <w:sz w:val="18"/>
                <w:szCs w:val="18"/>
                <w:color w:val="auto"/>
                <w:w w:val="87"/>
              </w:rPr>
              <w:t>10.6(b)</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Filed</w:t>
      </w:r>
    </w:p>
    <w:p>
      <w:pPr>
        <w:jc w:val="center"/>
        <w:spacing w:after="0"/>
        <w:rPr>
          <w:sz w:val="20"/>
          <w:szCs w:val="20"/>
          <w:color w:val="auto"/>
        </w:rPr>
      </w:pPr>
      <w:r>
        <w:rPr>
          <w:rFonts w:ascii="Arial" w:cs="Arial" w:eastAsia="Arial" w:hAnsi="Arial"/>
          <w:sz w:val="13"/>
          <w:szCs w:val="13"/>
          <w:u w:val="single" w:color="auto"/>
          <w:color w:val="auto"/>
        </w:rPr>
        <w:t>Herewith</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960" w:space="480"/>
            <w:col w:w="2580" w:space="460"/>
            <w:col w:w="540"/>
          </w:cols>
          <w:pgMar w:left="320" w:top="459" w:right="559" w:bottom="1440" w:gutter="0" w:footer="0" w:header="0"/>
        </w:sectPr>
      </w:pPr>
    </w:p>
    <w:bookmarkStart w:id="290" w:name="page291"/>
    <w:bookmarkEnd w:id="29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9" w:right="459" w:bottom="1440" w:gutter="0" w:footer="0" w:header="0"/>
        </w:sectPr>
      </w:pP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color w:val="auto"/>
              </w:rPr>
              <w:t>Incorporated by Reference</w:t>
            </w:r>
          </w:p>
        </w:tc>
      </w:tr>
      <w:tr>
        <w:trPr>
          <w:trHeight w:val="142"/>
        </w:trPr>
        <w:tc>
          <w:tcPr>
            <w:tcW w:w="12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color w:val="auto"/>
              </w:rPr>
              <w:t>Number</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0" w:type="dxa"/>
            <w:vAlign w:val="bottom"/>
            <w:gridSpan w:val="20"/>
          </w:tcPr>
          <w:p>
            <w:pPr>
              <w:spacing w:after="0" w:line="142" w:lineRule="exact"/>
              <w:rPr>
                <w:sz w:val="20"/>
                <w:szCs w:val="20"/>
                <w:color w:val="auto"/>
              </w:rPr>
            </w:pPr>
            <w:r>
              <w:rPr>
                <w:rFonts w:ascii="Arial" w:cs="Arial" w:eastAsia="Arial" w:hAnsi="Arial"/>
                <w:sz w:val="14"/>
                <w:szCs w:val="14"/>
                <w:color w:val="auto"/>
              </w:rPr>
              <w:t>Exhibit Description</w:t>
            </w:r>
          </w:p>
        </w:tc>
        <w:tc>
          <w:tcPr>
            <w:tcW w:w="820" w:type="dxa"/>
            <w:vAlign w:val="bottom"/>
            <w:gridSpan w:val="3"/>
          </w:tcPr>
          <w:p>
            <w:pPr>
              <w:ind w:left="160"/>
              <w:spacing w:after="0" w:line="142" w:lineRule="exact"/>
              <w:rPr>
                <w:sz w:val="20"/>
                <w:szCs w:val="20"/>
                <w:color w:val="auto"/>
              </w:rPr>
            </w:pPr>
            <w:r>
              <w:rPr>
                <w:rFonts w:ascii="Arial" w:cs="Arial" w:eastAsia="Arial" w:hAnsi="Arial"/>
                <w:sz w:val="14"/>
                <w:szCs w:val="14"/>
                <w:color w:val="auto"/>
              </w:rPr>
              <w:t>Form</w:t>
            </w:r>
          </w:p>
        </w:tc>
        <w:tc>
          <w:tcPr>
            <w:tcW w:w="380" w:type="dxa"/>
            <w:vAlign w:val="bottom"/>
          </w:tcPr>
          <w:p>
            <w:pPr>
              <w:spacing w:after="0"/>
              <w:rPr>
                <w:sz w:val="12"/>
                <w:szCs w:val="12"/>
                <w:color w:val="auto"/>
              </w:rPr>
            </w:pPr>
          </w:p>
        </w:tc>
        <w:tc>
          <w:tcPr>
            <w:tcW w:w="640" w:type="dxa"/>
            <w:vAlign w:val="bottom"/>
            <w:gridSpan w:val="2"/>
          </w:tcPr>
          <w:p>
            <w:pPr>
              <w:jc w:val="center"/>
              <w:ind w:right="360"/>
              <w:spacing w:after="0" w:line="142" w:lineRule="exact"/>
              <w:rPr>
                <w:sz w:val="20"/>
                <w:szCs w:val="20"/>
                <w:color w:val="auto"/>
              </w:rPr>
            </w:pPr>
            <w:r>
              <w:rPr>
                <w:rFonts w:ascii="Arial" w:cs="Arial" w:eastAsia="Arial" w:hAnsi="Arial"/>
                <w:sz w:val="14"/>
                <w:szCs w:val="14"/>
                <w:color w:val="auto"/>
                <w:w w:val="94"/>
              </w:rPr>
              <w:t>Date</w:t>
            </w:r>
          </w:p>
        </w:tc>
        <w:tc>
          <w:tcPr>
            <w:tcW w:w="740" w:type="dxa"/>
            <w:vAlign w:val="bottom"/>
            <w:gridSpan w:val="3"/>
          </w:tcPr>
          <w:p>
            <w:pPr>
              <w:ind w:left="180"/>
              <w:spacing w:after="0" w:line="142" w:lineRule="exact"/>
              <w:rPr>
                <w:sz w:val="20"/>
                <w:szCs w:val="20"/>
                <w:color w:val="auto"/>
              </w:rPr>
            </w:pPr>
            <w:r>
              <w:rPr>
                <w:rFonts w:ascii="Arial" w:cs="Arial" w:eastAsia="Arial" w:hAnsi="Arial"/>
                <w:sz w:val="14"/>
                <w:szCs w:val="14"/>
                <w:color w:val="auto"/>
              </w:rPr>
              <w:t>Number</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920" w:type="dxa"/>
            <w:vAlign w:val="bottom"/>
            <w:gridSpan w:val="3"/>
          </w:tcPr>
          <w:p>
            <w:pPr>
              <w:spacing w:after="0"/>
              <w:rPr>
                <w:sz w:val="20"/>
                <w:szCs w:val="20"/>
                <w:color w:val="auto"/>
              </w:rPr>
            </w:pPr>
            <w:r>
              <w:rPr>
                <w:rFonts w:ascii="Arial" w:cs="Arial" w:eastAsia="Arial" w:hAnsi="Arial"/>
                <w:sz w:val="18"/>
                <w:szCs w:val="18"/>
                <w:color w:val="auto"/>
              </w:rPr>
              <w:t>10.6(c)#</w:t>
            </w:r>
          </w:p>
        </w:tc>
        <w:tc>
          <w:tcPr>
            <w:tcW w:w="6080" w:type="dxa"/>
            <w:vAlign w:val="bottom"/>
            <w:tcBorders>
              <w:bottom w:val="single" w:sz="8" w:color="0000EE"/>
            </w:tcBorders>
            <w:gridSpan w:val="25"/>
          </w:tcPr>
          <w:p>
            <w:pPr>
              <w:spacing w:after="0"/>
              <w:rPr>
                <w:rFonts w:ascii="Arial" w:cs="Arial" w:eastAsia="Arial" w:hAnsi="Arial"/>
                <w:sz w:val="18"/>
                <w:szCs w:val="18"/>
                <w:color w:val="0000EE"/>
                <w:w w:val="90"/>
              </w:rPr>
            </w:pPr>
            <w:hyperlink r:id="rId363">
              <w:r>
                <w:rPr>
                  <w:rFonts w:ascii="Arial" w:cs="Arial" w:eastAsia="Arial" w:hAnsi="Arial"/>
                  <w:sz w:val="18"/>
                  <w:szCs w:val="18"/>
                  <w:color w:val="0000EE"/>
                  <w:w w:val="90"/>
                </w:rPr>
                <w:t>Form of Restricted Stock Purchase Agreement under the 2020 Equity Incentive Plan</w:t>
              </w:r>
            </w:hyperlink>
          </w:p>
        </w:tc>
        <w:tc>
          <w:tcPr>
            <w:tcW w:w="5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740" w:type="dxa"/>
            <w:vAlign w:val="bottom"/>
            <w:gridSpan w:val="3"/>
          </w:tcPr>
          <w:p>
            <w:pPr>
              <w:jc w:val="center"/>
              <w:ind w:left="11"/>
              <w:spacing w:after="0"/>
              <w:rPr>
                <w:sz w:val="20"/>
                <w:szCs w:val="20"/>
                <w:color w:val="auto"/>
              </w:rPr>
            </w:pPr>
            <w:r>
              <w:rPr>
                <w:rFonts w:ascii="Arial" w:cs="Arial" w:eastAsia="Arial" w:hAnsi="Arial"/>
                <w:sz w:val="18"/>
                <w:szCs w:val="18"/>
                <w:color w:val="auto"/>
                <w:w w:val="92"/>
              </w:rPr>
              <w:t>10.6(c)</w:t>
            </w:r>
          </w:p>
        </w:tc>
      </w:tr>
      <w:tr>
        <w:trPr>
          <w:trHeight w:val="304"/>
        </w:trPr>
        <w:tc>
          <w:tcPr>
            <w:tcW w:w="920" w:type="dxa"/>
            <w:vAlign w:val="bottom"/>
            <w:gridSpan w:val="3"/>
          </w:tcPr>
          <w:p>
            <w:pPr>
              <w:spacing w:after="0"/>
              <w:rPr>
                <w:sz w:val="20"/>
                <w:szCs w:val="20"/>
                <w:color w:val="auto"/>
              </w:rPr>
            </w:pPr>
            <w:r>
              <w:rPr>
                <w:rFonts w:ascii="Arial" w:cs="Arial" w:eastAsia="Arial" w:hAnsi="Arial"/>
                <w:sz w:val="18"/>
                <w:szCs w:val="18"/>
                <w:color w:val="auto"/>
              </w:rPr>
              <w:t>10.7(a)#</w:t>
            </w:r>
          </w:p>
        </w:tc>
        <w:tc>
          <w:tcPr>
            <w:tcW w:w="1960" w:type="dxa"/>
            <w:vAlign w:val="bottom"/>
            <w:tcBorders>
              <w:bottom w:val="single" w:sz="8" w:color="0000EE"/>
            </w:tcBorders>
            <w:gridSpan w:val="5"/>
          </w:tcPr>
          <w:p>
            <w:pPr>
              <w:spacing w:after="0"/>
              <w:rPr>
                <w:rFonts w:ascii="Arial" w:cs="Arial" w:eastAsia="Arial" w:hAnsi="Arial"/>
                <w:sz w:val="18"/>
                <w:szCs w:val="18"/>
                <w:color w:val="0000EE"/>
                <w:w w:val="90"/>
              </w:rPr>
            </w:pPr>
            <w:hyperlink r:id="rId364">
              <w:r>
                <w:rPr>
                  <w:rFonts w:ascii="Arial" w:cs="Arial" w:eastAsia="Arial" w:hAnsi="Arial"/>
                  <w:sz w:val="18"/>
                  <w:szCs w:val="18"/>
                  <w:color w:val="0000EE"/>
                  <w:w w:val="90"/>
                </w:rPr>
                <w:t>2023 Incentive Award Plan</w:t>
              </w:r>
            </w:hyperlink>
          </w:p>
        </w:tc>
        <w:tc>
          <w:tcPr>
            <w:tcW w:w="4680" w:type="dxa"/>
            <w:vAlign w:val="bottom"/>
            <w:gridSpan w:val="23"/>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740" w:type="dxa"/>
            <w:vAlign w:val="bottom"/>
            <w:gridSpan w:val="3"/>
          </w:tcPr>
          <w:p>
            <w:pPr>
              <w:jc w:val="center"/>
              <w:ind w:left="11"/>
              <w:spacing w:after="0"/>
              <w:rPr>
                <w:sz w:val="20"/>
                <w:szCs w:val="20"/>
                <w:color w:val="auto"/>
              </w:rPr>
            </w:pPr>
            <w:r>
              <w:rPr>
                <w:rFonts w:ascii="Arial" w:cs="Arial" w:eastAsia="Arial" w:hAnsi="Arial"/>
                <w:sz w:val="18"/>
                <w:szCs w:val="18"/>
                <w:color w:val="auto"/>
                <w:w w:val="91"/>
              </w:rPr>
              <w:t>10.7(a)</w:t>
            </w:r>
          </w:p>
        </w:tc>
      </w:tr>
      <w:tr>
        <w:trPr>
          <w:trHeight w:val="304"/>
        </w:trPr>
        <w:tc>
          <w:tcPr>
            <w:tcW w:w="920" w:type="dxa"/>
            <w:vAlign w:val="bottom"/>
            <w:gridSpan w:val="3"/>
          </w:tcPr>
          <w:p>
            <w:pPr>
              <w:spacing w:after="0"/>
              <w:rPr>
                <w:sz w:val="20"/>
                <w:szCs w:val="20"/>
                <w:color w:val="auto"/>
              </w:rPr>
            </w:pPr>
            <w:r>
              <w:rPr>
                <w:rFonts w:ascii="Arial" w:cs="Arial" w:eastAsia="Arial" w:hAnsi="Arial"/>
                <w:sz w:val="18"/>
                <w:szCs w:val="18"/>
                <w:color w:val="auto"/>
              </w:rPr>
              <w:t>10.7(b)#</w:t>
            </w:r>
          </w:p>
        </w:tc>
        <w:tc>
          <w:tcPr>
            <w:tcW w:w="5840" w:type="dxa"/>
            <w:vAlign w:val="bottom"/>
            <w:tcBorders>
              <w:bottom w:val="single" w:sz="8" w:color="0000EE"/>
            </w:tcBorders>
            <w:gridSpan w:val="22"/>
          </w:tcPr>
          <w:p>
            <w:pPr>
              <w:spacing w:after="0"/>
              <w:rPr>
                <w:rFonts w:ascii="Arial" w:cs="Arial" w:eastAsia="Arial" w:hAnsi="Arial"/>
                <w:sz w:val="18"/>
                <w:szCs w:val="18"/>
                <w:color w:val="0000EE"/>
                <w:w w:val="91"/>
              </w:rPr>
            </w:pPr>
            <w:hyperlink r:id="rId365">
              <w:r>
                <w:rPr>
                  <w:rFonts w:ascii="Arial" w:cs="Arial" w:eastAsia="Arial" w:hAnsi="Arial"/>
                  <w:sz w:val="18"/>
                  <w:szCs w:val="18"/>
                  <w:color w:val="0000EE"/>
                  <w:w w:val="91"/>
                </w:rPr>
                <w:t>Form of Stock Option Grant Notice and Stock Option Agreement under the 2023</w:t>
              </w:r>
            </w:hyperlink>
          </w:p>
        </w:tc>
        <w:tc>
          <w:tcPr>
            <w:tcW w:w="80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740" w:type="dxa"/>
            <w:vAlign w:val="bottom"/>
            <w:gridSpan w:val="3"/>
          </w:tcPr>
          <w:p>
            <w:pPr>
              <w:jc w:val="center"/>
              <w:ind w:left="11"/>
              <w:spacing w:after="0"/>
              <w:rPr>
                <w:sz w:val="20"/>
                <w:szCs w:val="20"/>
                <w:color w:val="auto"/>
              </w:rPr>
            </w:pPr>
            <w:r>
              <w:rPr>
                <w:rFonts w:ascii="Arial" w:cs="Arial" w:eastAsia="Arial" w:hAnsi="Arial"/>
                <w:sz w:val="18"/>
                <w:szCs w:val="18"/>
                <w:color w:val="auto"/>
                <w:w w:val="91"/>
              </w:rPr>
              <w:t>10.7(b)</w:t>
            </w: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gridSpan w:val="28"/>
          </w:tcPr>
          <w:p>
            <w:pPr>
              <w:spacing w:after="0" w:line="196" w:lineRule="exact"/>
              <w:rPr>
                <w:rFonts w:ascii="Arial" w:cs="Arial" w:eastAsia="Arial" w:hAnsi="Arial"/>
                <w:sz w:val="18"/>
                <w:szCs w:val="18"/>
                <w:color w:val="0000EE"/>
              </w:rPr>
            </w:pPr>
            <w:hyperlink r:id="rId365">
              <w:r>
                <w:rPr>
                  <w:rFonts w:ascii="Arial" w:cs="Arial" w:eastAsia="Arial" w:hAnsi="Arial"/>
                  <w:sz w:val="18"/>
                  <w:szCs w:val="18"/>
                  <w:color w:val="0000EE"/>
                </w:rPr>
                <w:t>Incentive Award Plan</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04"/>
        </w:trPr>
        <w:tc>
          <w:tcPr>
            <w:tcW w:w="920" w:type="dxa"/>
            <w:vAlign w:val="bottom"/>
            <w:gridSpan w:val="3"/>
          </w:tcPr>
          <w:p>
            <w:pPr>
              <w:spacing w:after="0"/>
              <w:rPr>
                <w:sz w:val="20"/>
                <w:szCs w:val="20"/>
                <w:color w:val="auto"/>
              </w:rPr>
            </w:pPr>
            <w:r>
              <w:rPr>
                <w:rFonts w:ascii="Arial" w:cs="Arial" w:eastAsia="Arial" w:hAnsi="Arial"/>
                <w:sz w:val="18"/>
                <w:szCs w:val="18"/>
                <w:color w:val="auto"/>
              </w:rPr>
              <w:t>10.7(c)#</w:t>
            </w:r>
          </w:p>
        </w:tc>
        <w:tc>
          <w:tcPr>
            <w:tcW w:w="6640" w:type="dxa"/>
            <w:vAlign w:val="bottom"/>
            <w:gridSpan w:val="28"/>
          </w:tcPr>
          <w:p>
            <w:pPr>
              <w:spacing w:after="0"/>
              <w:rPr>
                <w:rFonts w:ascii="Arial" w:cs="Arial" w:eastAsia="Arial" w:hAnsi="Arial"/>
                <w:sz w:val="18"/>
                <w:szCs w:val="18"/>
                <w:color w:val="0000EE"/>
              </w:rPr>
            </w:pPr>
            <w:hyperlink r:id="rId366">
              <w:r>
                <w:rPr>
                  <w:rFonts w:ascii="Arial" w:cs="Arial" w:eastAsia="Arial" w:hAnsi="Arial"/>
                  <w:sz w:val="18"/>
                  <w:szCs w:val="18"/>
                  <w:color w:val="0000EE"/>
                </w:rPr>
                <w:t>Form of Restricted Stock Unit Award Grant Notice and Restricted Stock Unit Award</w:t>
              </w:r>
            </w:hyperlink>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740" w:type="dxa"/>
            <w:vAlign w:val="bottom"/>
            <w:gridSpan w:val="3"/>
          </w:tcPr>
          <w:p>
            <w:pPr>
              <w:jc w:val="center"/>
              <w:ind w:left="11"/>
              <w:spacing w:after="0"/>
              <w:rPr>
                <w:sz w:val="20"/>
                <w:szCs w:val="20"/>
                <w:color w:val="auto"/>
              </w:rPr>
            </w:pPr>
            <w:r>
              <w:rPr>
                <w:rFonts w:ascii="Arial" w:cs="Arial" w:eastAsia="Arial" w:hAnsi="Arial"/>
                <w:sz w:val="18"/>
                <w:szCs w:val="18"/>
                <w:color w:val="auto"/>
                <w:w w:val="92"/>
              </w:rPr>
              <w:t>10.7(c)</w:t>
            </w: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366">
              <w:r>
                <w:rPr>
                  <w:rFonts w:ascii="Arial" w:cs="Arial" w:eastAsia="Arial" w:hAnsi="Arial"/>
                  <w:sz w:val="18"/>
                  <w:szCs w:val="18"/>
                  <w:color w:val="0000EE"/>
                  <w:w w:val="90"/>
                </w:rPr>
                <w:t>Agreement under the 2023 Incentive Award Plan</w:t>
              </w:r>
            </w:hyperlink>
          </w:p>
        </w:tc>
        <w:tc>
          <w:tcPr>
            <w:tcW w:w="2560" w:type="dxa"/>
            <w:vAlign w:val="bottom"/>
            <w:tcBorders>
              <w:top w:val="single" w:sz="8" w:color="0000EE"/>
            </w:tcBorders>
            <w:gridSpan w:val="14"/>
          </w:tcPr>
          <w:p>
            <w:pPr>
              <w:spacing w:after="0"/>
              <w:rPr>
                <w:sz w:val="17"/>
                <w:szCs w:val="17"/>
                <w:color w:val="auto"/>
              </w:rPr>
            </w:pPr>
          </w:p>
        </w:tc>
        <w:tc>
          <w:tcPr>
            <w:tcW w:w="5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2240" w:type="dxa"/>
            <w:vAlign w:val="bottom"/>
            <w:tcBorders>
              <w:bottom w:val="single" w:sz="8" w:color="0000EE"/>
            </w:tcBorders>
            <w:gridSpan w:val="6"/>
          </w:tcPr>
          <w:p>
            <w:pPr>
              <w:spacing w:after="0"/>
              <w:rPr>
                <w:rFonts w:ascii="Arial" w:cs="Arial" w:eastAsia="Arial" w:hAnsi="Arial"/>
                <w:sz w:val="18"/>
                <w:szCs w:val="18"/>
                <w:color w:val="0000EE"/>
                <w:w w:val="88"/>
              </w:rPr>
            </w:pPr>
            <w:hyperlink r:id="rId367">
              <w:r>
                <w:rPr>
                  <w:rFonts w:ascii="Arial" w:cs="Arial" w:eastAsia="Arial" w:hAnsi="Arial"/>
                  <w:sz w:val="18"/>
                  <w:szCs w:val="18"/>
                  <w:color w:val="0000EE"/>
                  <w:w w:val="88"/>
                </w:rPr>
                <w:t>Employee Stock Purchase Plan</w:t>
              </w:r>
            </w:hyperlink>
          </w:p>
        </w:tc>
        <w:tc>
          <w:tcPr>
            <w:tcW w:w="4400" w:type="dxa"/>
            <w:vAlign w:val="bottom"/>
            <w:gridSpan w:val="22"/>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10.8</w:t>
            </w:r>
          </w:p>
        </w:tc>
        <w:tc>
          <w:tcPr>
            <w:tcW w:w="80" w:type="dxa"/>
            <w:vAlign w:val="bottom"/>
          </w:tcPr>
          <w:p>
            <w:pPr>
              <w:spacing w:after="0"/>
              <w:rPr>
                <w:sz w:val="24"/>
                <w:szCs w:val="24"/>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6640" w:type="dxa"/>
            <w:vAlign w:val="bottom"/>
            <w:gridSpan w:val="28"/>
          </w:tcPr>
          <w:p>
            <w:pPr>
              <w:spacing w:after="0"/>
              <w:rPr>
                <w:rFonts w:ascii="Arial" w:cs="Arial" w:eastAsia="Arial" w:hAnsi="Arial"/>
                <w:sz w:val="18"/>
                <w:szCs w:val="18"/>
                <w:color w:val="0000EE"/>
              </w:rPr>
            </w:pPr>
            <w:hyperlink r:id="rId368">
              <w:r>
                <w:rPr>
                  <w:rFonts w:ascii="Arial" w:cs="Arial" w:eastAsia="Arial" w:hAnsi="Arial"/>
                  <w:sz w:val="18"/>
                  <w:szCs w:val="18"/>
                  <w:color w:val="0000EE"/>
                </w:rPr>
                <w:t>Employment Agreement by and between the Registrant and Paul L. Berns</w:t>
              </w:r>
            </w:hyperlink>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10.9</w:t>
            </w:r>
          </w:p>
        </w:tc>
        <w:tc>
          <w:tcPr>
            <w:tcW w:w="8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5780" w:type="dxa"/>
            <w:vAlign w:val="bottom"/>
            <w:tcBorders>
              <w:bottom w:val="single" w:sz="8" w:color="0000EE"/>
            </w:tcBorders>
            <w:gridSpan w:val="20"/>
          </w:tcPr>
          <w:p>
            <w:pPr>
              <w:spacing w:after="0"/>
              <w:rPr>
                <w:rFonts w:ascii="Arial" w:cs="Arial" w:eastAsia="Arial" w:hAnsi="Arial"/>
                <w:sz w:val="18"/>
                <w:szCs w:val="18"/>
                <w:color w:val="0000EE"/>
                <w:w w:val="90"/>
              </w:rPr>
            </w:pPr>
            <w:hyperlink r:id="rId369">
              <w:r>
                <w:rPr>
                  <w:rFonts w:ascii="Arial" w:cs="Arial" w:eastAsia="Arial" w:hAnsi="Arial"/>
                  <w:sz w:val="18"/>
                  <w:szCs w:val="18"/>
                  <w:color w:val="0000EE"/>
                  <w:w w:val="90"/>
                </w:rPr>
                <w:t>Employment Agreement by and between the Registrant and John Dunlop, Ph.D.</w:t>
              </w:r>
            </w:hyperlink>
          </w:p>
        </w:tc>
        <w:tc>
          <w:tcPr>
            <w:tcW w:w="86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24"/>
                <w:szCs w:val="24"/>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5760" w:type="dxa"/>
            <w:vAlign w:val="bottom"/>
            <w:tcBorders>
              <w:bottom w:val="single" w:sz="8" w:color="0000EE"/>
            </w:tcBorders>
            <w:gridSpan w:val="19"/>
          </w:tcPr>
          <w:p>
            <w:pPr>
              <w:spacing w:after="0"/>
              <w:rPr>
                <w:rFonts w:ascii="Arial" w:cs="Arial" w:eastAsia="Arial" w:hAnsi="Arial"/>
                <w:sz w:val="18"/>
                <w:szCs w:val="18"/>
                <w:color w:val="0000EE"/>
                <w:w w:val="89"/>
              </w:rPr>
            </w:pPr>
            <w:hyperlink r:id="rId370">
              <w:r>
                <w:rPr>
                  <w:rFonts w:ascii="Arial" w:cs="Arial" w:eastAsia="Arial" w:hAnsi="Arial"/>
                  <w:sz w:val="18"/>
                  <w:szCs w:val="18"/>
                  <w:color w:val="0000EE"/>
                  <w:w w:val="89"/>
                </w:rPr>
                <w:t>Employment Agreement by and between the Registrant and Joshua Pinto, Ph.D.</w:t>
              </w:r>
            </w:hyperlink>
          </w:p>
        </w:tc>
        <w:tc>
          <w:tcPr>
            <w:tcW w:w="88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10.11</w:t>
            </w:r>
          </w:p>
        </w:tc>
        <w:tc>
          <w:tcPr>
            <w:tcW w:w="80" w:type="dxa"/>
            <w:vAlign w:val="bottom"/>
          </w:tcPr>
          <w:p>
            <w:pPr>
              <w:spacing w:after="0"/>
              <w:rPr>
                <w:sz w:val="24"/>
                <w:szCs w:val="24"/>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6640" w:type="dxa"/>
            <w:vAlign w:val="bottom"/>
            <w:gridSpan w:val="28"/>
          </w:tcPr>
          <w:p>
            <w:pPr>
              <w:spacing w:after="0"/>
              <w:rPr>
                <w:rFonts w:ascii="Arial" w:cs="Arial" w:eastAsia="Arial" w:hAnsi="Arial"/>
                <w:sz w:val="18"/>
                <w:szCs w:val="18"/>
                <w:color w:val="0000EE"/>
              </w:rPr>
            </w:pPr>
            <w:hyperlink r:id="rId371">
              <w:r>
                <w:rPr>
                  <w:rFonts w:ascii="Arial" w:cs="Arial" w:eastAsia="Arial" w:hAnsi="Arial"/>
                  <w:sz w:val="18"/>
                  <w:szCs w:val="18"/>
                  <w:color w:val="0000EE"/>
                </w:rPr>
                <w:t>Non-Employee Director Compensation Program</w:t>
              </w:r>
            </w:hyperlink>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10.12</w:t>
            </w:r>
          </w:p>
        </w:tc>
        <w:tc>
          <w:tcPr>
            <w:tcW w:w="8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58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Form of Indemnification and Advancement Agreement for directors and officers</w:t>
            </w:r>
          </w:p>
        </w:tc>
        <w:tc>
          <w:tcPr>
            <w:tcW w:w="84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920" w:type="dxa"/>
            <w:vAlign w:val="bottom"/>
            <w:gridSpan w:val="3"/>
          </w:tcPr>
          <w:p>
            <w:pPr>
              <w:spacing w:after="0"/>
              <w:rPr>
                <w:sz w:val="20"/>
                <w:szCs w:val="20"/>
                <w:color w:val="auto"/>
              </w:rPr>
            </w:pPr>
            <w:r>
              <w:rPr>
                <w:rFonts w:ascii="Arial" w:cs="Arial" w:eastAsia="Arial" w:hAnsi="Arial"/>
                <w:sz w:val="18"/>
                <w:szCs w:val="18"/>
                <w:color w:val="auto"/>
              </w:rPr>
              <w:t>10.14(a)†</w:t>
            </w:r>
          </w:p>
        </w:tc>
        <w:tc>
          <w:tcPr>
            <w:tcW w:w="6640" w:type="dxa"/>
            <w:vAlign w:val="bottom"/>
            <w:gridSpan w:val="28"/>
          </w:tcPr>
          <w:p>
            <w:pPr>
              <w:spacing w:after="0"/>
              <w:rPr>
                <w:rFonts w:ascii="Arial" w:cs="Arial" w:eastAsia="Arial" w:hAnsi="Arial"/>
                <w:sz w:val="18"/>
                <w:szCs w:val="18"/>
                <w:color w:val="0000EE"/>
              </w:rPr>
            </w:pPr>
            <w:hyperlink r:id="rId372">
              <w:r>
                <w:rPr>
                  <w:rFonts w:ascii="Arial" w:cs="Arial" w:eastAsia="Arial" w:hAnsi="Arial"/>
                  <w:sz w:val="18"/>
                  <w:szCs w:val="18"/>
                  <w:color w:val="0000EE"/>
                </w:rPr>
                <w:t>License Agreement, dated February 10, 2022, by and between the Registrant and</w:t>
              </w:r>
            </w:hyperlink>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740" w:type="dxa"/>
            <w:vAlign w:val="bottom"/>
            <w:gridSpan w:val="3"/>
          </w:tcPr>
          <w:p>
            <w:pPr>
              <w:jc w:val="center"/>
              <w:ind w:left="11"/>
              <w:spacing w:after="0"/>
              <w:rPr>
                <w:sz w:val="20"/>
                <w:szCs w:val="20"/>
                <w:color w:val="auto"/>
              </w:rPr>
            </w:pPr>
            <w:r>
              <w:rPr>
                <w:rFonts w:ascii="Arial" w:cs="Arial" w:eastAsia="Arial" w:hAnsi="Arial"/>
                <w:sz w:val="18"/>
                <w:szCs w:val="18"/>
                <w:color w:val="auto"/>
                <w:w w:val="89"/>
              </w:rPr>
              <w:t>10.14(a)</w:t>
            </w: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372">
              <w:r>
                <w:rPr>
                  <w:rFonts w:ascii="Arial" w:cs="Arial" w:eastAsia="Arial" w:hAnsi="Arial"/>
                  <w:sz w:val="18"/>
                  <w:szCs w:val="18"/>
                  <w:color w:val="0000EE"/>
                </w:rPr>
                <w:t>Vanderbilt University</w:t>
              </w:r>
            </w:hyperlink>
          </w:p>
        </w:tc>
        <w:tc>
          <w:tcPr>
            <w:tcW w:w="7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18"/>
        </w:trPr>
        <w:tc>
          <w:tcPr>
            <w:tcW w:w="920" w:type="dxa"/>
            <w:vAlign w:val="bottom"/>
            <w:gridSpan w:val="3"/>
          </w:tcPr>
          <w:p>
            <w:pPr>
              <w:spacing w:after="0"/>
              <w:rPr>
                <w:sz w:val="20"/>
                <w:szCs w:val="20"/>
                <w:color w:val="auto"/>
              </w:rPr>
            </w:pPr>
            <w:r>
              <w:rPr>
                <w:rFonts w:ascii="Arial" w:cs="Arial" w:eastAsia="Arial" w:hAnsi="Arial"/>
                <w:sz w:val="18"/>
                <w:szCs w:val="18"/>
                <w:color w:val="auto"/>
              </w:rPr>
              <w:t>10.14(b)†</w:t>
            </w:r>
          </w:p>
        </w:tc>
        <w:tc>
          <w:tcPr>
            <w:tcW w:w="5880" w:type="dxa"/>
            <w:vAlign w:val="bottom"/>
            <w:tcBorders>
              <w:bottom w:val="single" w:sz="8" w:color="0000EE"/>
            </w:tcBorders>
            <w:gridSpan w:val="24"/>
          </w:tcPr>
          <w:p>
            <w:pPr>
              <w:spacing w:after="0"/>
              <w:rPr>
                <w:rFonts w:ascii="Arial" w:cs="Arial" w:eastAsia="Arial" w:hAnsi="Arial"/>
                <w:sz w:val="18"/>
                <w:szCs w:val="18"/>
                <w:color w:val="0000EE"/>
                <w:w w:val="89"/>
              </w:rPr>
            </w:pPr>
            <w:hyperlink r:id="rId373">
              <w:r>
                <w:rPr>
                  <w:rFonts w:ascii="Arial" w:cs="Arial" w:eastAsia="Arial" w:hAnsi="Arial"/>
                  <w:sz w:val="18"/>
                  <w:szCs w:val="18"/>
                  <w:color w:val="0000EE"/>
                  <w:w w:val="89"/>
                </w:rPr>
                <w:t>First Amendment to License Agreement, dated July 17, 2023, by and between the</w:t>
              </w:r>
            </w:hyperlink>
          </w:p>
        </w:tc>
        <w:tc>
          <w:tcPr>
            <w:tcW w:w="7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740" w:type="dxa"/>
            <w:vAlign w:val="bottom"/>
            <w:gridSpan w:val="3"/>
          </w:tcPr>
          <w:p>
            <w:pPr>
              <w:jc w:val="center"/>
              <w:ind w:left="31"/>
              <w:spacing w:after="0"/>
              <w:rPr>
                <w:sz w:val="20"/>
                <w:szCs w:val="20"/>
                <w:color w:val="auto"/>
              </w:rPr>
            </w:pPr>
            <w:r>
              <w:rPr>
                <w:rFonts w:ascii="Arial" w:cs="Arial" w:eastAsia="Arial" w:hAnsi="Arial"/>
                <w:sz w:val="18"/>
                <w:szCs w:val="18"/>
                <w:color w:val="auto"/>
                <w:w w:val="92"/>
              </w:rPr>
              <w:t>10.14(b)</w:t>
            </w: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373">
              <w:r>
                <w:rPr>
                  <w:rFonts w:ascii="Arial" w:cs="Arial" w:eastAsia="Arial" w:hAnsi="Arial"/>
                  <w:sz w:val="18"/>
                  <w:szCs w:val="18"/>
                  <w:color w:val="0000EE"/>
                  <w:w w:val="91"/>
                </w:rPr>
                <w:t>Registrant and Vanderbilt University</w:t>
              </w:r>
            </w:hyperlink>
          </w:p>
        </w:tc>
        <w:tc>
          <w:tcPr>
            <w:tcW w:w="4000" w:type="dxa"/>
            <w:vAlign w:val="bottom"/>
            <w:gridSpan w:val="20"/>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24"/>
                <w:szCs w:val="24"/>
                <w:color w:val="auto"/>
              </w:rPr>
            </w:pPr>
          </w:p>
        </w:tc>
        <w:tc>
          <w:tcPr>
            <w:tcW w:w="6640" w:type="dxa"/>
            <w:vAlign w:val="bottom"/>
            <w:gridSpan w:val="28"/>
          </w:tcPr>
          <w:p>
            <w:pPr>
              <w:spacing w:after="0"/>
              <w:rPr>
                <w:rFonts w:ascii="Arial" w:cs="Arial" w:eastAsia="Arial" w:hAnsi="Arial"/>
                <w:sz w:val="18"/>
                <w:szCs w:val="18"/>
                <w:color w:val="0000EE"/>
              </w:rPr>
            </w:pPr>
            <w:hyperlink r:id="rId374">
              <w:r>
                <w:rPr>
                  <w:rFonts w:ascii="Arial" w:cs="Arial" w:eastAsia="Arial" w:hAnsi="Arial"/>
                  <w:sz w:val="18"/>
                  <w:szCs w:val="18"/>
                  <w:color w:val="0000EE"/>
                </w:rPr>
                <w:t>Form of Executive Employment Agreement</w:t>
              </w:r>
            </w:hyperlink>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4"/>
                <w:szCs w:val="24"/>
                <w:color w:val="auto"/>
              </w:rPr>
            </w:pPr>
          </w:p>
        </w:tc>
        <w:tc>
          <w:tcPr>
            <w:tcW w:w="6640" w:type="dxa"/>
            <w:vAlign w:val="bottom"/>
            <w:gridSpan w:val="28"/>
          </w:tcPr>
          <w:p>
            <w:pPr>
              <w:spacing w:after="0"/>
              <w:rPr>
                <w:rFonts w:ascii="Arial" w:cs="Arial" w:eastAsia="Arial" w:hAnsi="Arial"/>
                <w:sz w:val="18"/>
                <w:szCs w:val="18"/>
                <w:color w:val="0000EE"/>
              </w:rPr>
            </w:pPr>
            <w:hyperlink r:id="rId375">
              <w:r>
                <w:rPr>
                  <w:rFonts w:ascii="Arial" w:cs="Arial" w:eastAsia="Arial" w:hAnsi="Arial"/>
                  <w:sz w:val="18"/>
                  <w:szCs w:val="18"/>
                  <w:color w:val="0000EE"/>
                </w:rPr>
                <w:t>Form of Executive Employment Agreement for Chief Executive Officer</w:t>
              </w:r>
            </w:hyperlink>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10.16</w:t>
            </w:r>
          </w:p>
        </w:tc>
        <w:tc>
          <w:tcPr>
            <w:tcW w:w="8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24"/>
                <w:szCs w:val="24"/>
                <w:color w:val="auto"/>
              </w:rPr>
            </w:pPr>
          </w:p>
        </w:tc>
        <w:tc>
          <w:tcPr>
            <w:tcW w:w="6640" w:type="dxa"/>
            <w:vAlign w:val="bottom"/>
            <w:gridSpan w:val="28"/>
          </w:tcPr>
          <w:p>
            <w:pPr>
              <w:spacing w:after="0"/>
              <w:rPr>
                <w:rFonts w:ascii="Arial" w:cs="Arial" w:eastAsia="Arial" w:hAnsi="Arial"/>
                <w:sz w:val="18"/>
                <w:szCs w:val="18"/>
                <w:color w:val="0000EE"/>
              </w:rPr>
            </w:pPr>
            <w:hyperlink r:id="rId376">
              <w:r>
                <w:rPr>
                  <w:rFonts w:ascii="Arial" w:cs="Arial" w:eastAsia="Arial" w:hAnsi="Arial"/>
                  <w:sz w:val="18"/>
                  <w:szCs w:val="18"/>
                  <w:color w:val="0000EE"/>
                </w:rPr>
                <w:t>Separation Agreement by and between the Registrant and John Dunlop, Ph.D.</w:t>
              </w:r>
            </w:hyperlink>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10.17</w:t>
            </w:r>
          </w:p>
        </w:tc>
        <w:tc>
          <w:tcPr>
            <w:tcW w:w="8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24"/>
                <w:szCs w:val="24"/>
                <w:color w:val="auto"/>
              </w:rPr>
            </w:pPr>
          </w:p>
        </w:tc>
        <w:tc>
          <w:tcPr>
            <w:tcW w:w="6640" w:type="dxa"/>
            <w:vAlign w:val="bottom"/>
            <w:gridSpan w:val="28"/>
          </w:tcPr>
          <w:p>
            <w:pPr>
              <w:spacing w:after="0"/>
              <w:rPr>
                <w:rFonts w:ascii="Arial" w:cs="Arial" w:eastAsia="Arial" w:hAnsi="Arial"/>
                <w:sz w:val="18"/>
                <w:szCs w:val="18"/>
                <w:color w:val="0000EE"/>
                <w:w w:val="97"/>
              </w:rPr>
            </w:pPr>
            <w:hyperlink r:id="rId377">
              <w:r>
                <w:rPr>
                  <w:rFonts w:ascii="Arial" w:cs="Arial" w:eastAsia="Arial" w:hAnsi="Arial"/>
                  <w:sz w:val="18"/>
                  <w:szCs w:val="18"/>
                  <w:color w:val="0000EE"/>
                  <w:w w:val="97"/>
                </w:rPr>
                <w:t>Consulting Agreement, dated as of May 20, 2023, by and between the Registrant and</w:t>
              </w:r>
            </w:hyperlink>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10.18</w:t>
            </w:r>
          </w:p>
        </w:tc>
        <w:tc>
          <w:tcPr>
            <w:tcW w:w="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377">
              <w:r>
                <w:rPr>
                  <w:rFonts w:ascii="Arial" w:cs="Arial" w:eastAsia="Arial" w:hAnsi="Arial"/>
                  <w:sz w:val="18"/>
                  <w:szCs w:val="18"/>
                  <w:color w:val="0000EE"/>
                  <w:w w:val="89"/>
                </w:rPr>
                <w:t>John Dunlop, Ph.D.</w:t>
              </w:r>
            </w:hyperlink>
          </w:p>
        </w:tc>
        <w:tc>
          <w:tcPr>
            <w:tcW w:w="4700" w:type="dxa"/>
            <w:vAlign w:val="bottom"/>
            <w:tcBorders>
              <w:top w:val="single" w:sz="8" w:color="0000EE"/>
            </w:tcBorders>
            <w:gridSpan w:val="23"/>
          </w:tcPr>
          <w:p>
            <w:pPr>
              <w:spacing w:after="0"/>
              <w:rPr>
                <w:sz w:val="17"/>
                <w:szCs w:val="17"/>
                <w:color w:val="auto"/>
              </w:rPr>
            </w:pPr>
          </w:p>
        </w:tc>
        <w:tc>
          <w:tcPr>
            <w:tcW w:w="5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24"/>
                <w:szCs w:val="24"/>
                <w:color w:val="auto"/>
              </w:rPr>
            </w:pPr>
          </w:p>
        </w:tc>
        <w:tc>
          <w:tcPr>
            <w:tcW w:w="6380" w:type="dxa"/>
            <w:vAlign w:val="bottom"/>
            <w:tcBorders>
              <w:bottom w:val="single" w:sz="8" w:color="0000EE"/>
            </w:tcBorders>
            <w:gridSpan w:val="27"/>
          </w:tcPr>
          <w:p>
            <w:pPr>
              <w:spacing w:after="0"/>
              <w:rPr>
                <w:rFonts w:ascii="Arial" w:cs="Arial" w:eastAsia="Arial" w:hAnsi="Arial"/>
                <w:sz w:val="18"/>
                <w:szCs w:val="18"/>
                <w:color w:val="0000EE"/>
                <w:w w:val="89"/>
              </w:rPr>
            </w:pPr>
            <w:hyperlink r:id="rId378">
              <w:r>
                <w:rPr>
                  <w:rFonts w:ascii="Arial" w:cs="Arial" w:eastAsia="Arial" w:hAnsi="Arial"/>
                  <w:sz w:val="18"/>
                  <w:szCs w:val="18"/>
                  <w:color w:val="0000EE"/>
                  <w:w w:val="89"/>
                </w:rPr>
                <w:t>Executive Chairman Agreement, dated as of July 3, 2023, by and between the Registrant</w:t>
              </w:r>
            </w:hyperlink>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10.19</w:t>
            </w:r>
          </w:p>
        </w:tc>
        <w:tc>
          <w:tcPr>
            <w:tcW w:w="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40" w:type="dxa"/>
            <w:vAlign w:val="bottom"/>
            <w:gridSpan w:val="28"/>
          </w:tcPr>
          <w:p>
            <w:pPr>
              <w:spacing w:after="0" w:line="196" w:lineRule="exact"/>
              <w:rPr>
                <w:rFonts w:ascii="Arial" w:cs="Arial" w:eastAsia="Arial" w:hAnsi="Arial"/>
                <w:sz w:val="18"/>
                <w:szCs w:val="18"/>
                <w:color w:val="0000EE"/>
              </w:rPr>
            </w:pPr>
            <w:hyperlink r:id="rId378">
              <w:r>
                <w:rPr>
                  <w:rFonts w:ascii="Arial" w:cs="Arial" w:eastAsia="Arial" w:hAnsi="Arial"/>
                  <w:sz w:val="18"/>
                  <w:szCs w:val="18"/>
                  <w:color w:val="0000EE"/>
                </w:rPr>
                <w:t>and Paul L. Berns</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4"/>
                <w:szCs w:val="24"/>
                <w:color w:val="auto"/>
              </w:rPr>
            </w:pPr>
          </w:p>
        </w:tc>
        <w:tc>
          <w:tcPr>
            <w:tcW w:w="6640" w:type="dxa"/>
            <w:vAlign w:val="bottom"/>
            <w:gridSpan w:val="28"/>
          </w:tcPr>
          <w:p>
            <w:pPr>
              <w:spacing w:after="0"/>
              <w:rPr>
                <w:rFonts w:ascii="Arial" w:cs="Arial" w:eastAsia="Arial" w:hAnsi="Arial"/>
                <w:sz w:val="18"/>
                <w:szCs w:val="18"/>
                <w:color w:val="0000EE"/>
              </w:rPr>
            </w:pPr>
            <w:hyperlink r:id="rId379">
              <w:r>
                <w:rPr>
                  <w:rFonts w:ascii="Arial" w:cs="Arial" w:eastAsia="Arial" w:hAnsi="Arial"/>
                  <w:sz w:val="18"/>
                  <w:szCs w:val="18"/>
                  <w:color w:val="0000EE"/>
                </w:rPr>
                <w:t>Executive Employment Agreement, dated as of June 2, 2023, by and between the</w:t>
              </w:r>
            </w:hyperlink>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88"/>
              </w:rPr>
              <w:t>10.20</w:t>
            </w:r>
          </w:p>
        </w:tc>
        <w:tc>
          <w:tcPr>
            <w:tcW w:w="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379">
              <w:r>
                <w:rPr>
                  <w:rFonts w:ascii="Arial" w:cs="Arial" w:eastAsia="Arial" w:hAnsi="Arial"/>
                  <w:sz w:val="18"/>
                  <w:szCs w:val="18"/>
                  <w:color w:val="0000EE"/>
                  <w:w w:val="89"/>
                </w:rPr>
                <w:t>Registrant and Henry O. Gosebruch</w:t>
              </w:r>
            </w:hyperlink>
          </w:p>
        </w:tc>
        <w:tc>
          <w:tcPr>
            <w:tcW w:w="3260" w:type="dxa"/>
            <w:vAlign w:val="bottom"/>
            <w:tcBorders>
              <w:top w:val="single" w:sz="8" w:color="0000EE"/>
            </w:tcBorders>
            <w:gridSpan w:val="15"/>
          </w:tcPr>
          <w:p>
            <w:pPr>
              <w:spacing w:after="0"/>
              <w:rPr>
                <w:sz w:val="17"/>
                <w:szCs w:val="17"/>
                <w:color w:val="auto"/>
              </w:rPr>
            </w:pPr>
          </w:p>
        </w:tc>
        <w:tc>
          <w:tcPr>
            <w:tcW w:w="80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4"/>
                <w:szCs w:val="24"/>
                <w:color w:val="auto"/>
              </w:rPr>
            </w:pPr>
          </w:p>
        </w:tc>
        <w:tc>
          <w:tcPr>
            <w:tcW w:w="6640" w:type="dxa"/>
            <w:vAlign w:val="bottom"/>
            <w:gridSpan w:val="28"/>
          </w:tcPr>
          <w:p>
            <w:pPr>
              <w:spacing w:after="0"/>
              <w:rPr>
                <w:sz w:val="20"/>
                <w:szCs w:val="20"/>
                <w:color w:val="auto"/>
              </w:rPr>
            </w:pPr>
            <w:r>
              <w:rPr>
                <w:rFonts w:ascii="Arial" w:cs="Arial" w:eastAsia="Arial" w:hAnsi="Arial"/>
                <w:sz w:val="18"/>
                <w:szCs w:val="18"/>
                <w:color w:val="0000EE"/>
              </w:rPr>
              <w:t>Non-Employee Director Compensation Program</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700" w:type="dxa"/>
            <w:vAlign w:val="bottom"/>
            <w:gridSpan w:val="9"/>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43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2320" w:type="dxa"/>
            <w:vAlign w:val="bottom"/>
            <w:gridSpan w:val="15"/>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6640" w:type="dxa"/>
            <w:vAlign w:val="bottom"/>
            <w:gridSpan w:val="28"/>
          </w:tcPr>
          <w:p>
            <w:pPr>
              <w:spacing w:after="0"/>
              <w:rPr>
                <w:sz w:val="20"/>
                <w:szCs w:val="20"/>
                <w:color w:val="auto"/>
              </w:rPr>
            </w:pPr>
            <w:r>
              <w:rPr>
                <w:rFonts w:ascii="Arial" w:cs="Arial" w:eastAsia="Arial" w:hAnsi="Arial"/>
                <w:sz w:val="18"/>
                <w:szCs w:val="18"/>
                <w:color w:val="0000EE"/>
              </w:rPr>
              <w:t>Consent of Latham &amp; Watkins LLP (included in Exhibit 5.1)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580" w:type="dxa"/>
            <w:vAlign w:val="bottom"/>
            <w:gridSpan w:val="13"/>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Arial" w:cs="Arial" w:eastAsia="Arial" w:hAnsi="Arial"/>
                <w:sz w:val="18"/>
                <w:szCs w:val="18"/>
                <w:color w:val="0000EE"/>
                <w:w w:val="89"/>
              </w:rPr>
            </w:pPr>
            <w:hyperlink r:id="rId380">
              <w:r>
                <w:rPr>
                  <w:rFonts w:ascii="Arial" w:cs="Arial" w:eastAsia="Arial" w:hAnsi="Arial"/>
                  <w:sz w:val="18"/>
                  <w:szCs w:val="18"/>
                  <w:color w:val="0000EE"/>
                  <w:w w:val="89"/>
                </w:rPr>
                <w:t>Power of Attorney (reference is made to the signature page to the Registration</w:t>
              </w:r>
            </w:hyperlink>
          </w:p>
        </w:tc>
        <w:tc>
          <w:tcPr>
            <w:tcW w:w="102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8/25/2023</w:t>
            </w:r>
          </w:p>
        </w:tc>
        <w:tc>
          <w:tcPr>
            <w:tcW w:w="66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24.1</w:t>
            </w:r>
          </w:p>
        </w:tc>
        <w:tc>
          <w:tcPr>
            <w:tcW w:w="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380">
              <w:r>
                <w:rPr>
                  <w:rFonts w:ascii="Arial" w:cs="Arial" w:eastAsia="Arial" w:hAnsi="Arial"/>
                  <w:sz w:val="18"/>
                  <w:szCs w:val="18"/>
                  <w:color w:val="0000EE"/>
                  <w:w w:val="86"/>
                </w:rPr>
                <w:t>Statement)</w:t>
              </w:r>
            </w:hyperlink>
          </w:p>
        </w:tc>
        <w:tc>
          <w:tcPr>
            <w:tcW w:w="5860" w:type="dxa"/>
            <w:vAlign w:val="bottom"/>
            <w:gridSpan w:val="27"/>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21" w:lineRule="exact"/>
        <w:rPr>
          <w:sz w:val="20"/>
          <w:szCs w:val="20"/>
          <w:color w:val="auto"/>
        </w:rPr>
      </w:pPr>
    </w:p>
    <w:p>
      <w:pPr>
        <w:ind w:left="1040" w:hanging="924"/>
        <w:spacing w:after="0"/>
        <w:tabs>
          <w:tab w:leader="none" w:pos="10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Filed</w:t>
      </w:r>
    </w:p>
    <w:p>
      <w:pPr>
        <w:jc w:val="center"/>
        <w:ind w:right="40"/>
        <w:spacing w:after="0"/>
        <w:rPr>
          <w:sz w:val="20"/>
          <w:szCs w:val="20"/>
          <w:color w:val="auto"/>
        </w:rPr>
      </w:pPr>
      <w:r>
        <w:rPr>
          <w:rFonts w:ascii="Arial" w:cs="Arial" w:eastAsia="Arial" w:hAnsi="Arial"/>
          <w:sz w:val="13"/>
          <w:szCs w:val="13"/>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ectPr>
          <w:pgSz w:w="11900" w:h="16838" w:orient="portrait"/>
          <w:cols w:equalWidth="0" w:num="2">
            <w:col w:w="10260" w:space="280"/>
            <w:col w:w="580"/>
          </w:cols>
          <w:pgMar w:left="320" w:top="459" w:right="459" w:bottom="1440" w:gutter="0" w:footer="0" w:header="0"/>
          <w:type w:val="continuous"/>
        </w:sectPr>
      </w:pPr>
    </w:p>
    <w:p>
      <w:pPr>
        <w:spacing w:after="0" w:line="66" w:lineRule="exact"/>
        <w:rPr>
          <w:sz w:val="20"/>
          <w:szCs w:val="20"/>
          <w:color w:val="auto"/>
        </w:rPr>
      </w:pPr>
    </w:p>
    <w:p>
      <w:pPr>
        <w:ind w:left="120" w:right="8640" w:hanging="4"/>
        <w:spacing w:after="0" w:line="291" w:lineRule="auto"/>
        <w:tabs>
          <w:tab w:leader="none" w:pos="55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1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w:t>
      </w:r>
    </w:p>
    <w:p>
      <w:pPr>
        <w:spacing w:after="0" w:line="9"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type w:val="continuous"/>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314"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Watertown, State of Massachusetts, on the 11</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of September, 2023.</w:t>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NEUMORA THERAPEUTICS,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 Gosebruch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Henry O. Gosebruch</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Henry O. Gosebruch and Joshua Pinto, Ph.D.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40"/>
          </w:cols>
          <w:pgMar w:left="320" w:top="459" w:right="439" w:bottom="1440" w:gutter="0" w:footer="0" w:header="0"/>
        </w:sectPr>
      </w:pPr>
    </w:p>
    <w:p>
      <w:pPr>
        <w:spacing w:after="0" w:line="189"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28886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9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/s/ Henry O. Gosebruch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28886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Henry O. Gosebruch</w:t>
      </w: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/s/ Joshua Pinto,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28886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Joshua Pinto, Ph.D.</w:t>
      </w: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 Michael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8861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Michael Milligan</w:t>
      </w: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886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Paul L. Berns</w:t>
      </w: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886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Kristina Burow</w:t>
      </w: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886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Matthew Fust</w:t>
      </w: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8861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Alaa Halawa</w:t>
      </w: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886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Maykin Ho, Ph.D.</w:t>
      </w: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 David Piacquad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886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David Piacquad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Henry O. Gosebruch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27946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Henry O. Gosebruch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17"/>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11, 2023</w:t>
            </w:r>
          </w:p>
        </w:tc>
      </w:tr>
      <w:tr>
        <w:trPr>
          <w:trHeight w:val="230"/>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executive officer)</w:t>
            </w:r>
          </w:p>
        </w:tc>
        <w:tc>
          <w:tcPr>
            <w:tcW w:w="2060" w:type="dxa"/>
            <w:vAlign w:val="bottom"/>
          </w:tcPr>
          <w:p>
            <w:pPr>
              <w:spacing w:after="0"/>
              <w:rPr>
                <w:sz w:val="20"/>
                <w:szCs w:val="20"/>
                <w:color w:val="auto"/>
              </w:rPr>
            </w:pPr>
          </w:p>
        </w:tc>
      </w:tr>
      <w:tr>
        <w:trPr>
          <w:trHeight w:val="337"/>
        </w:trPr>
        <w:tc>
          <w:tcPr>
            <w:tcW w:w="43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 (principal</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11, 2023</w:t>
            </w:r>
          </w:p>
        </w:tc>
      </w:tr>
      <w:tr>
        <w:trPr>
          <w:trHeight w:val="230"/>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financial officer)</w:t>
            </w:r>
          </w:p>
        </w:tc>
        <w:tc>
          <w:tcPr>
            <w:tcW w:w="2060" w:type="dxa"/>
            <w:vAlign w:val="bottom"/>
          </w:tcPr>
          <w:p>
            <w:pPr>
              <w:spacing w:after="0"/>
              <w:rPr>
                <w:sz w:val="20"/>
                <w:szCs w:val="20"/>
                <w:color w:val="auto"/>
              </w:rPr>
            </w:pPr>
          </w:p>
        </w:tc>
      </w:tr>
      <w:tr>
        <w:trPr>
          <w:trHeight w:val="351"/>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Accounting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11, 2023</w:t>
            </w:r>
          </w:p>
        </w:tc>
      </w:tr>
      <w:tr>
        <w:trPr>
          <w:trHeight w:val="567"/>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Executive Chairman</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11, 2023</w:t>
            </w:r>
          </w:p>
        </w:tc>
      </w:tr>
      <w:tr>
        <w:trPr>
          <w:trHeight w:val="567"/>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11, 2023</w:t>
            </w:r>
          </w:p>
        </w:tc>
      </w:tr>
      <w:tr>
        <w:trPr>
          <w:trHeight w:val="567"/>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11, 2023</w:t>
            </w:r>
          </w:p>
        </w:tc>
      </w:tr>
      <w:tr>
        <w:trPr>
          <w:trHeight w:val="567"/>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11, 2023</w:t>
            </w:r>
          </w:p>
        </w:tc>
      </w:tr>
      <w:tr>
        <w:trPr>
          <w:trHeight w:val="567"/>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11, 2023</w:t>
            </w:r>
          </w:p>
        </w:tc>
      </w:tr>
      <w:tr>
        <w:trPr>
          <w:trHeight w:val="567"/>
        </w:trPr>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11,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II-6</w:t>
      </w:r>
    </w:p>
    <w:p>
      <w:pPr>
        <w:sectPr>
          <w:pgSz w:w="11900" w:h="16838" w:orient="portrait"/>
          <w:cols w:equalWidth="0" w:num="2">
            <w:col w:w="4060" w:space="720"/>
            <w:col w:w="6360"/>
          </w:cols>
          <w:pgMar w:left="320" w:top="459" w:right="439" w:bottom="1440" w:gutter="0" w:footer="0" w:header="0"/>
          <w:type w:val="continuous"/>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Neumora Therapeutics, Inc.</w:t>
      </w:r>
    </w:p>
    <w:p>
      <w:pPr>
        <w:spacing w:after="0" w:line="225" w:lineRule="exact"/>
        <w:rPr>
          <w:sz w:val="20"/>
          <w:szCs w:val="20"/>
          <w:color w:val="auto"/>
        </w:rPr>
      </w:pPr>
    </w:p>
    <w:p>
      <w:pPr>
        <w:ind w:left="4600" w:right="3420" w:hanging="1197"/>
        <w:spacing w:after="0" w:line="500" w:lineRule="auto"/>
        <w:tabs>
          <w:tab w:leader="none" w:pos="3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Shares of Common Stock, par value $0.0001 per share Underwriting Agreement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Schedule 1 hereto</w:t>
      </w:r>
    </w:p>
    <w:p>
      <w:pPr>
        <w:sectPr>
          <w:pgSz w:w="11900" w:h="16838" w:orient="portrait"/>
          <w:cols w:equalWidth="0" w:num="1">
            <w:col w:w="11020"/>
          </w:cols>
          <w:pgMar w:left="440" w:top="121"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00" w:lineRule="exact"/>
        <w:rPr>
          <w:sz w:val="20"/>
          <w:szCs w:val="20"/>
          <w:color w:val="auto"/>
        </w:rPr>
      </w:pPr>
    </w:p>
    <w:p>
      <w:pPr>
        <w:sectPr>
          <w:pgSz w:w="11900" w:h="16838" w:orient="portrait"/>
          <w:cols w:equalWidth="0" w:num="2">
            <w:col w:w="220" w:space="400"/>
            <w:col w:w="10400"/>
          </w:cols>
          <w:pgMar w:left="440" w:top="121"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BofA Securities,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10036</w:t>
      </w:r>
    </w:p>
    <w:p>
      <w:pPr>
        <w:spacing w:after="0" w:line="200" w:lineRule="exact"/>
        <w:rPr>
          <w:sz w:val="20"/>
          <w:szCs w:val="20"/>
          <w:color w:val="auto"/>
        </w:rPr>
      </w:pPr>
    </w:p>
    <w:p>
      <w:pPr>
        <w:sectPr>
          <w:pgSz w:w="11900" w:h="16838" w:orient="portrait"/>
          <w:cols w:equalWidth="0" w:num="2">
            <w:col w:w="220" w:space="400"/>
            <w:col w:w="10400"/>
          </w:cols>
          <w:pgMar w:left="440" w:top="121"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Neumora Therapeutics, Inc., a Delaware corporation (the “Company”), proposes to issue and sell to the several underwriters listed in Schedule 1 hereto (the “Underwriters”), for whom J.P. Morgan Securities LLC and BofA Securities, Inc. are acting as representatives (the “Representatives”), an aggregate of [●] shares of common stock, par value $0.0001 per share (“Common Stock”), of the Company (the “Underwritten Shares”) and, at the option of the Underwriters, up to an additional [●]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hereby confirms its agreement with the several Underwriters concerning the purchase and sale of the Shares, as follows:</w:t>
      </w:r>
    </w:p>
    <w:p>
      <w:pPr>
        <w:spacing w:after="0" w:line="237" w:lineRule="exact"/>
        <w:rPr>
          <w:sz w:val="20"/>
          <w:szCs w:val="20"/>
          <w:color w:val="auto"/>
        </w:rPr>
      </w:pPr>
    </w:p>
    <w:p>
      <w:pPr>
        <w:ind w:right="40" w:firstLine="436"/>
        <w:spacing w:after="0" w:line="288" w:lineRule="auto"/>
        <w:tabs>
          <w:tab w:leader="none" w:pos="755"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333-274229),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w:t>
      </w:r>
    </w:p>
    <w:p>
      <w:pPr>
        <w:sectPr>
          <w:pgSz w:w="11900" w:h="16838" w:orient="portrait"/>
          <w:cols w:equalWidth="0" w:num="1">
            <w:col w:w="11020"/>
          </w:cols>
          <w:pgMar w:left="440" w:top="121" w:right="439" w:bottom="1440" w:gutter="0" w:footer="0" w:header="0"/>
          <w:type w:val="continuous"/>
        </w:sectPr>
      </w:pPr>
    </w:p>
    <w:bookmarkStart w:id="293" w:name="page294"/>
    <w:bookmarkEnd w:id="2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then any reference herein to the term “Registration Statement” shall be deemed to include such Rule 462 Registration Statement.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herein shall have the meanings given to such terms in the Registration Statement and the Prospectus.</w:t>
      </w:r>
    </w:p>
    <w:p>
      <w:pPr>
        <w:spacing w:after="0" w:line="222"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“Pricing Disclosure Package”): a Preliminary Prospectus dated [●], 2023 and each “free-writing prospectus” (as defined pursuant to Rule 405 under the Securities Act) listed on Annex A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Time” means [●] [A/P].M., New York City time, on [●], 2023.</w:t>
      </w:r>
    </w:p>
    <w:p>
      <w:pPr>
        <w:spacing w:after="0" w:line="333" w:lineRule="exact"/>
        <w:rPr>
          <w:sz w:val="20"/>
          <w:szCs w:val="20"/>
          <w:color w:val="auto"/>
        </w:rPr>
      </w:pPr>
    </w:p>
    <w:p>
      <w:pPr>
        <w:ind w:left="760" w:hanging="324"/>
        <w:spacing w:after="0"/>
        <w:tabs>
          <w:tab w:leader="none" w:pos="7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Purchase of the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987"/>
        <w:spacing w:after="0" w:line="279" w:lineRule="auto"/>
        <w:tabs>
          <w:tab w:leader="none" w:pos="1371"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w:t>
      </w:r>
    </w:p>
    <w:p>
      <w:pPr>
        <w:spacing w:after="0" w:line="17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8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164" w:lineRule="exact"/>
        <w:rPr>
          <w:sz w:val="20"/>
          <w:szCs w:val="20"/>
          <w:color w:val="auto"/>
        </w:rPr>
      </w:pPr>
    </w:p>
    <w:p>
      <w:pPr>
        <w:ind w:right="240" w:firstLine="987"/>
        <w:spacing w:after="0" w:line="263" w:lineRule="auto"/>
        <w:tabs>
          <w:tab w:leader="none" w:pos="138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4" w:name="page295"/>
    <w:bookmarkEnd w:id="294"/>
    <w:p>
      <w:pPr>
        <w:ind w:left="-20" w:right="40" w:firstLine="987"/>
        <w:spacing w:after="0" w:line="272" w:lineRule="auto"/>
        <w:tabs>
          <w:tab w:leader="none" w:pos="1351" w:val="left"/>
        </w:tabs>
        <w:numPr>
          <w:ilvl w:val="1"/>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for the Shares shall be made by wire transfer in immediately available funds to the account specified by the Company to the Representatives in the case of the Underwritten Shares, at the offices of Cooley LLP, counsel for the Underwriters, at 10265 Science Center Drive, San Diego, CA 92121-1117, at 10:00 A.M., New York City time, on [●], 2023,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77" w:lineRule="exact"/>
        <w:rPr>
          <w:rFonts w:ascii="Arial" w:cs="Arial" w:eastAsia="Arial" w:hAnsi="Arial"/>
          <w:sz w:val="17"/>
          <w:szCs w:val="17"/>
          <w:color w:val="auto"/>
        </w:rPr>
      </w:pPr>
    </w:p>
    <w:p>
      <w:pPr>
        <w:ind w:left="-20" w:right="440" w:firstLine="987"/>
        <w:spacing w:after="0" w:line="301" w:lineRule="auto"/>
        <w:tabs>
          <w:tab w:leader="none" w:pos="1361" w:val="left"/>
        </w:tabs>
        <w:numPr>
          <w:ilvl w:val="1"/>
          <w:numId w:val="170"/>
        </w:numPr>
        <w:rPr>
          <w:rFonts w:ascii="Arial" w:cs="Arial" w:eastAsia="Arial" w:hAnsi="Arial"/>
          <w:sz w:val="16"/>
          <w:szCs w:val="16"/>
          <w:color w:val="auto"/>
        </w:rPr>
      </w:pPr>
      <w:r>
        <w:rPr>
          <w:rFonts w:ascii="Arial" w:cs="Arial" w:eastAsia="Arial" w:hAnsi="Arial"/>
          <w:sz w:val="16"/>
          <w:szCs w:val="16"/>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Delivery of the Shares shall be made through the facilities of The Depository Trust Company unless the Representatives shall otherwise instruct.</w:t>
      </w:r>
    </w:p>
    <w:p>
      <w:pPr>
        <w:spacing w:after="0" w:line="157" w:lineRule="exact"/>
        <w:rPr>
          <w:rFonts w:ascii="Arial" w:cs="Arial" w:eastAsia="Arial" w:hAnsi="Arial"/>
          <w:sz w:val="16"/>
          <w:szCs w:val="16"/>
          <w:color w:val="auto"/>
        </w:rPr>
      </w:pPr>
    </w:p>
    <w:p>
      <w:pPr>
        <w:ind w:left="-20" w:right="60" w:firstLine="987"/>
        <w:spacing w:after="0" w:line="270" w:lineRule="auto"/>
        <w:tabs>
          <w:tab w:leader="none" w:pos="1351"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80" w:lineRule="exact"/>
        <w:rPr>
          <w:rFonts w:ascii="Arial" w:cs="Arial" w:eastAsia="Arial" w:hAnsi="Arial"/>
          <w:sz w:val="17"/>
          <w:szCs w:val="17"/>
          <w:color w:val="auto"/>
        </w:rPr>
      </w:pPr>
    </w:p>
    <w:p>
      <w:pPr>
        <w:ind w:left="740" w:hanging="324"/>
        <w:spacing w:after="0"/>
        <w:tabs>
          <w:tab w:leader="none" w:pos="7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225" w:lineRule="exact"/>
        <w:rPr>
          <w:rFonts w:ascii="Arial" w:cs="Arial" w:eastAsia="Arial" w:hAnsi="Arial"/>
          <w:sz w:val="18"/>
          <w:szCs w:val="18"/>
          <w:color w:val="auto"/>
        </w:rPr>
      </w:pPr>
    </w:p>
    <w:p>
      <w:pPr>
        <w:ind w:left="-20" w:firstLine="987"/>
        <w:spacing w:after="0" w:line="271" w:lineRule="auto"/>
        <w:tabs>
          <w:tab w:leader="none" w:pos="1351" w:val="left"/>
        </w:tabs>
        <w:numPr>
          <w:ilvl w:val="1"/>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Commission, and each Preliminary Prospectus included in the Pricing Disclosure Package, at the time of filing thereof, complied in all material respects with the applicable provisions of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178" w:lineRule="exact"/>
        <w:rPr>
          <w:rFonts w:ascii="Arial" w:cs="Arial" w:eastAsia="Arial" w:hAnsi="Arial"/>
          <w:sz w:val="17"/>
          <w:szCs w:val="17"/>
          <w:color w:val="auto"/>
        </w:rPr>
      </w:pPr>
    </w:p>
    <w:p>
      <w:pPr>
        <w:ind w:left="-20" w:right="80" w:firstLine="987"/>
        <w:spacing w:after="0" w:line="259" w:lineRule="auto"/>
        <w:tabs>
          <w:tab w:leader="none" w:pos="1361"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Pricing Disclosure Package</w:t>
      </w:r>
      <w:r>
        <w:rPr>
          <w:rFonts w:ascii="Arial" w:cs="Arial" w:eastAsia="Arial" w:hAnsi="Arial"/>
          <w:sz w:val="18"/>
          <w:szCs w:val="18"/>
          <w:color w:val="auto"/>
        </w:rPr>
        <w:t>. The Pricing Disclosure Package as of the Applicable Time did not, and as of the Closing Date and as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or warranty with respect to any statements or omissions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295" w:name="page296"/>
    <w:bookmarkEnd w:id="295"/>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88" w:lineRule="exact"/>
        <w:rPr>
          <w:sz w:val="20"/>
          <w:szCs w:val="20"/>
          <w:color w:val="auto"/>
        </w:rPr>
      </w:pPr>
    </w:p>
    <w:p>
      <w:pPr>
        <w:ind w:left="4" w:firstLine="987"/>
        <w:spacing w:after="0" w:line="267" w:lineRule="auto"/>
        <w:tabs>
          <w:tab w:leader="none" w:pos="1375"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Other than the Registration Statement, the Preliminary Prospectus and the Prospectus,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191" w:lineRule="exact"/>
        <w:rPr>
          <w:rFonts w:ascii="Arial" w:cs="Arial" w:eastAsia="Arial" w:hAnsi="Arial"/>
          <w:sz w:val="17"/>
          <w:szCs w:val="17"/>
          <w:color w:val="auto"/>
        </w:rPr>
      </w:pPr>
    </w:p>
    <w:p>
      <w:pPr>
        <w:ind w:left="4" w:right="40" w:firstLine="987"/>
        <w:spacing w:after="0" w:line="296" w:lineRule="auto"/>
        <w:tabs>
          <w:tab w:leader="none" w:pos="1385"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Emerging Growth Company</w:t>
      </w:r>
      <w:r>
        <w:rPr>
          <w:rFonts w:ascii="Arial" w:cs="Arial" w:eastAsia="Arial" w:hAnsi="Arial"/>
          <w:sz w:val="16"/>
          <w:szCs w:val="16"/>
          <w:color w:val="auto"/>
        </w:rPr>
        <w:t>. From the time of initial confidential submission of the Registration Statement to the Commission (or, if</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the first date on which the 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161" w:lineRule="exact"/>
        <w:rPr>
          <w:rFonts w:ascii="Arial" w:cs="Arial" w:eastAsia="Arial" w:hAnsi="Arial"/>
          <w:sz w:val="16"/>
          <w:szCs w:val="16"/>
          <w:color w:val="auto"/>
        </w:rPr>
      </w:pPr>
    </w:p>
    <w:p>
      <w:pPr>
        <w:ind w:left="1364" w:hanging="373"/>
        <w:spacing w:after="0"/>
        <w:tabs>
          <w:tab w:leader="none" w:pos="1364"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Materials. </w:t>
      </w:r>
      <w:r>
        <w:rPr>
          <w:rFonts w:ascii="Arial" w:cs="Arial" w:eastAsia="Arial" w:hAnsi="Arial"/>
          <w:sz w:val="17"/>
          <w:szCs w:val="17"/>
          <w:color w:val="auto"/>
        </w:rPr>
        <w:t>The Company (i) has not alone engaged in any Testing-the-Waters Communications other than</w:t>
      </w:r>
    </w:p>
    <w:p>
      <w:pPr>
        <w:spacing w:after="0" w:line="35" w:lineRule="exact"/>
        <w:rPr>
          <w:sz w:val="20"/>
          <w:szCs w:val="20"/>
          <w:color w:val="auto"/>
        </w:rPr>
      </w:pPr>
    </w:p>
    <w:p>
      <w:pPr>
        <w:ind w:left="4" w:right="40"/>
        <w:spacing w:after="0" w:line="281" w:lineRule="auto"/>
        <w:rPr>
          <w:sz w:val="20"/>
          <w:szCs w:val="20"/>
          <w:color w:val="auto"/>
        </w:rPr>
      </w:pPr>
      <w:r>
        <w:rPr>
          <w:rFonts w:ascii="Arial" w:cs="Arial" w:eastAsia="Arial" w:hAnsi="Arial"/>
          <w:sz w:val="16"/>
          <w:szCs w:val="16"/>
          <w:color w:val="auto"/>
        </w:rPr>
        <w:t>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w:t>
      </w:r>
    </w:p>
    <w:p>
      <w:pPr>
        <w:spacing w:after="0" w:line="2" w:lineRule="exact"/>
        <w:rPr>
          <w:sz w:val="20"/>
          <w:szCs w:val="20"/>
          <w:color w:val="auto"/>
        </w:rPr>
      </w:pPr>
    </w:p>
    <w:p>
      <w:pPr>
        <w:ind w:left="4" w:right="140" w:hanging="4"/>
        <w:spacing w:after="0" w:line="323" w:lineRule="auto"/>
        <w:tabs>
          <w:tab w:leader="none" w:pos="26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w:t>
      </w:r>
    </w:p>
    <w:p>
      <w:pPr>
        <w:spacing w:after="0" w:line="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296" w:name="page297"/>
    <w:bookmarkEnd w:id="29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Exhibit D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77" w:lineRule="exact"/>
        <w:rPr>
          <w:sz w:val="20"/>
          <w:szCs w:val="20"/>
          <w:color w:val="auto"/>
        </w:rPr>
      </w:pPr>
    </w:p>
    <w:p>
      <w:pPr>
        <w:ind w:firstLine="987"/>
        <w:spacing w:after="0" w:line="268" w:lineRule="auto"/>
        <w:tabs>
          <w:tab w:leader="none" w:pos="1351"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and Prospectus. </w:t>
      </w:r>
      <w:r>
        <w:rPr>
          <w:rFonts w:ascii="Arial" w:cs="Arial" w:eastAsia="Arial" w:hAnsi="Arial"/>
          <w:sz w:val="17"/>
          <w:szCs w:val="17"/>
          <w:color w:val="auto"/>
        </w:rPr>
        <w:t>The Registration Statement has been declared effective by the Commission. No order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complied with and will comply in all material respects with the applicable requirements of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84" w:lineRule="exact"/>
        <w:rPr>
          <w:rFonts w:ascii="Arial" w:cs="Arial" w:eastAsia="Arial" w:hAnsi="Arial"/>
          <w:sz w:val="17"/>
          <w:szCs w:val="17"/>
          <w:color w:val="auto"/>
        </w:rPr>
      </w:pPr>
    </w:p>
    <w:p>
      <w:pPr>
        <w:ind w:right="20" w:firstLine="987"/>
        <w:spacing w:after="0" w:line="270" w:lineRule="auto"/>
        <w:tabs>
          <w:tab w:leader="none" w:pos="1381"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w:t>
      </w:r>
    </w:p>
    <w:p>
      <w:pPr>
        <w:spacing w:after="0" w:line="180" w:lineRule="exact"/>
        <w:rPr>
          <w:rFonts w:ascii="Arial" w:cs="Arial" w:eastAsia="Arial" w:hAnsi="Arial"/>
          <w:sz w:val="17"/>
          <w:szCs w:val="17"/>
          <w:color w:val="auto"/>
        </w:rPr>
      </w:pPr>
    </w:p>
    <w:p>
      <w:pPr>
        <w:ind w:right="120" w:firstLine="987"/>
        <w:spacing w:after="0" w:line="296" w:lineRule="auto"/>
        <w:tabs>
          <w:tab w:leader="none" w:pos="1381"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Pricing Disclosure Package and the Prospectus, (i) there has not been any material change in the capital stock (other than the issuance of shares of Common Stock upon exercise (including any “net” or “cashless”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97" w:name="page298"/>
    <w:bookmarkEnd w:id="297"/>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the case of clauses (i) and (ii) above, as otherwise disclosed in the Registration Statement, the Pricing Disclosure Package and the Prospectus.</w:t>
      </w:r>
    </w:p>
    <w:p>
      <w:pPr>
        <w:spacing w:after="0" w:line="166" w:lineRule="exact"/>
        <w:rPr>
          <w:sz w:val="20"/>
          <w:szCs w:val="20"/>
          <w:color w:val="auto"/>
        </w:rPr>
      </w:pPr>
    </w:p>
    <w:p>
      <w:pPr>
        <w:ind w:right="20" w:firstLine="987"/>
        <w:spacing w:after="0" w:line="253" w:lineRule="auto"/>
        <w:tabs>
          <w:tab w:leader="none" w:pos="1341"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The Company and each of its subsidiaries have been duly organized and are validly existing and in</w:t>
      </w:r>
      <w:r>
        <w:rPr>
          <w:rFonts w:ascii="Arial" w:cs="Arial" w:eastAsia="Arial" w:hAnsi="Arial"/>
          <w:sz w:val="18"/>
          <w:szCs w:val="18"/>
          <w:i w:val="1"/>
          <w:iCs w:val="1"/>
          <w:color w:val="auto"/>
        </w:rPr>
        <w:t xml:space="preserve"> </w:t>
      </w:r>
      <w:r>
        <w:rPr>
          <w:rFonts w:ascii="Arial" w:cs="Arial" w:eastAsia="Arial" w:hAnsi="Arial"/>
          <w:sz w:val="18"/>
          <w:szCs w:val="18"/>
          <w:color w:val="auto"/>
        </w:rPr>
        <w:t>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have any significant subsidiaries, as such term is defined in Rule 1-02(w) of Regulation S-X promulgated by the Commission.</w:t>
      </w:r>
    </w:p>
    <w:p>
      <w:pPr>
        <w:spacing w:after="0" w:line="196" w:lineRule="exact"/>
        <w:rPr>
          <w:rFonts w:ascii="Arial" w:cs="Arial" w:eastAsia="Arial" w:hAnsi="Arial"/>
          <w:sz w:val="18"/>
          <w:szCs w:val="18"/>
          <w:color w:val="auto"/>
        </w:rPr>
      </w:pPr>
    </w:p>
    <w:p>
      <w:pPr>
        <w:ind w:firstLine="987"/>
        <w:spacing w:after="0" w:line="287" w:lineRule="auto"/>
        <w:tabs>
          <w:tab w:leader="none" w:pos="1341"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Company has an authorized capitalization as set forth in the Registration Statement, the Pricing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and the Prospectus under the heading “Capitalization” and “Description of Capital Stock”; all the outstanding shares of capital stock of the Company have been duly and validly authorized and issued and are fully paid and non-assessable and are not subject to any pre-emptive or similar rights that have not been duly waived or satisfied;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171" w:lineRule="exact"/>
        <w:rPr>
          <w:rFonts w:ascii="Arial" w:cs="Arial" w:eastAsia="Arial" w:hAnsi="Arial"/>
          <w:sz w:val="16"/>
          <w:szCs w:val="16"/>
          <w:color w:val="auto"/>
        </w:rPr>
      </w:pPr>
    </w:p>
    <w:p>
      <w:pPr>
        <w:ind w:firstLine="987"/>
        <w:spacing w:after="0" w:line="296" w:lineRule="auto"/>
        <w:tabs>
          <w:tab w:leader="none" w:pos="1381"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With respect to the stock options (the “Stock Options”) granted pursuant to the stock-based compensation plans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(the “Company Stock Plans”), except as would not, individually or in the aggregate, reasonably be expected to have a Material Adverse Effect,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by all necessary corporate action, including, as applicable, approval by the board of directors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98" w:name="page299"/>
    <w:bookmarkEnd w:id="298"/>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any applicable provisions of the Exchange Act and all other applicable laws and regulatory rules or requirements, including the rules of the Nasdaq Global Market (“Nasdaq Market”) and any other exchange on which Company securities are traded, and (iv) each such grant was properly accounted for in accordance with GAAP in the financial statements (including the related notes) of the Company.</w:t>
      </w:r>
    </w:p>
    <w:p>
      <w:pPr>
        <w:spacing w:after="0" w:line="192" w:lineRule="exact"/>
        <w:rPr>
          <w:sz w:val="20"/>
          <w:szCs w:val="20"/>
          <w:color w:val="auto"/>
        </w:rPr>
      </w:pPr>
    </w:p>
    <w:p>
      <w:pPr>
        <w:ind w:left="4" w:right="420" w:firstLine="987"/>
        <w:spacing w:after="0" w:line="286" w:lineRule="auto"/>
        <w:tabs>
          <w:tab w:leader="none" w:pos="1345" w:val="left"/>
        </w:tabs>
        <w:numPr>
          <w:ilvl w:val="1"/>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Due Authorization. </w:t>
      </w:r>
      <w:r>
        <w:rPr>
          <w:rFonts w:ascii="Arial" w:cs="Arial" w:eastAsia="Arial" w:hAnsi="Arial"/>
          <w:sz w:val="17"/>
          <w:szCs w:val="17"/>
          <w:color w:val="auto"/>
        </w:rPr>
        <w:t>The Company has full right, power and authority to execute and deliver this Agreement and to perform its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hereunder; and all action required to be taken by the Company for the due and proper authorization, execution and delivery by it of this Agreement and the consummation by it of the transactions contemplated hereby has been duly and validly taken.</w:t>
      </w:r>
    </w:p>
    <w:p>
      <w:pPr>
        <w:spacing w:after="0" w:line="165" w:lineRule="exact"/>
        <w:rPr>
          <w:rFonts w:ascii="Arial" w:cs="Arial" w:eastAsia="Arial" w:hAnsi="Arial"/>
          <w:sz w:val="17"/>
          <w:szCs w:val="17"/>
          <w:color w:val="auto"/>
        </w:rPr>
      </w:pPr>
    </w:p>
    <w:p>
      <w:pPr>
        <w:ind w:left="1424" w:hanging="433"/>
        <w:spacing w:after="0"/>
        <w:tabs>
          <w:tab w:leader="none" w:pos="1424"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4" w:right="280" w:firstLine="987"/>
        <w:spacing w:after="0" w:line="279" w:lineRule="auto"/>
        <w:tabs>
          <w:tab w:leader="none" w:pos="1385" w:val="left"/>
        </w:tabs>
        <w:numPr>
          <w:ilvl w:val="1"/>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The Shares. </w:t>
      </w:r>
      <w:r>
        <w:rPr>
          <w:rFonts w:ascii="Arial" w:cs="Arial" w:eastAsia="Arial" w:hAnsi="Arial"/>
          <w:sz w:val="17"/>
          <w:szCs w:val="17"/>
          <w:color w:val="auto"/>
        </w:rPr>
        <w:t>The Shares to be issued and sold by the Company hereunder have been duly authorized by the Company and, when</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that have not been duly waived or satisfied.</w:t>
      </w:r>
    </w:p>
    <w:p>
      <w:pPr>
        <w:spacing w:after="0" w:line="171" w:lineRule="exact"/>
        <w:rPr>
          <w:rFonts w:ascii="Arial" w:cs="Arial" w:eastAsia="Arial" w:hAnsi="Arial"/>
          <w:sz w:val="17"/>
          <w:szCs w:val="17"/>
          <w:color w:val="auto"/>
        </w:rPr>
      </w:pPr>
    </w:p>
    <w:p>
      <w:pPr>
        <w:ind w:left="1384" w:hanging="393"/>
        <w:spacing w:after="0"/>
        <w:tabs>
          <w:tab w:leader="none" w:pos="1384"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Shares have been approved for listing on the Nasdaq Market, subject to notice of issuance.</w:t>
      </w:r>
    </w:p>
    <w:p>
      <w:pPr>
        <w:spacing w:after="0" w:line="225" w:lineRule="exact"/>
        <w:rPr>
          <w:rFonts w:ascii="Arial" w:cs="Arial" w:eastAsia="Arial" w:hAnsi="Arial"/>
          <w:sz w:val="18"/>
          <w:szCs w:val="18"/>
          <w:color w:val="auto"/>
        </w:rPr>
      </w:pPr>
    </w:p>
    <w:p>
      <w:pPr>
        <w:ind w:left="4" w:right="60" w:firstLine="987"/>
        <w:spacing w:after="0" w:line="277" w:lineRule="auto"/>
        <w:tabs>
          <w:tab w:leader="none" w:pos="1385"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Description of the Underwriting Agreement. </w:t>
      </w:r>
      <w:r>
        <w:rPr>
          <w:rFonts w:ascii="Arial" w:cs="Arial" w:eastAsia="Arial" w:hAnsi="Arial"/>
          <w:sz w:val="18"/>
          <w:szCs w:val="18"/>
          <w:color w:val="auto"/>
        </w:rPr>
        <w:t>This Agreement conforms in all material respects to the description thereof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Pricing Disclosure Package and the Prospectus.</w:t>
      </w:r>
    </w:p>
    <w:p>
      <w:pPr>
        <w:spacing w:after="0" w:line="170" w:lineRule="exact"/>
        <w:rPr>
          <w:rFonts w:ascii="Arial" w:cs="Arial" w:eastAsia="Arial" w:hAnsi="Arial"/>
          <w:sz w:val="18"/>
          <w:szCs w:val="18"/>
          <w:color w:val="auto"/>
        </w:rPr>
      </w:pPr>
    </w:p>
    <w:p>
      <w:pPr>
        <w:ind w:left="4" w:firstLine="987"/>
        <w:spacing w:after="0" w:line="254" w:lineRule="auto"/>
        <w:tabs>
          <w:tab w:leader="none" w:pos="1385"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applicable law or statute or any judgment, order, rule or regulation of any court or arbitrator or governmental or regulatory authority, having jurisdiction over the Company and its subsidiaries, except, in the case of clauses (ii) and (iii) above, for any such default or violation that would not, individually or in the aggregate, reasonably be expected to have a Material Adverse Effect.</w:t>
      </w:r>
    </w:p>
    <w:p>
      <w:pPr>
        <w:spacing w:after="0" w:line="191" w:lineRule="exact"/>
        <w:rPr>
          <w:rFonts w:ascii="Arial" w:cs="Arial" w:eastAsia="Arial" w:hAnsi="Arial"/>
          <w:sz w:val="18"/>
          <w:szCs w:val="18"/>
          <w:color w:val="auto"/>
        </w:rPr>
      </w:pPr>
    </w:p>
    <w:p>
      <w:pPr>
        <w:jc w:val="both"/>
        <w:ind w:left="4" w:right="220" w:firstLine="987"/>
        <w:spacing w:after="0" w:line="291" w:lineRule="auto"/>
        <w:tabs>
          <w:tab w:leader="none" w:pos="1355" w:val="left"/>
        </w:tabs>
        <w:numPr>
          <w:ilvl w:val="1"/>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the issuance and sale of the Shares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consummation of by the Company the transactions contemplated by this Agreement or the Pricing Disclosure Package and the Prospectus will not</w:t>
      </w:r>
    </w:p>
    <w:p>
      <w:pPr>
        <w:ind w:left="4" w:hanging="4"/>
        <w:spacing w:after="0" w:line="253" w:lineRule="auto"/>
        <w:tabs>
          <w:tab w:leader="none" w:pos="21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99" w:name="page300"/>
    <w:bookmarkEnd w:id="299"/>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to which any property, right or asset of the Company or any of its subsidiaries is subject, (ii) result in any violation of the provisions of the charter or by-laws or similar organizational documents of the Company or any of its subsidiaries or (iii) result in the violation of any applicable law or statute or any judgment, order, rule or regulation of any court or arbitrator or governmental or regulatory authority, having jurisdiction over the Company and its subsidiaries, except, in the case of clauses (i) and (iii) above, for any such conflict, breach, violation, default, lien, charge or encumbrance that would not, individually or in the aggregate, reasonably be expected to have a Material Adverse Effect.</w:t>
      </w:r>
    </w:p>
    <w:p>
      <w:pPr>
        <w:spacing w:after="0" w:line="176" w:lineRule="exact"/>
        <w:rPr>
          <w:sz w:val="20"/>
          <w:szCs w:val="20"/>
          <w:color w:val="auto"/>
        </w:rPr>
      </w:pPr>
    </w:p>
    <w:p>
      <w:pPr>
        <w:ind w:right="100" w:firstLine="987"/>
        <w:spacing w:after="0" w:line="273" w:lineRule="auto"/>
        <w:tabs>
          <w:tab w:leader="none" w:pos="1361"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filing, approval, authorization, order, license, registration or qualification of or with any court or</w:t>
      </w:r>
      <w:r>
        <w:rPr>
          <w:rFonts w:ascii="Arial" w:cs="Arial" w:eastAsia="Arial" w:hAnsi="Arial"/>
          <w:sz w:val="17"/>
          <w:szCs w:val="17"/>
          <w:i w:val="1"/>
          <w:iCs w:val="1"/>
          <w:color w:val="auto"/>
        </w:rPr>
        <w:t xml:space="preserve"> </w:t>
      </w:r>
      <w:r>
        <w:rPr>
          <w:rFonts w:ascii="Arial" w:cs="Arial" w:eastAsia="Arial" w:hAnsi="Arial"/>
          <w:sz w:val="17"/>
          <w:szCs w:val="17"/>
          <w:color w:val="auto"/>
        </w:rPr>
        <w:t>arbitrator or governmental or regulatory authority having jurisdiction over the Company is required for the execution, delivery and performance by the Company of this Agreement, the issuance and sale by the Company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w:t>
      </w:r>
    </w:p>
    <w:p>
      <w:pPr>
        <w:spacing w:after="0" w:line="177" w:lineRule="exact"/>
        <w:rPr>
          <w:rFonts w:ascii="Arial" w:cs="Arial" w:eastAsia="Arial" w:hAnsi="Arial"/>
          <w:sz w:val="17"/>
          <w:szCs w:val="17"/>
          <w:color w:val="auto"/>
        </w:rPr>
      </w:pPr>
    </w:p>
    <w:p>
      <w:pPr>
        <w:ind w:right="120" w:firstLine="987"/>
        <w:spacing w:after="0" w:line="288" w:lineRule="auto"/>
        <w:tabs>
          <w:tab w:leader="none" w:pos="134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There are no legal, governmental or regulatory investigations, actions, demands, claims, suits, arbitrations,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inquiries or proceedings (“Actions”) pending to which the Company or any of its subsidiaries is or may be a party or to which any property of the Company or any of its subsidiaries is or may be the subject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that would reasonably be expected, individually or in the aggregate, to have a Material Adverse Effect;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68" w:lineRule="exact"/>
        <w:rPr>
          <w:rFonts w:ascii="Arial" w:cs="Arial" w:eastAsia="Arial" w:hAnsi="Arial"/>
          <w:sz w:val="16"/>
          <w:szCs w:val="16"/>
          <w:color w:val="auto"/>
        </w:rPr>
      </w:pPr>
    </w:p>
    <w:p>
      <w:pPr>
        <w:ind w:firstLine="987"/>
        <w:spacing w:after="0" w:line="311" w:lineRule="auto"/>
        <w:tabs>
          <w:tab w:leader="none" w:pos="138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Independent Accountants</w:t>
      </w:r>
      <w:r>
        <w:rPr>
          <w:rFonts w:ascii="Arial" w:cs="Arial" w:eastAsia="Arial" w:hAnsi="Arial"/>
          <w:sz w:val="16"/>
          <w:szCs w:val="16"/>
          <w:color w:val="auto"/>
        </w:rPr>
        <w:t>. Ernst &amp; Young LLP, who has certified certain financial statements of the Company and its subsidiaries is</w:t>
      </w:r>
      <w:r>
        <w:rPr>
          <w:rFonts w:ascii="Arial" w:cs="Arial" w:eastAsia="Arial" w:hAnsi="Arial"/>
          <w:sz w:val="16"/>
          <w:szCs w:val="16"/>
          <w:i w:val="1"/>
          <w:iCs w:val="1"/>
          <w:color w:val="auto"/>
        </w:rPr>
        <w:t xml:space="preserve"> </w:t>
      </w:r>
      <w:r>
        <w:rPr>
          <w:rFonts w:ascii="Arial" w:cs="Arial" w:eastAsia="Arial" w:hAnsi="Arial"/>
          <w:sz w:val="16"/>
          <w:szCs w:val="16"/>
          <w:color w:val="auto"/>
        </w:rPr>
        <w:t>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48" w:lineRule="exact"/>
        <w:rPr>
          <w:rFonts w:ascii="Arial" w:cs="Arial" w:eastAsia="Arial" w:hAnsi="Arial"/>
          <w:sz w:val="16"/>
          <w:szCs w:val="16"/>
          <w:color w:val="auto"/>
        </w:rPr>
      </w:pPr>
    </w:p>
    <w:p>
      <w:pPr>
        <w:ind w:right="80" w:firstLine="987"/>
        <w:spacing w:after="0" w:line="255" w:lineRule="auto"/>
        <w:tabs>
          <w:tab w:leader="none" w:pos="1381"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Title to Real and Personal Property</w:t>
      </w:r>
      <w:r>
        <w:rPr>
          <w:rFonts w:ascii="Arial" w:cs="Arial" w:eastAsia="Arial" w:hAnsi="Arial"/>
          <w:sz w:val="18"/>
          <w:szCs w:val="18"/>
          <w:color w:val="auto"/>
        </w:rPr>
        <w:t>. The Company and its subsidiaries have good and marketable title in fee simple to, or have valid</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lease or otherwise use, all items of real and personal property that are material to the respective businesses of the Company and its subsidiaries (other than with respect to Intellectual Property (defined below), title to which is addressed exclusively in subsection (w) below),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192" w:lineRule="exact"/>
        <w:rPr>
          <w:rFonts w:ascii="Arial" w:cs="Arial" w:eastAsia="Arial" w:hAnsi="Arial"/>
          <w:sz w:val="18"/>
          <w:szCs w:val="18"/>
          <w:color w:val="auto"/>
        </w:rPr>
      </w:pPr>
    </w:p>
    <w:p>
      <w:pPr>
        <w:jc w:val="both"/>
        <w:ind w:right="120" w:firstLine="987"/>
        <w:spacing w:after="0" w:line="342" w:lineRule="auto"/>
        <w:tabs>
          <w:tab w:leader="none" w:pos="142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The Company and its subsidiaries own all rights, title and interest in, or possess valid and enforceable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licensed rights to use, all material patents, patent applications, trademarks, service marks, trade names, trademark applications, trademark registrations,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00" w:name="page301"/>
    <w:bookmarkEnd w:id="30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mark registrations, trade dress, designs, data, database rights, Internet domain names, copyrights, works of authorship, licenses, proprietary information and know-how (including trade secrets and other unpatented and/or unpatentable proprietary or confidential information, systems or procedures) for the conduct of their respective businesses as currently conducted and as proposed to be conducted as described in the Registration Statement, the Pricing Disclosure Package and the Prospectus (“Disclosure Documents”) (collectively, “Intellectual Property”), and, to the Company’s knowledge, the conduct of their respective businesses as described in the Disclosure Documents does not and will not infringe, misappropriate or otherwise conflict with any such rights of others. The Intellectual Property of the Company has not been adjudged by a court of competent jurisdiction to be invalid or unenforceable, in whole or in part. The Company and its subsidiaries have not received any written notice of any claim of infringement, misappropriation or conflict with any intellectual property rights of another. To the Company’s knowledge: (i) there are no third parties who have rights to any Intellectual Property, except for customary reversionary rights of third-party licensors with respect to Intellectual Property that is disclosed in the Disclosure Documents as owned by or licensed to the Company or its subsidiaries; and (ii) there is no infringement by third parties of any Intellectual Property. There is no pending or, to the Company’s knowledge, threatened action, suit, proceeding or claim by others: (A) challenging the Company’s rights in or to any Intellectual Property; (B) challenging the validity, enforceability or scope of any Intellectual Property; or (C) asserting that the Company or its subsidiaries infringe, misappropriate, or otherwise violate, or would, upon the commercialization of any product or service described in the Disclosure Documents as under development, infringe, misappropriate, or otherwise violate, any intellectual property rights of others, except as would not, in each case (A) to (C), individually or in the aggregate, reasonably be expected to have a Material Adverse Effect. The Company and its subsidiaries have complied in all material respects with the terms of each agreement pursuant to which Intellectual Property has been licensed to the Company or its subsidiaries,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To the Company’s knowledge,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To the Company’s knowledge,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To the Company’s knowledge, all licenses for the use of the Intellectual Property Rights described in the Disclosure Documents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The product candidates described in the Disclosure Documents as under development by the Company or its subsidiaries fall within the scope of the claims of one or more patents or patent applications owned by, or exclusively licensed to, the Company or its subsidiaries, except as would not, individually or in the aggregate, reasonably be expected to have a Material Adverse Effect.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01" w:name="page302"/>
    <w:bookmarkEnd w:id="301"/>
    <w:p>
      <w:pPr>
        <w:ind w:left="4" w:right="120" w:firstLine="987"/>
        <w:spacing w:after="0" w:line="273" w:lineRule="auto"/>
        <w:tabs>
          <w:tab w:leader="none" w:pos="1385" w:val="left"/>
        </w:tabs>
        <w:numPr>
          <w:ilvl w:val="1"/>
          <w:numId w:val="17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Trade Secrets</w:t>
      </w:r>
      <w:r>
        <w:rPr>
          <w:rFonts w:ascii="Arial" w:cs="Arial" w:eastAsia="Arial" w:hAnsi="Arial"/>
          <w:sz w:val="17"/>
          <w:szCs w:val="17"/>
          <w:color w:val="auto"/>
        </w:rPr>
        <w:t>. The Company and its subsidiaries have taken reasonable and customary actions to protect their rights in and prevent</w:t>
      </w:r>
      <w:r>
        <w:rPr>
          <w:rFonts w:ascii="Arial" w:cs="Arial" w:eastAsia="Arial" w:hAnsi="Arial"/>
          <w:sz w:val="17"/>
          <w:szCs w:val="17"/>
          <w:i w:val="1"/>
          <w:iCs w:val="1"/>
          <w:color w:val="auto"/>
        </w:rPr>
        <w:t xml:space="preserve"> </w:t>
      </w:r>
      <w:r>
        <w:rPr>
          <w:rFonts w:ascii="Arial" w:cs="Arial" w:eastAsia="Arial" w:hAnsi="Arial"/>
          <w:sz w:val="17"/>
          <w:szCs w:val="17"/>
          <w:color w:val="auto"/>
        </w:rPr>
        <w:t>the unauthorized use and disclosure of material trade secrets and confidential business information (including confidential source code, ideas, research and development information, know-how, formulas, compositions, technical data, designs, drawings, specifications, research records, records of inventions, test information, financial, marketing and business data, customer and supplier lists and information, pricing and cost information, business and marketing plans and proposals) owned by the Company and its subsidiaries, and, to the Company’s knowledge, there has been no unauthorized use or disclosure of such material trade secrets and confidential business information.</w:t>
      </w:r>
    </w:p>
    <w:p>
      <w:pPr>
        <w:spacing w:after="0" w:line="177" w:lineRule="exact"/>
        <w:rPr>
          <w:rFonts w:ascii="Arial" w:cs="Arial" w:eastAsia="Arial" w:hAnsi="Arial"/>
          <w:sz w:val="17"/>
          <w:szCs w:val="17"/>
          <w:color w:val="auto"/>
        </w:rPr>
      </w:pPr>
    </w:p>
    <w:p>
      <w:pPr>
        <w:ind w:left="4" w:firstLine="987"/>
        <w:spacing w:after="0" w:line="287" w:lineRule="auto"/>
        <w:tabs>
          <w:tab w:leader="none" w:pos="1385" w:val="left"/>
        </w:tabs>
        <w:numPr>
          <w:ilvl w:val="1"/>
          <w:numId w:val="179"/>
        </w:numPr>
        <w:rPr>
          <w:rFonts w:ascii="Arial" w:cs="Arial" w:eastAsia="Arial" w:hAnsi="Arial"/>
          <w:sz w:val="16"/>
          <w:szCs w:val="16"/>
          <w:color w:val="auto"/>
        </w:rPr>
      </w:pPr>
      <w:r>
        <w:rPr>
          <w:rFonts w:ascii="Arial" w:cs="Arial" w:eastAsia="Arial" w:hAnsi="Arial"/>
          <w:sz w:val="16"/>
          <w:szCs w:val="16"/>
          <w:i w:val="1"/>
          <w:iCs w:val="1"/>
          <w:color w:val="auto"/>
        </w:rPr>
        <w:t>IT Assets</w:t>
      </w:r>
      <w:r>
        <w:rPr>
          <w:rFonts w:ascii="Arial" w:cs="Arial" w:eastAsia="Arial" w:hAnsi="Arial"/>
          <w:sz w:val="16"/>
          <w:szCs w:val="16"/>
          <w:color w:val="auto"/>
        </w:rPr>
        <w:t>. Except as would not be expected, individually or in the aggregate, to result in a Material Adverse Effect, (i) the computers,</w:t>
      </w:r>
      <w:r>
        <w:rPr>
          <w:rFonts w:ascii="Arial" w:cs="Arial" w:eastAsia="Arial" w:hAnsi="Arial"/>
          <w:sz w:val="16"/>
          <w:szCs w:val="16"/>
          <w:i w:val="1"/>
          <w:iCs w:val="1"/>
          <w:color w:val="auto"/>
        </w:rPr>
        <w:t xml:space="preserve"> </w:t>
      </w:r>
      <w:r>
        <w:rPr>
          <w:rFonts w:ascii="Arial" w:cs="Arial" w:eastAsia="Arial" w:hAnsi="Arial"/>
          <w:sz w:val="16"/>
          <w:szCs w:val="16"/>
          <w:color w:val="auto"/>
        </w:rPr>
        <w:t>websites, applications, databases, software, servers, networks, data communications lines, and other information technology systems owned, licensed, leased or otherwise used by the Company and its subsidiaries (including any third party technology but excluding any public networks) (collectively, the “IT Assets”) are adequate for, and operate and perform as required in connection with the operation of the business of the Company and its subsidiaries as currently conducted, and to the knowledge of the Company, are free and clear of all viruses, vulnerabilities, bugs, errors, defects, Trojan horses, time bombs, malware and other corruptants, (ii) the Company and its subsidiaries have implemented and maintained commercially reasonable controls, policies, procedures, and safeguards designed to maintain and protect their confidential information and the privacy, confidentiality, integrity, continuous operation, redundancy and security of IT Assets, Personal Data (defined below) confidential data, or sensitive data (collectively, “Confidential Data”), used in connection with their businesses, and (iii) for the past three years, there have been no breaches of, violations of, outages of, or unlawful or unauthorized uses of, destruction of, losses of, alterations of, or accesses to IT Assets and no unlawful or unauthorized uses of, destruction of, losses of, alterations of, or accesses to Confidential Data, nor any such incidents under internal review or investigation in relation to the same.</w:t>
      </w:r>
    </w:p>
    <w:p>
      <w:pPr>
        <w:spacing w:after="0" w:line="171" w:lineRule="exact"/>
        <w:rPr>
          <w:rFonts w:ascii="Arial" w:cs="Arial" w:eastAsia="Arial" w:hAnsi="Arial"/>
          <w:sz w:val="16"/>
          <w:szCs w:val="16"/>
          <w:color w:val="auto"/>
        </w:rPr>
      </w:pPr>
    </w:p>
    <w:p>
      <w:pPr>
        <w:ind w:left="4" w:right="180" w:firstLine="987"/>
        <w:spacing w:after="0" w:line="285" w:lineRule="auto"/>
        <w:tabs>
          <w:tab w:leader="none" w:pos="1375" w:val="left"/>
        </w:tabs>
        <w:numPr>
          <w:ilvl w:val="1"/>
          <w:numId w:val="179"/>
        </w:numPr>
        <w:rPr>
          <w:rFonts w:ascii="Arial" w:cs="Arial" w:eastAsia="Arial" w:hAnsi="Arial"/>
          <w:sz w:val="16"/>
          <w:szCs w:val="16"/>
          <w:color w:val="auto"/>
        </w:rPr>
      </w:pPr>
      <w:r>
        <w:rPr>
          <w:rFonts w:ascii="Arial" w:cs="Arial" w:eastAsia="Arial" w:hAnsi="Arial"/>
          <w:sz w:val="16"/>
          <w:szCs w:val="16"/>
          <w:i w:val="1"/>
          <w:iCs w:val="1"/>
          <w:color w:val="auto"/>
        </w:rPr>
        <w:t>Compliance with Data Privacy Laws</w:t>
      </w:r>
      <w:r>
        <w:rPr>
          <w:rFonts w:ascii="Arial" w:cs="Arial" w:eastAsia="Arial" w:hAnsi="Arial"/>
          <w:sz w:val="16"/>
          <w:szCs w:val="16"/>
          <w:color w:val="auto"/>
        </w:rPr>
        <w:t>. Except as would not be expected, individually or in the aggregate, to result in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Effect, for the past three years, the Company and its subsidiaries comply and have complied with, (i) applicable laws, statutes and regulations of any governmental or regulatory authority concerning the protection, collection, use, disclosure, transfer, storage, disposal, privacy, confidentiality, integrity and security of Confidential Data (collectively, the “Privacy Laws”), (ii) all judgments, orders, rules and regulations of any court or arbitrator or governmental or regulatory authority binding on the Company that concerns the Company’s and its subsidiaries processing of Confidential Data,</w:t>
      </w:r>
    </w:p>
    <w:p>
      <w:pPr>
        <w:spacing w:after="0" w:line="1" w:lineRule="exact"/>
        <w:rPr>
          <w:rFonts w:ascii="Arial" w:cs="Arial" w:eastAsia="Arial" w:hAnsi="Arial"/>
          <w:sz w:val="16"/>
          <w:szCs w:val="16"/>
          <w:color w:val="auto"/>
        </w:rPr>
      </w:pPr>
    </w:p>
    <w:p>
      <w:pPr>
        <w:ind w:left="4" w:right="60" w:hanging="4"/>
        <w:spacing w:after="0" w:line="267" w:lineRule="auto"/>
        <w:tabs>
          <w:tab w:leader="none" w:pos="31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Company’s and its subsidiaries’ privacy policies and procedures, and (iv) contractual obligations to which the Company and its subsidiaries have agreed in writing relating to the privacy and security of IT Assets and Confidential Data and to the protection of such IT Assets and Confidential Data from unlawful or unauthorized use, destruction, loss, alteration, access, misappropriation or modification, and have used commercially reasonable efforts to impose equivalent contractual obligations on any third parties having direct or indirect access to IT Assets or responsible for processing Confidential Data on behalf of the Company (collectively, the “Data Protection Requirements”). Except as would not be expected, individually or in the aggregate, to result in a Material Adverse Effect, for the past three years, (i) the Company and its subsidiaries, and to the knowledge of the Company, any third parties processing Personal Data on behalf of Company and its subsidiaries, have made required disclosures to and obtained necessary consents from individuals for, the Company’s and its subsidiaries’ collection, use, disclosure, transfer, and other processing of Personal Data, to the extent required by the Privacy Laws, and complied with all such disclosures and consents, and (ii) to the knowledge of the Company, none of such disclosures made or contained in any policies or notices have been inaccurate, misleading, deceptive, incomplete, or in violation of any Data Protection Requirements. “Personal Data” has the same meaning as “personal data”, “personal information”, “personally identifiable information”, or the equivalent under any Privacy Law.</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02" w:name="page303"/>
    <w:bookmarkEnd w:id="302"/>
    <w:p>
      <w:pPr>
        <w:ind w:firstLine="987"/>
        <w:spacing w:after="0" w:line="275" w:lineRule="auto"/>
        <w:tabs>
          <w:tab w:leader="none" w:pos="1451"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Complaints</w:t>
      </w:r>
      <w:r>
        <w:rPr>
          <w:rFonts w:ascii="Arial" w:cs="Arial" w:eastAsia="Arial" w:hAnsi="Arial"/>
          <w:sz w:val="17"/>
          <w:szCs w:val="17"/>
          <w:color w:val="auto"/>
        </w:rPr>
        <w:t>. For the past three years, neither the Company nor any of its subsidiaries have received any written complaints or</w:t>
      </w:r>
      <w:r>
        <w:rPr>
          <w:rFonts w:ascii="Arial" w:cs="Arial" w:eastAsia="Arial" w:hAnsi="Arial"/>
          <w:sz w:val="17"/>
          <w:szCs w:val="17"/>
          <w:i w:val="1"/>
          <w:iCs w:val="1"/>
          <w:color w:val="auto"/>
        </w:rPr>
        <w:t xml:space="preserve"> </w:t>
      </w:r>
      <w:r>
        <w:rPr>
          <w:rFonts w:ascii="Arial" w:cs="Arial" w:eastAsia="Arial" w:hAnsi="Arial"/>
          <w:sz w:val="17"/>
          <w:szCs w:val="17"/>
          <w:color w:val="auto"/>
        </w:rPr>
        <w:t>notices of any audit, proceeding, investigation (formal or informal) demand or claim made against the Company or its subsidiaries, and to the knowledge of the Company, none are currently pending against, the Company or its subsidiaries, by any person, governmental or regulatory authority, or other third party in respect of the collection, use, disclosure, transfer, or other processing of Confidential Data by the Company or its subsidiaries, and, to the knowledge of the Company, no such complaint, audit, proceeding, investigation or claim is or has been threatened.</w:t>
      </w:r>
    </w:p>
    <w:p>
      <w:pPr>
        <w:spacing w:after="0" w:line="176" w:lineRule="exact"/>
        <w:rPr>
          <w:rFonts w:ascii="Arial" w:cs="Arial" w:eastAsia="Arial" w:hAnsi="Arial"/>
          <w:sz w:val="17"/>
          <w:szCs w:val="17"/>
          <w:color w:val="auto"/>
        </w:rPr>
      </w:pPr>
    </w:p>
    <w:p>
      <w:pPr>
        <w:ind w:right="20" w:firstLine="987"/>
        <w:spacing w:after="0" w:line="286" w:lineRule="auto"/>
        <w:tabs>
          <w:tab w:leader="none" w:pos="1471"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FDA Compliance</w:t>
      </w:r>
      <w:r>
        <w:rPr>
          <w:rFonts w:ascii="Arial" w:cs="Arial" w:eastAsia="Arial" w:hAnsi="Arial"/>
          <w:sz w:val="16"/>
          <w:szCs w:val="16"/>
          <w:color w:val="auto"/>
        </w:rPr>
        <w:t>. Except in each case as would not, whether individually or in the aggregate, reasonably be expected to have a</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Adverse Effect, the Company: (A) is and at all times during the past three years has been in compliance with all applicable statutes, rules or regulations enforced by the U.S. Food and Drug Administration (“FDA”) and other comparable governmental entities having authority over the ownership, testing, development, manufacture, packaging, processing, use, distribution, marketing, labeling, promotion, sale, offer for sale, storage, import, export or disposal of any product under development, manufactured or distributed by the Company (“Applicable Laws”); (B) has not received any FDA Form-483, written notice of adverse finding, warning letter, untitled letter or other correspondence or written notice from the FDA or any governmental entity alleging or asserting noncompliance with any Applicable Laws or any licenses, certificates, approvals, clearances, exemptions, authorizations, permits and supplements or amendments thereto required by any such Applicable Laws (“Authorizations”); (C) possesses all Authorizations and such Authorizations are valid and in full force and effect and the Company is not in violation of any term of any such Authorizations; (D) has not received written notice of any claim, action, suit, proceeding, hearing, enforcement, investigation, arbitration or other action from the FDA or any governmental entity or third party alleging that any product operation or activity is in violation of any Applicable Laws or Authorizations and has no knowledge that the FDA or any governmental entity or third party is considering any such claim, litigation, arbitration, action, suit, investigation or proceeding; and (E) has not received written notice that the FDA or any governmental entity has taken, is taking or intends to take action to limit, suspend, or revoke any Authorizations and has no knowledge that the FDA or any governmental entity is considering such action).</w:t>
      </w:r>
    </w:p>
    <w:p>
      <w:pPr>
        <w:spacing w:after="0" w:line="170" w:lineRule="exact"/>
        <w:rPr>
          <w:rFonts w:ascii="Arial" w:cs="Arial" w:eastAsia="Arial" w:hAnsi="Arial"/>
          <w:sz w:val="16"/>
          <w:szCs w:val="16"/>
          <w:color w:val="auto"/>
        </w:rPr>
      </w:pPr>
    </w:p>
    <w:p>
      <w:pPr>
        <w:ind w:right="20" w:firstLine="987"/>
        <w:spacing w:after="0" w:line="269" w:lineRule="auto"/>
        <w:tabs>
          <w:tab w:leader="none" w:pos="1451"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Tests and Preclinical and Clinical Trials</w:t>
      </w:r>
      <w:r>
        <w:rPr>
          <w:rFonts w:ascii="Arial" w:cs="Arial" w:eastAsia="Arial" w:hAnsi="Arial"/>
          <w:sz w:val="17"/>
          <w:szCs w:val="17"/>
          <w:color w:val="auto"/>
        </w:rPr>
        <w:t>. The studies, tests and preclinical and clinical trials conducted by or, to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on behalf of the Company were and, if still ongoing, are being conducted in all material respects in accordance with all Authorizations and Applicable Laws, and any applicable rules, regulations and policies of the jurisdiction in which such trials and studies are being conducted; the descriptions of the results of such studies, tests and trials contained in the Registration Statement, the Pricing Disclosure Package and the Prospectus are, to the Company’s knowledge, accurate and in all material respects; the Company is not aware of any studies, tests or trials, the results of which the Company believes reasonably call into question the study, test, or trial results described or referred to in the Registration Statement, the Pricing Disclosure Package and the Prospectus when viewed in the context in which such results are described and the clinical state of development; and the Company has not received any written notices or correspondence from the FDA or any governmental entity requiring the termination or suspension of any studies, tests or preclinical or clinical trials conducted by or on behalf of the Company, other than ordinary course communications with respect to modifications in connection with the design and implementation of such trials.</w:t>
      </w:r>
    </w:p>
    <w:p>
      <w:pPr>
        <w:spacing w:after="0" w:line="185" w:lineRule="exact"/>
        <w:rPr>
          <w:rFonts w:ascii="Arial" w:cs="Arial" w:eastAsia="Arial" w:hAnsi="Arial"/>
          <w:sz w:val="17"/>
          <w:szCs w:val="17"/>
          <w:color w:val="auto"/>
        </w:rPr>
      </w:pPr>
    </w:p>
    <w:p>
      <w:pPr>
        <w:jc w:val="both"/>
        <w:ind w:right="40" w:firstLine="987"/>
        <w:spacing w:after="0" w:line="286" w:lineRule="auto"/>
        <w:tabs>
          <w:tab w:leader="none" w:pos="1471"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Compliance with Health Care Laws</w:t>
      </w:r>
      <w:r>
        <w:rPr>
          <w:rFonts w:ascii="Arial" w:cs="Arial" w:eastAsia="Arial" w:hAnsi="Arial"/>
          <w:sz w:val="16"/>
          <w:szCs w:val="16"/>
          <w:color w:val="auto"/>
        </w:rPr>
        <w:t>. Except as would not, whether individually or in the aggregate, reasonably be expected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a Material Adverse Effect, the Company and its subsidiaries are, and at all times during the past three years have been, in compliance with all applicable Health Care Laws. For purposes of this Agreement, “Health Care Laws” means: (i) the Federal Food, Drug, and Cosmetic Act (21 U.S.C. Section 301 et seq.); (ii) all federal, state, local and foreign health care fraud and abuse laws, including, without limitation, the U.S. Anti-Kickback Statute (42 U.S.C.</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1320a-7b(b)), the U.S. Civil False Claims Act (31 U.S.C. Section 3729 et seq.), the criminal False Statements Law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03" w:name="page304"/>
    <w:bookmarkEnd w:id="30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 U.S.C. Section 1320a-7b(a)), all criminal laws relating to health care fraud and abuse, including but not limited to 18 U.S.C. Sections 286, 287 and 1349, the health care fraud criminal provisions under HIPAA (defined below), the civil monetary penalties law (42 U.S.C. Section 1320a-7a), the exclusions law (42 U.S.C. Section 1320a-7), the Physician Payments Sunshine Act (42 U.S.C Section 1320-7h), and the laws governing U.S. government funded or sponsored healthcare programs; (iii) all other comparable local, state, federal, national, supranational and foreign laws, relating to the regulation of the Company or its subsidiaries; (iv) the Health Insurance Portability and Accountability Act of 1996, as amended by the Health Information Technology for Economic and Clinical Health Act (collectively, HIPAA”); and (v) the regulations promulgated pursuant to such statutes and any state or non-U.S. counterpart thereof. None of the Company, any of its subsidiaries, nor, to the Company’s knowledge, any of their respective officers, directors, employees or agents have engaged in activities which are, as applicable, cause for liability under an applicable Health Care Law during the past three years, except, in each case, as would not, whether individually or in the aggregate, reasonably be expected to have a Material Adverse Effect. During the past three years,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applicable Health Care Laws nor, to the Company’s knowledge, is any such claim, action, suit, proceeding, hearing, enforcement, investigation, arbitration or other action threatened. During the past three years,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respects (or were corrected or supplemented by a subsequent submission), except where the failures to so file, maintain, submit, correct or supplement the same would not, whether individually or in the aggregate, reasonably be expected to have a Material Adverse Effect. Neither the Company nor any of its subsidiaries is a party to any corporate integrity agreements, monitoring agreements, consent decrees, settlement orders, or similar agreements with or imposed by any governmental or regulatory authority or body. Additionally, during the past three years, none of the Company, any of its subsidiaries, or any of their respective employees, officers, directors, or, to the Company’s knowledge, independent contractors, affiliates or agents,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 or, to the Company’s knowledge, engaged in any conduct that would reasonably be expected to result in such debarment, suspension, or exclusion.</w:t>
      </w:r>
    </w:p>
    <w:p>
      <w:pPr>
        <w:spacing w:after="0" w:line="175" w:lineRule="exact"/>
        <w:rPr>
          <w:sz w:val="20"/>
          <w:szCs w:val="20"/>
          <w:color w:val="auto"/>
        </w:rPr>
      </w:pPr>
    </w:p>
    <w:p>
      <w:pPr>
        <w:jc w:val="both"/>
        <w:ind w:right="100" w:firstLine="987"/>
        <w:spacing w:after="0" w:line="259" w:lineRule="auto"/>
        <w:tabs>
          <w:tab w:leader="none" w:pos="1451"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86" w:lineRule="exact"/>
        <w:rPr>
          <w:rFonts w:ascii="Arial" w:cs="Arial" w:eastAsia="Arial" w:hAnsi="Arial"/>
          <w:sz w:val="18"/>
          <w:szCs w:val="18"/>
          <w:color w:val="auto"/>
        </w:rPr>
      </w:pPr>
    </w:p>
    <w:p>
      <w:pPr>
        <w:ind w:firstLine="987"/>
        <w:spacing w:after="0" w:line="279" w:lineRule="auto"/>
        <w:tabs>
          <w:tab w:leader="none" w:pos="1408" w:val="left"/>
        </w:tabs>
        <w:numPr>
          <w:ilvl w:val="0"/>
          <w:numId w:val="182"/>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after giving effect to the offering and sale of the Shares and the application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71" w:lineRule="exact"/>
        <w:rPr>
          <w:rFonts w:ascii="Arial" w:cs="Arial" w:eastAsia="Arial" w:hAnsi="Arial"/>
          <w:sz w:val="17"/>
          <w:szCs w:val="17"/>
          <w:color w:val="auto"/>
        </w:rPr>
      </w:pPr>
    </w:p>
    <w:p>
      <w:pPr>
        <w:ind w:right="20" w:firstLine="987"/>
        <w:spacing w:after="0" w:line="259" w:lineRule="auto"/>
        <w:tabs>
          <w:tab w:leader="none" w:pos="1471"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The Company and its subsidiaries have paid all federal, state, local and foreign taxes and filed all tax returns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paid or filed through the date hereof and there is no tax deficiency that has been, or could reasonably be expected to be, asserted against the Company or any of its subsidiaries or any of their respective properties or assets; in each case, except as would not, individually or in the aggregate, have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4" w:name="page305"/>
    <w:bookmarkEnd w:id="304"/>
    <w:p>
      <w:pPr>
        <w:ind w:left="-60" w:firstLine="987"/>
        <w:spacing w:after="0" w:line="285" w:lineRule="auto"/>
        <w:tabs>
          <w:tab w:leader="none" w:pos="1411"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Licenses and Permits. </w:t>
      </w:r>
      <w:r>
        <w:rPr>
          <w:rFonts w:ascii="Arial" w:cs="Arial" w:eastAsia="Arial" w:hAnsi="Arial"/>
          <w:sz w:val="16"/>
          <w:szCs w:val="16"/>
          <w:color w:val="auto"/>
        </w:rPr>
        <w:t>Except in each case as would not, whether individually or in the aggregate, reasonably be expected to have a</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Adverse Effect, the Company and its subsidiaries possess, and are in compliance with the terms of,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and neither the Company nor any of its subsidiaries has received written notice of any revocation or modification of any such license, sub-license, certificate, permit or authorization or has any reason to believe that any such license, sub-license, certificate, permit or authorization will not be renewed in the ordinary course. Each of the Company and its subsidiaries has fulfilled and performed all of its respective obligations with respect to the Licenses, and no event has occurred which allows, or after notice or lapse of time would allow, revocation or termination thereof or results in any other impairment of the rights of the holder, except where such failures to fulfill or perform, or where such revocations, terminations or impairments would not, whether individually or in the aggregate, reasonably be expected to have a Material Adverse Effect. The Company and its subsidiaries have filed, obtained, maintained or submitted all reports, documents, forms, notices, applications, records, claims, submissions and supplements or amendments as required and that all such reports, documents, forms, notices, applications, records, claims, submissions and supplements or amendments were complete and correct on the date filed (or were corrected or supplemented by a subsequent submission) as required for maintenance of their licenses, certificates, permits and other authorizations that are necessary for the conduct of their respective businesses, except where the failures to so file, obtain, maintain, submit, correct or supplement the same would not, whether individually or in the aggregate, reasonably be expected to have a Material Adverse Effect ..</w:t>
      </w:r>
    </w:p>
    <w:p>
      <w:pPr>
        <w:spacing w:after="0" w:line="176" w:lineRule="exact"/>
        <w:rPr>
          <w:rFonts w:ascii="Arial" w:cs="Arial" w:eastAsia="Arial" w:hAnsi="Arial"/>
          <w:sz w:val="16"/>
          <w:szCs w:val="16"/>
          <w:color w:val="auto"/>
        </w:rPr>
      </w:pPr>
    </w:p>
    <w:p>
      <w:pPr>
        <w:ind w:left="-60" w:right="60" w:firstLine="987"/>
        <w:spacing w:after="0" w:line="257" w:lineRule="auto"/>
        <w:tabs>
          <w:tab w:leader="none" w:pos="1331"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Company or any of its subsidiaries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Company, is contemplated or threatened, and the Company is not aware of any existing or imminent labor disturbance by, or dispute with, the employees of any of its or its subsidiaries’ principal suppliers, contractors or customers, except as would not reasonably be expected to have a Material Adverse Effect. Neither the Company nor any of its subsidiaries has received any notice of cancellation or termination with respect to any collective bargaining agreement to which it is a party.</w:t>
      </w:r>
    </w:p>
    <w:p>
      <w:pPr>
        <w:spacing w:after="0" w:line="187" w:lineRule="exact"/>
        <w:rPr>
          <w:rFonts w:ascii="Arial" w:cs="Arial" w:eastAsia="Arial" w:hAnsi="Arial"/>
          <w:sz w:val="18"/>
          <w:szCs w:val="18"/>
          <w:color w:val="auto"/>
        </w:rPr>
      </w:pPr>
    </w:p>
    <w:p>
      <w:pPr>
        <w:ind w:left="-60" w:right="20" w:firstLine="987"/>
        <w:spacing w:after="0" w:line="287" w:lineRule="auto"/>
        <w:tabs>
          <w:tab w:leader="none" w:pos="1331"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Certain Environmental Matters. </w:t>
      </w:r>
      <w:r>
        <w:rPr>
          <w:rFonts w:ascii="Arial" w:cs="Arial" w:eastAsia="Arial" w:hAnsi="Arial"/>
          <w:sz w:val="16"/>
          <w:szCs w:val="16"/>
          <w:color w:val="auto"/>
        </w:rPr>
        <w:t>(i) The Company and its subsidiaries (x) are in compliance with all, and have not violated any,</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written notice of any actual or potential liability or obligation under or relating to, or any actual or potential violation of, applicable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(x) there is no proceeding that is pending, or that is known to be contemplated, against the Company or any of its subsidiaries under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74" w:right="499" w:bottom="1440" w:gutter="0" w:footer="0" w:header="0"/>
        </w:sectPr>
      </w:pPr>
    </w:p>
    <w:bookmarkStart w:id="305" w:name="page306"/>
    <w:bookmarkEnd w:id="30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 in which a governmental entity is also a party, other than such proceeding regarding which the Company reasonably believes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Adverse Effect, and (z) none of the Company or its subsidiaries anticipates material capital expenditures relating to any Environmental Laws.</w:t>
      </w:r>
    </w:p>
    <w:p>
      <w:pPr>
        <w:spacing w:after="0" w:line="188" w:lineRule="exact"/>
        <w:rPr>
          <w:sz w:val="20"/>
          <w:szCs w:val="20"/>
          <w:color w:val="auto"/>
        </w:rPr>
      </w:pPr>
    </w:p>
    <w:p>
      <w:pPr>
        <w:ind w:firstLine="987"/>
        <w:spacing w:after="0" w:line="284" w:lineRule="auto"/>
        <w:tabs>
          <w:tab w:leader="none" w:pos="1471"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ERISA. </w:t>
      </w:r>
      <w:r>
        <w:rPr>
          <w:rFonts w:ascii="Arial" w:cs="Arial" w:eastAsia="Arial" w:hAnsi="Arial"/>
          <w:sz w:val="16"/>
          <w:szCs w:val="16"/>
          <w:color w:val="auto"/>
        </w:rPr>
        <w:t>(i) Each employee benefit plan, within the meaning of Section 3(3) of the Employee Retirement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to the knowledge of the Company,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174" w:lineRule="exact"/>
        <w:rPr>
          <w:rFonts w:ascii="Arial" w:cs="Arial" w:eastAsia="Arial" w:hAnsi="Arial"/>
          <w:sz w:val="16"/>
          <w:szCs w:val="16"/>
          <w:color w:val="auto"/>
        </w:rPr>
      </w:pPr>
    </w:p>
    <w:p>
      <w:pPr>
        <w:ind w:right="40" w:firstLine="987"/>
        <w:spacing w:after="0" w:line="255" w:lineRule="auto"/>
        <w:tabs>
          <w:tab w:leader="none" w:pos="1391"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To the extent required under applicable rules, the Company and its subsidiaries maintain an effective system of</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06" w:name="page307"/>
    <w:bookmarkEnd w:id="306"/>
    <w:p>
      <w:pPr>
        <w:ind w:left="4" w:right="40" w:firstLine="987"/>
        <w:spacing w:after="0" w:line="285" w:lineRule="auto"/>
        <w:tabs>
          <w:tab w:leader="none" w:pos="1575"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Accounting Controls. </w:t>
      </w:r>
      <w:r>
        <w:rPr>
          <w:rFonts w:ascii="Arial" w:cs="Arial" w:eastAsia="Arial" w:hAnsi="Arial"/>
          <w:sz w:val="16"/>
          <w:szCs w:val="16"/>
          <w:color w:val="auto"/>
        </w:rPr>
        <w:t>The Company and its subsidiaries maintain systems of “internal control over financial reporting”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in Rule 13a-15(f) of the Exchange Act) that are reasonably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w:t>
      </w:r>
    </w:p>
    <w:p>
      <w:pPr>
        <w:spacing w:after="0" w:line="1" w:lineRule="exact"/>
        <w:rPr>
          <w:rFonts w:ascii="Arial" w:cs="Arial" w:eastAsia="Arial" w:hAnsi="Arial"/>
          <w:sz w:val="16"/>
          <w:szCs w:val="16"/>
          <w:color w:val="auto"/>
        </w:rPr>
      </w:pPr>
    </w:p>
    <w:p>
      <w:pPr>
        <w:ind w:left="4" w:right="140" w:hanging="4"/>
        <w:spacing w:after="0" w:line="287" w:lineRule="auto"/>
        <w:tabs>
          <w:tab w:leader="none" w:pos="21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69" w:lineRule="exact"/>
        <w:rPr>
          <w:rFonts w:ascii="Arial" w:cs="Arial" w:eastAsia="Arial" w:hAnsi="Arial"/>
          <w:sz w:val="16"/>
          <w:szCs w:val="16"/>
          <w:color w:val="auto"/>
        </w:rPr>
      </w:pPr>
    </w:p>
    <w:p>
      <w:pPr>
        <w:ind w:left="4" w:firstLine="987"/>
        <w:spacing w:after="0" w:line="293" w:lineRule="auto"/>
        <w:tabs>
          <w:tab w:leader="none" w:pos="1475" w:val="left"/>
        </w:tabs>
        <w:numPr>
          <w:ilvl w:val="1"/>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64" w:lineRule="exact"/>
        <w:rPr>
          <w:rFonts w:ascii="Arial" w:cs="Arial" w:eastAsia="Arial" w:hAnsi="Arial"/>
          <w:sz w:val="16"/>
          <w:szCs w:val="16"/>
          <w:color w:val="auto"/>
        </w:rPr>
      </w:pPr>
    </w:p>
    <w:p>
      <w:pPr>
        <w:ind w:left="4" w:right="240" w:firstLine="987"/>
        <w:spacing w:after="0" w:line="287" w:lineRule="auto"/>
        <w:tabs>
          <w:tab w:leader="none" w:pos="1475" w:val="left"/>
        </w:tabs>
        <w:numPr>
          <w:ilvl w:val="1"/>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or employee of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of its subsidiaries nor, to the knowledge of the Company, any agent, affiliate or other person acting on behalf of the Company or any of its subsidiaries has (i) used any corporate funds for any unlawful contribution, gift, entertainment or other unlawful expense relating to political activity;</w:t>
      </w:r>
    </w:p>
    <w:p>
      <w:pPr>
        <w:spacing w:after="0" w:line="2" w:lineRule="exact"/>
        <w:rPr>
          <w:rFonts w:ascii="Arial" w:cs="Arial" w:eastAsia="Arial" w:hAnsi="Arial"/>
          <w:sz w:val="16"/>
          <w:szCs w:val="16"/>
          <w:color w:val="auto"/>
        </w:rPr>
      </w:pPr>
    </w:p>
    <w:p>
      <w:pPr>
        <w:ind w:left="4" w:right="40" w:hanging="4"/>
        <w:spacing w:after="0" w:line="267" w:lineRule="auto"/>
        <w:tabs>
          <w:tab w:leader="none" w:pos="26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made or taken an act in furtherance of an offer, promise or authorization of any direct or indirect unlawful payment or unlawful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anti-bribery or anti-corruption laws. The Company and its subsidiaries have instituted, maintain and enforce, and will continue to maintain and enforce policies and procedures reasonably designed to promote and ensure compliance with all applicable anti-bribery and anti-corruption laws.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07" w:name="page308"/>
    <w:bookmarkEnd w:id="307"/>
    <w:p>
      <w:pPr>
        <w:ind w:left="-20" w:firstLine="987"/>
        <w:spacing w:after="0" w:line="271" w:lineRule="auto"/>
        <w:tabs>
          <w:tab w:leader="none" w:pos="1451"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Anti-Money Laundering Laws</w:t>
      </w:r>
      <w:r>
        <w:rPr>
          <w:rFonts w:ascii="Arial" w:cs="Arial" w:eastAsia="Arial" w:hAnsi="Arial"/>
          <w:sz w:val="17"/>
          <w:szCs w:val="17"/>
          <w:color w:val="auto"/>
        </w:rPr>
        <w:t>. The operations of the Company and its subsidiaries are and have been conducted at</w:t>
      </w:r>
      <w:r>
        <w:rPr>
          <w:rFonts w:ascii="Arial" w:cs="Arial" w:eastAsia="Arial" w:hAnsi="Arial"/>
          <w:sz w:val="17"/>
          <w:szCs w:val="17"/>
          <w:i w:val="1"/>
          <w:iCs w:val="1"/>
          <w:color w:val="auto"/>
        </w:rPr>
        <w:t xml:space="preserve"> </w:t>
      </w:r>
      <w:r>
        <w:rPr>
          <w:rFonts w:ascii="Arial" w:cs="Arial" w:eastAsia="Arial" w:hAnsi="Arial"/>
          <w:sz w:val="17"/>
          <w:szCs w:val="17"/>
          <w:color w:val="auto"/>
        </w:rPr>
        <w:t>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spacing w:after="0" w:line="178" w:lineRule="exact"/>
        <w:rPr>
          <w:rFonts w:ascii="Arial" w:cs="Arial" w:eastAsia="Arial" w:hAnsi="Arial"/>
          <w:sz w:val="17"/>
          <w:szCs w:val="17"/>
          <w:color w:val="auto"/>
        </w:rPr>
      </w:pPr>
    </w:p>
    <w:p>
      <w:pPr>
        <w:ind w:left="-20" w:right="40" w:firstLine="987"/>
        <w:spacing w:after="0" w:line="267" w:lineRule="auto"/>
        <w:tabs>
          <w:tab w:leader="none" w:pos="1451"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subsidiaries, directors, officers or employees, nor,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any agent, affiliate or other person associated with or acting on behalf of the Company or any of its subsidiaries is currently the subject or the target of any economic, financial or trade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the Swiss Secretariat of Economic Affairs, or other relevant sanctions authority (collectively, “Sanctions”), nor is the Company or any of its subsidiaries, directors, officers, or employees, or, to the knowledge of the Company, any agent, affiliate or other person associated with or acting on behalf of the Company or any of its subsidiaries is located, organized or resident in a country or territory that is the subject or target of Sanctions, including, without limitation, the Crimea Region of Ukraine, the so-called Donetsk People’s Republic, the so-called Luhansk People’s Republic and the non-government controlled areas of the Zaporizhzhia and Kherson Regions, Cuba, Iran, North Korea and Syria (each, a “Sanctioned Country”); and the Company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91" w:lineRule="exact"/>
        <w:rPr>
          <w:rFonts w:ascii="Arial" w:cs="Arial" w:eastAsia="Arial" w:hAnsi="Arial"/>
          <w:sz w:val="17"/>
          <w:szCs w:val="17"/>
          <w:color w:val="auto"/>
        </w:rPr>
      </w:pPr>
    </w:p>
    <w:p>
      <w:pPr>
        <w:jc w:val="both"/>
        <w:ind w:left="-20" w:right="20" w:firstLine="987"/>
        <w:spacing w:after="0" w:line="279" w:lineRule="auto"/>
        <w:tabs>
          <w:tab w:leader="none" w:pos="1391"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No Restrictions on Subsidiaries</w:t>
      </w:r>
      <w:r>
        <w:rPr>
          <w:rFonts w:ascii="Arial" w:cs="Arial" w:eastAsia="Arial" w:hAnsi="Arial"/>
          <w:sz w:val="17"/>
          <w:szCs w:val="17"/>
          <w:color w:val="auto"/>
        </w:rPr>
        <w:t>. No subsidiary of the Company is currently prohibited, directly or indirectly, under any agreement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71" w:lineRule="exact"/>
        <w:rPr>
          <w:rFonts w:ascii="Arial" w:cs="Arial" w:eastAsia="Arial" w:hAnsi="Arial"/>
          <w:sz w:val="17"/>
          <w:szCs w:val="17"/>
          <w:color w:val="auto"/>
        </w:rPr>
      </w:pPr>
    </w:p>
    <w:p>
      <w:pPr>
        <w:ind w:left="-20" w:firstLine="987"/>
        <w:spacing w:after="0" w:line="263" w:lineRule="auto"/>
        <w:tabs>
          <w:tab w:leader="none" w:pos="1411"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this Agreement) that would give rise to a valid claim against any of them or any Underwriter for a brokerage commission, finder’s fee or like payment in connection with the offering and sale of the Shares.</w:t>
      </w:r>
    </w:p>
    <w:p>
      <w:pPr>
        <w:spacing w:after="0" w:line="183" w:lineRule="exact"/>
        <w:rPr>
          <w:rFonts w:ascii="Arial" w:cs="Arial" w:eastAsia="Arial" w:hAnsi="Arial"/>
          <w:sz w:val="18"/>
          <w:szCs w:val="18"/>
          <w:color w:val="auto"/>
        </w:rPr>
      </w:pPr>
    </w:p>
    <w:p>
      <w:pPr>
        <w:ind w:left="-20" w:right="260" w:firstLine="987"/>
        <w:spacing w:after="0" w:line="263" w:lineRule="auto"/>
        <w:tabs>
          <w:tab w:leader="none" w:pos="1371"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No person has the right to require the Company or any of its subsidiaries to register any securities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Act by reason of the filing of the Registration Statement with the Commission or the issuance and sale of the Shares, except for such rights as have been duly waived.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308" w:name="page309"/>
    <w:bookmarkEnd w:id="308"/>
    <w:p>
      <w:pPr>
        <w:ind w:left="-40" w:right="180" w:firstLine="987"/>
        <w:spacing w:after="0" w:line="263" w:lineRule="auto"/>
        <w:tabs>
          <w:tab w:leader="none" w:pos="1431"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Stabilization. </w:t>
      </w:r>
      <w:r>
        <w:rPr>
          <w:rFonts w:ascii="Arial" w:cs="Arial" w:eastAsia="Arial" w:hAnsi="Arial"/>
          <w:sz w:val="18"/>
          <w:szCs w:val="18"/>
          <w:color w:val="auto"/>
        </w:rPr>
        <w:t>Neither the Company nor any of its subsidiaries or, to the Company’s knowledge, other affiliates have taken,</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any action designed to or that could reasonably be expected to cause or result in any stabilization or manipulation of the price of the Shares.</w:t>
      </w:r>
    </w:p>
    <w:p>
      <w:pPr>
        <w:spacing w:after="0" w:line="183" w:lineRule="exact"/>
        <w:rPr>
          <w:rFonts w:ascii="Arial" w:cs="Arial" w:eastAsia="Arial" w:hAnsi="Arial"/>
          <w:sz w:val="18"/>
          <w:szCs w:val="18"/>
          <w:color w:val="auto"/>
        </w:rPr>
      </w:pPr>
    </w:p>
    <w:p>
      <w:pPr>
        <w:ind w:left="-40" w:right="160" w:firstLine="987"/>
        <w:spacing w:after="0" w:line="263" w:lineRule="auto"/>
        <w:tabs>
          <w:tab w:leader="none" w:pos="1431"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Neither the issuance, sale and delivery of the Shares nor the application of the proceeds thereof by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pacing w:after="0" w:line="183" w:lineRule="exact"/>
        <w:rPr>
          <w:rFonts w:ascii="Arial" w:cs="Arial" w:eastAsia="Arial" w:hAnsi="Arial"/>
          <w:sz w:val="18"/>
          <w:szCs w:val="18"/>
          <w:color w:val="auto"/>
        </w:rPr>
      </w:pPr>
    </w:p>
    <w:p>
      <w:pPr>
        <w:ind w:left="-40" w:right="580" w:firstLine="987"/>
        <w:spacing w:after="0" w:line="263" w:lineRule="auto"/>
        <w:tabs>
          <w:tab w:leader="none" w:pos="1511"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21E of the Exchange Act) contained in the Registration Statement, the Pricing Disclosure Package or the Prospectus has been made or reaffirmed without a reasonable basis or has been disclosed other than in good faith.</w:t>
      </w:r>
    </w:p>
    <w:p>
      <w:pPr>
        <w:spacing w:after="0" w:line="183" w:lineRule="exact"/>
        <w:rPr>
          <w:rFonts w:ascii="Arial" w:cs="Arial" w:eastAsia="Arial" w:hAnsi="Arial"/>
          <w:sz w:val="18"/>
          <w:szCs w:val="18"/>
          <w:color w:val="auto"/>
        </w:rPr>
      </w:pPr>
    </w:p>
    <w:p>
      <w:pPr>
        <w:ind w:left="-40" w:right="120" w:firstLine="987"/>
        <w:spacing w:after="0" w:line="263" w:lineRule="auto"/>
        <w:tabs>
          <w:tab w:leader="none" w:pos="1431"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 and market-related data included in each of the Registration Statement, the Pricing Disclosure Package and the Prospectus is not based on or derived from sources that are reliable and accurate in all material respects.</w:t>
      </w:r>
    </w:p>
    <w:p>
      <w:pPr>
        <w:spacing w:after="0" w:line="183" w:lineRule="exact"/>
        <w:rPr>
          <w:rFonts w:ascii="Arial" w:cs="Arial" w:eastAsia="Arial" w:hAnsi="Arial"/>
          <w:sz w:val="18"/>
          <w:szCs w:val="18"/>
          <w:color w:val="auto"/>
        </w:rPr>
      </w:pPr>
    </w:p>
    <w:p>
      <w:pPr>
        <w:ind w:left="-40" w:right="140" w:firstLine="987"/>
        <w:spacing w:after="0" w:line="311" w:lineRule="auto"/>
        <w:tabs>
          <w:tab w:leader="none" w:pos="1431"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Sarbanes-Oxley Act</w:t>
      </w:r>
      <w:r>
        <w:rPr>
          <w:rFonts w:ascii="Arial" w:cs="Arial" w:eastAsia="Arial" w:hAnsi="Arial"/>
          <w:sz w:val="16"/>
          <w:szCs w:val="16"/>
          <w:color w:val="auto"/>
        </w:rPr>
        <w:t>. There is and has been no failure on the part of the Company or any of the Company’s directors or officers, in</w:t>
      </w:r>
      <w:r>
        <w:rPr>
          <w:rFonts w:ascii="Arial" w:cs="Arial" w:eastAsia="Arial" w:hAnsi="Arial"/>
          <w:sz w:val="16"/>
          <w:szCs w:val="16"/>
          <w:i w:val="1"/>
          <w:iCs w:val="1"/>
          <w:color w:val="auto"/>
        </w:rPr>
        <w:t xml:space="preserve"> </w:t>
      </w:r>
      <w:r>
        <w:rPr>
          <w:rFonts w:ascii="Arial" w:cs="Arial" w:eastAsia="Arial" w:hAnsi="Arial"/>
          <w:sz w:val="16"/>
          <w:szCs w:val="16"/>
          <w:color w:val="auto"/>
        </w:rPr>
        <w:t>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148" w:lineRule="exact"/>
        <w:rPr>
          <w:rFonts w:ascii="Arial" w:cs="Arial" w:eastAsia="Arial" w:hAnsi="Arial"/>
          <w:sz w:val="16"/>
          <w:szCs w:val="16"/>
          <w:color w:val="auto"/>
        </w:rPr>
      </w:pPr>
    </w:p>
    <w:p>
      <w:pPr>
        <w:ind w:left="-40" w:right="140" w:firstLine="987"/>
        <w:spacing w:after="0" w:line="275" w:lineRule="auto"/>
        <w:tabs>
          <w:tab w:leader="none" w:pos="1411"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t>Status under the Securities Act</w:t>
      </w:r>
      <w:r>
        <w:rPr>
          <w:rFonts w:ascii="Arial" w:cs="Arial" w:eastAsia="Arial" w:hAnsi="Arial"/>
          <w:sz w:val="17"/>
          <w:szCs w:val="17"/>
          <w:color w:val="auto"/>
        </w:rPr>
        <w:t>. At the time of filing the Registration Statement and any post-effective amendment thereto, 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earliest time thereafter that the Company or any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176" w:lineRule="exact"/>
        <w:rPr>
          <w:sz w:val="20"/>
          <w:szCs w:val="20"/>
          <w:color w:val="auto"/>
        </w:rPr>
      </w:pPr>
    </w:p>
    <w:p>
      <w:pPr>
        <w:ind w:left="-40" w:firstLine="987"/>
        <w:spacing w:after="0" w:line="263" w:lineRule="auto"/>
        <w:tabs>
          <w:tab w:leader="none" w:pos="1491" w:val="left"/>
        </w:tabs>
        <w:numPr>
          <w:ilvl w:val="1"/>
          <w:numId w:val="190"/>
        </w:numPr>
        <w:rPr>
          <w:rFonts w:ascii="Arial" w:cs="Arial" w:eastAsia="Arial" w:hAnsi="Arial"/>
          <w:sz w:val="18"/>
          <w:szCs w:val="18"/>
          <w:color w:val="auto"/>
        </w:rPr>
      </w:pPr>
      <w:r>
        <w:rPr>
          <w:rFonts w:ascii="Arial" w:cs="Arial" w:eastAsia="Arial" w:hAnsi="Arial"/>
          <w:sz w:val="18"/>
          <w:szCs w:val="18"/>
          <w:i w:val="1"/>
          <w:iCs w:val="1"/>
          <w:color w:val="auto"/>
        </w:rPr>
        <w:t>No Ratings</w:t>
      </w:r>
      <w:r>
        <w:rPr>
          <w:rFonts w:ascii="Arial" w:cs="Arial" w:eastAsia="Arial" w:hAnsi="Arial"/>
          <w:sz w:val="18"/>
          <w:szCs w:val="18"/>
          <w:color w:val="auto"/>
        </w:rPr>
        <w:t>. There are (and prior to the Closing Date, will be) no debt securities, convertible securities or preferred stock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by the Company or any of its subsidiaries that are rated by a “nationally recognized statistical rating organization”, as such term is defined in Section 3(a)(62) under the Exchange Act.</w:t>
      </w:r>
    </w:p>
    <w:p>
      <w:pPr>
        <w:spacing w:after="0" w:line="183" w:lineRule="exact"/>
        <w:rPr>
          <w:rFonts w:ascii="Arial" w:cs="Arial" w:eastAsia="Arial" w:hAnsi="Arial"/>
          <w:sz w:val="18"/>
          <w:szCs w:val="18"/>
          <w:color w:val="auto"/>
        </w:rPr>
      </w:pPr>
    </w:p>
    <w:p>
      <w:pPr>
        <w:ind w:left="720" w:hanging="324"/>
        <w:spacing w:after="0"/>
        <w:tabs>
          <w:tab w:leader="none" w:pos="7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225" w:lineRule="exact"/>
        <w:rPr>
          <w:rFonts w:ascii="Arial" w:cs="Arial" w:eastAsia="Arial" w:hAnsi="Arial"/>
          <w:sz w:val="18"/>
          <w:szCs w:val="18"/>
          <w:color w:val="auto"/>
        </w:rPr>
      </w:pPr>
    </w:p>
    <w:p>
      <w:pPr>
        <w:ind w:left="-40" w:right="40" w:firstLine="987"/>
        <w:spacing w:after="0" w:line="257" w:lineRule="auto"/>
        <w:tabs>
          <w:tab w:leader="none" w:pos="1331"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424(b)</w:t>
      </w:r>
      <w:r>
        <w:rPr>
          <w:rFonts w:ascii="Arial" w:cs="Arial" w:eastAsia="Arial" w:hAnsi="Arial"/>
          <w:sz w:val="18"/>
          <w:szCs w:val="18"/>
          <w:i w:val="1"/>
          <w:iCs w:val="1"/>
          <w:color w:val="auto"/>
        </w:rPr>
        <w:t xml:space="preserve"> </w:t>
      </w:r>
      <w:r>
        <w:rPr>
          <w:rFonts w:ascii="Arial" w:cs="Arial" w:eastAsia="Arial" w:hAnsi="Arial"/>
          <w:sz w:val="18"/>
          <w:szCs w:val="18"/>
          <w:color w:val="auto"/>
        </w:rPr>
        <w:t>and 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80" w:top="274" w:right="499" w:bottom="1440" w:gutter="0" w:footer="0" w:header="0"/>
        </w:sectPr>
      </w:pPr>
    </w:p>
    <w:bookmarkStart w:id="309" w:name="page310"/>
    <w:bookmarkEnd w:id="309"/>
    <w:p>
      <w:pPr>
        <w:ind w:right="40" w:firstLine="987"/>
        <w:spacing w:after="0" w:line="271" w:lineRule="auto"/>
        <w:tabs>
          <w:tab w:leader="none" w:pos="1381"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Delivery of Copies. </w:t>
      </w:r>
      <w:r>
        <w:rPr>
          <w:rFonts w:ascii="Arial" w:cs="Arial" w:eastAsia="Arial" w:hAnsi="Arial"/>
          <w:sz w:val="17"/>
          <w:szCs w:val="17"/>
          <w:color w:val="auto"/>
        </w:rPr>
        <w:t>The Company will deliver, without charge, (i) to the Representatives, upon request of the representatives, two</w:t>
      </w:r>
      <w:r>
        <w:rPr>
          <w:rFonts w:ascii="Arial" w:cs="Arial" w:eastAsia="Arial" w:hAnsi="Arial"/>
          <w:sz w:val="17"/>
          <w:szCs w:val="17"/>
          <w:i w:val="1"/>
          <w:iCs w:val="1"/>
          <w:color w:val="auto"/>
        </w:rPr>
        <w:t xml:space="preserve"> </w:t>
      </w:r>
      <w:r>
        <w:rPr>
          <w:rFonts w:ascii="Arial" w:cs="Arial" w:eastAsia="Arial" w:hAnsi="Arial"/>
          <w:sz w:val="17"/>
          <w:szCs w:val="17"/>
          <w:color w:val="auto"/>
        </w:rPr>
        <w:t>signed copies of the Registration Statement as originally filed and each amendment thereto, in each case including all exhibits and consents filed therewith; and (ii) to each Underwriter, upon request by such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78" w:lineRule="exact"/>
        <w:rPr>
          <w:rFonts w:ascii="Arial" w:cs="Arial" w:eastAsia="Arial" w:hAnsi="Arial"/>
          <w:sz w:val="17"/>
          <w:szCs w:val="17"/>
          <w:color w:val="auto"/>
        </w:rPr>
      </w:pPr>
    </w:p>
    <w:p>
      <w:pPr>
        <w:ind w:right="40" w:firstLine="987"/>
        <w:spacing w:after="0" w:line="275" w:lineRule="auto"/>
        <w:tabs>
          <w:tab w:leader="none" w:pos="1371"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 xml:space="preserve">Amendments or Supplements, Issuer Free Writing Prospectuses. </w:t>
      </w:r>
      <w:r>
        <w:rPr>
          <w:rFonts w:ascii="Arial" w:cs="Arial" w:eastAsia="Arial" w:hAnsi="Arial"/>
          <w:sz w:val="17"/>
          <w:szCs w:val="17"/>
          <w:color w:val="auto"/>
        </w:rPr>
        <w:t>Before making, preparing, using, authorizing, approving, referring to</w:t>
      </w:r>
      <w:r>
        <w:rPr>
          <w:rFonts w:ascii="Arial" w:cs="Arial" w:eastAsia="Arial" w:hAnsi="Arial"/>
          <w:sz w:val="17"/>
          <w:szCs w:val="17"/>
          <w:i w:val="1"/>
          <w:iCs w:val="1"/>
          <w:color w:val="auto"/>
        </w:rPr>
        <w:t xml:space="preserve"> </w:t>
      </w:r>
      <w:r>
        <w:rPr>
          <w:rFonts w:ascii="Arial" w:cs="Arial" w:eastAsia="Arial" w:hAnsi="Arial"/>
          <w:sz w:val="17"/>
          <w:szCs w:val="17"/>
          <w:color w:val="auto"/>
        </w:rPr>
        <w:t>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76" w:lineRule="exact"/>
        <w:rPr>
          <w:rFonts w:ascii="Arial" w:cs="Arial" w:eastAsia="Arial" w:hAnsi="Arial"/>
          <w:sz w:val="17"/>
          <w:szCs w:val="17"/>
          <w:color w:val="auto"/>
        </w:rPr>
      </w:pPr>
    </w:p>
    <w:p>
      <w:pPr>
        <w:ind w:firstLine="987"/>
        <w:spacing w:after="0" w:line="267" w:lineRule="auto"/>
        <w:tabs>
          <w:tab w:leader="none" w:pos="1381"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 xml:space="preserve">Notice to the Representatives. </w:t>
      </w:r>
      <w:r>
        <w:rPr>
          <w:rFonts w:ascii="Arial" w:cs="Arial" w:eastAsia="Arial" w:hAnsi="Arial"/>
          <w:sz w:val="17"/>
          <w:szCs w:val="17"/>
          <w:color w:val="auto"/>
        </w:rPr>
        <w:t>The Company will advise the Representatives promptly, and confirm such advice in writing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be by electronic mail), (i) when the Registration Statement has become effective; (ii) when any amendment to the Registration Statement has been filed or becomes effective; (iii) when any supplement to the Pricing Disclosure Package, the Prospectus, any Issuer Free Writing Prospectus,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 company,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310" w:name="page311"/>
    <w:bookmarkEnd w:id="310"/>
    <w:p>
      <w:pPr>
        <w:ind w:left="4" w:firstLine="987"/>
        <w:spacing w:after="0" w:line="285" w:lineRule="auto"/>
        <w:tabs>
          <w:tab w:leader="none" w:pos="1375" w:val="left"/>
        </w:tabs>
        <w:numPr>
          <w:ilvl w:val="1"/>
          <w:numId w:val="19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Ongoing Compliance. </w:t>
      </w:r>
      <w:r>
        <w:rPr>
          <w:rFonts w:ascii="Arial" w:cs="Arial" w:eastAsia="Arial" w:hAnsi="Arial"/>
          <w:sz w:val="16"/>
          <w:szCs w:val="16"/>
          <w:color w:val="auto"/>
        </w:rPr>
        <w:t>(1) If during the Prospectus Delivery Period (i) any event or development shall occur or condition shall exist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spacing w:after="0" w:line="176" w:lineRule="exact"/>
        <w:rPr>
          <w:rFonts w:ascii="Arial" w:cs="Arial" w:eastAsia="Arial" w:hAnsi="Arial"/>
          <w:sz w:val="16"/>
          <w:szCs w:val="16"/>
          <w:color w:val="auto"/>
        </w:rPr>
      </w:pPr>
    </w:p>
    <w:p>
      <w:pPr>
        <w:ind w:left="4" w:right="360" w:firstLine="987"/>
        <w:spacing w:after="0" w:line="286" w:lineRule="auto"/>
        <w:tabs>
          <w:tab w:leader="none" w:pos="1355" w:val="left"/>
        </w:tabs>
        <w:numPr>
          <w:ilvl w:val="1"/>
          <w:numId w:val="193"/>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will qualify the Shares for offer and sale under the securities or Blue Sky laws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jurisdictions as the Representatives shall reasonably request and will continue such qualifications in effect so long as required for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itself to taxation in any such jurisdiction if it is not otherwise so subject.</w:t>
      </w:r>
    </w:p>
    <w:p>
      <w:pPr>
        <w:spacing w:after="0" w:line="210" w:lineRule="exact"/>
        <w:rPr>
          <w:rFonts w:ascii="Arial" w:cs="Arial" w:eastAsia="Arial" w:hAnsi="Arial"/>
          <w:sz w:val="18"/>
          <w:szCs w:val="18"/>
          <w:color w:val="auto"/>
        </w:rPr>
      </w:pPr>
    </w:p>
    <w:p>
      <w:pPr>
        <w:ind w:left="4" w:right="20" w:firstLine="987"/>
        <w:spacing w:after="0" w:line="296" w:lineRule="auto"/>
        <w:tabs>
          <w:tab w:leader="none" w:pos="1385" w:val="left"/>
        </w:tabs>
        <w:numPr>
          <w:ilvl w:val="1"/>
          <w:numId w:val="194"/>
        </w:numPr>
        <w:rPr>
          <w:rFonts w:ascii="Arial" w:cs="Arial" w:eastAsia="Arial" w:hAnsi="Arial"/>
          <w:sz w:val="16"/>
          <w:szCs w:val="16"/>
          <w:color w:val="auto"/>
        </w:rPr>
      </w:pPr>
      <w:r>
        <w:rPr>
          <w:rFonts w:ascii="Arial" w:cs="Arial" w:eastAsia="Arial" w:hAnsi="Arial"/>
          <w:sz w:val="16"/>
          <w:szCs w:val="16"/>
          <w:i w:val="1"/>
          <w:iCs w:val="1"/>
          <w:color w:val="auto"/>
        </w:rPr>
        <w:t xml:space="preserve">Earning Statement. </w:t>
      </w:r>
      <w:r>
        <w:rPr>
          <w:rFonts w:ascii="Arial" w:cs="Arial" w:eastAsia="Arial" w:hAnsi="Arial"/>
          <w:sz w:val="16"/>
          <w:szCs w:val="16"/>
          <w:color w:val="auto"/>
        </w:rPr>
        <w:t>The Company will make generally available to its security holders and the Representatives as soon as practicable</w:t>
      </w:r>
      <w:r>
        <w:rPr>
          <w:rFonts w:ascii="Arial" w:cs="Arial" w:eastAsia="Arial" w:hAnsi="Arial"/>
          <w:sz w:val="16"/>
          <w:szCs w:val="16"/>
          <w:i w:val="1"/>
          <w:iCs w:val="1"/>
          <w:color w:val="auto"/>
        </w:rPr>
        <w:t xml:space="preserve"> </w:t>
      </w:r>
      <w:r>
        <w:rPr>
          <w:rFonts w:ascii="Arial" w:cs="Arial" w:eastAsia="Arial" w:hAnsi="Arial"/>
          <w:sz w:val="16"/>
          <w:szCs w:val="16"/>
          <w:color w:val="auto"/>
        </w:rPr>
        <w:t>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Representatives to the extent they are filed on the Commission’s Electronic Data Gathering, Analysis and Retrieval system (“EDGAR”).</w:t>
      </w:r>
    </w:p>
    <w:p>
      <w:pPr>
        <w:spacing w:after="0" w:line="161" w:lineRule="exact"/>
        <w:rPr>
          <w:rFonts w:ascii="Arial" w:cs="Arial" w:eastAsia="Arial" w:hAnsi="Arial"/>
          <w:sz w:val="16"/>
          <w:szCs w:val="16"/>
          <w:color w:val="auto"/>
        </w:rPr>
      </w:pPr>
    </w:p>
    <w:p>
      <w:pPr>
        <w:ind w:left="4" w:right="20" w:firstLine="987"/>
        <w:spacing w:after="0" w:line="254" w:lineRule="auto"/>
        <w:tabs>
          <w:tab w:leader="none" w:pos="1385" w:val="left"/>
        </w:tabs>
        <w:numPr>
          <w:ilvl w:val="1"/>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For a period of 180 days after the date of the Prospectus (the “Restricted Period”), the Company will not (i) offer,</w:t>
      </w:r>
      <w:r>
        <w:rPr>
          <w:rFonts w:ascii="Arial" w:cs="Arial" w:eastAsia="Arial" w:hAnsi="Arial"/>
          <w:sz w:val="18"/>
          <w:szCs w:val="18"/>
          <w:i w:val="1"/>
          <w:iCs w:val="1"/>
          <w:color w:val="auto"/>
        </w:rPr>
        <w:t xml:space="preserve"> </w:t>
      </w:r>
      <w:r>
        <w:rPr>
          <w:rFonts w:ascii="Arial" w:cs="Arial" w:eastAsia="Arial" w:hAnsi="Arial"/>
          <w:sz w:val="18"/>
          <w:szCs w:val="18"/>
          <w:color w:val="auto"/>
        </w:rPr>
        <w:t>pledge, sell, contract to sell, sell any option or contract to purchase, purchase any option or contract to sell, grant any option, right or warrant to purchase, hedge, lend, or otherwise transfer or dispose of, directly or indirectly, or submit to, or file with, the Commission a registration statement under the Securities Act relating to, any shares of Stock or any securities convertible into or exercisable or exchangeable for Stock or (ii) enter into any swap, hedging, or other agreement that transfers, in whole or in part, any of the economic consequences of ownership of the Stock or any such other securities, or publicly disclose the intention to undertake any of the foregoing in clause (i) or (ii), whether any such transaction described in clause (i) or (ii) above is to be settled by delivery of Stock or such other securities, in cash or otherwise, without the prior written consent of the Representatives, other than the Shares to be sold hereunder.</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11" w:name="page312"/>
    <w:bookmarkEnd w:id="311"/>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described in the Prospectus, provided that such recipients enter into a lock-up agreement with the Underwriters; (iii) the issuance of up to 10% of the outstanding shares of Stock, or securities convertible into, exercisable for, or which are otherwise exchangeable for, Stock, immediately following the Closing Date, in acquisitions or other similar strategic transactions, provided that such recipients enter into a lock-up agreement with the Underwriters; (iv) the issuance of shares of Stock to satisfy milestone or other contingent payment obligations under the Company’s existing collaboration, license, acquisition or similar agreements as described in the Prospectus; or (v) the filing of any registration statement on Form S-8 relating to securities granted or to be granted pursuant to any plan described in the Prospectus or any assumed benefit plan pursuant to an acquisition or similar strategic transaction.</w:t>
      </w:r>
    </w:p>
    <w:p>
      <w:pPr>
        <w:spacing w:after="0" w:line="168" w:lineRule="exact"/>
        <w:rPr>
          <w:sz w:val="20"/>
          <w:szCs w:val="20"/>
          <w:color w:val="auto"/>
        </w:rPr>
      </w:pPr>
    </w:p>
    <w:p>
      <w:pPr>
        <w:ind w:right="200" w:firstLine="987"/>
        <w:spacing w:after="0" w:line="257" w:lineRule="auto"/>
        <w:tabs>
          <w:tab w:leader="none" w:pos="134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the Representatives, in their sole discretion, agree to release or waive the restrictions set forth in a lock-up letter described in Section 6(l)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spacing w:after="0" w:line="187" w:lineRule="exact"/>
        <w:rPr>
          <w:rFonts w:ascii="Arial" w:cs="Arial" w:eastAsia="Arial" w:hAnsi="Arial"/>
          <w:sz w:val="18"/>
          <w:szCs w:val="18"/>
          <w:color w:val="auto"/>
        </w:rPr>
      </w:pPr>
    </w:p>
    <w:p>
      <w:pPr>
        <w:ind w:right="540" w:firstLine="987"/>
        <w:spacing w:after="0" w:line="277" w:lineRule="auto"/>
        <w:tabs>
          <w:tab w:leader="none" w:pos="1341"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as described in each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the Pricing Disclosure Package and the Prospectus under the heading “Use of proceeds”.</w:t>
      </w:r>
    </w:p>
    <w:p>
      <w:pPr>
        <w:spacing w:after="0" w:line="170" w:lineRule="exact"/>
        <w:rPr>
          <w:rFonts w:ascii="Arial" w:cs="Arial" w:eastAsia="Arial" w:hAnsi="Arial"/>
          <w:sz w:val="18"/>
          <w:szCs w:val="18"/>
          <w:color w:val="auto"/>
        </w:rPr>
      </w:pPr>
    </w:p>
    <w:p>
      <w:pPr>
        <w:ind w:right="80" w:firstLine="987"/>
        <w:spacing w:after="0" w:line="263" w:lineRule="auto"/>
        <w:tabs>
          <w:tab w:leader="none" w:pos="1381"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its subsidiaries or affiliates will take, directly or indirectly, without giving effect to</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by the Underwriters, any action designed to or that would reasonably be expected to cause or result in any stabilization or manipulation of the price of the Stock.</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 xml:space="preserve">Exchange Listing. </w:t>
      </w:r>
      <w:r>
        <w:rPr>
          <w:rFonts w:ascii="Arial" w:cs="Arial" w:eastAsia="Arial" w:hAnsi="Arial"/>
          <w:sz w:val="16"/>
          <w:szCs w:val="16"/>
          <w:color w:val="auto"/>
        </w:rPr>
        <w:t>The Company will use its reasonable best efforts to list, subject to notice of issuance, the Shares on the Nasdaq</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210" w:lineRule="exact"/>
        <w:rPr>
          <w:rFonts w:ascii="Arial" w:cs="Arial" w:eastAsia="Arial" w:hAnsi="Arial"/>
          <w:sz w:val="16"/>
          <w:szCs w:val="16"/>
          <w:color w:val="auto"/>
        </w:rPr>
      </w:pPr>
    </w:p>
    <w:p>
      <w:pPr>
        <w:ind w:firstLine="987"/>
        <w:spacing w:after="0" w:line="301" w:lineRule="auto"/>
        <w:tabs>
          <w:tab w:leader="none" w:pos="1431"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 xml:space="preserve">Reports. </w:t>
      </w:r>
      <w:r>
        <w:rPr>
          <w:rFonts w:ascii="Arial" w:cs="Arial" w:eastAsia="Arial" w:hAnsi="Arial"/>
          <w:sz w:val="16"/>
          <w:szCs w:val="16"/>
          <w:color w:val="auto"/>
        </w:rPr>
        <w:t>For a period of three years following the Closing Date, the Company will furnish to the Representatives, as soon as they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will be deemed to have furnished such reports and financial statements to the Representatives to the extent they are filed on EDGAR.</w:t>
      </w:r>
    </w:p>
    <w:p>
      <w:pPr>
        <w:spacing w:after="0" w:line="157" w:lineRule="exact"/>
        <w:rPr>
          <w:rFonts w:ascii="Arial" w:cs="Arial" w:eastAsia="Arial" w:hAnsi="Arial"/>
          <w:sz w:val="16"/>
          <w:szCs w:val="16"/>
          <w:color w:val="auto"/>
        </w:rPr>
      </w:pPr>
    </w:p>
    <w:p>
      <w:pPr>
        <w:ind w:right="220" w:firstLine="987"/>
        <w:spacing w:after="0" w:line="277" w:lineRule="auto"/>
        <w:tabs>
          <w:tab w:leader="none" w:pos="1381"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Prospectus that is not filed with the Commission in accordance with Rule 433 under the Securities Act.</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 xml:space="preserve">Filings. </w:t>
      </w:r>
      <w:r>
        <w:rPr>
          <w:rFonts w:ascii="Arial" w:cs="Arial" w:eastAsia="Arial" w:hAnsi="Arial"/>
          <w:sz w:val="17"/>
          <w:szCs w:val="17"/>
          <w:color w:val="auto"/>
        </w:rPr>
        <w:t>The Company will file with the Commission such reports as may be required by Rule 463 under the Securities Act.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12" w:name="page313"/>
    <w:bookmarkEnd w:id="312"/>
    <w:p>
      <w:pPr>
        <w:ind w:left="4" w:right="500" w:firstLine="987"/>
        <w:spacing w:after="0" w:line="291" w:lineRule="auto"/>
        <w:tabs>
          <w:tab w:leader="none" w:pos="1385" w:val="left"/>
        </w:tabs>
        <w:numPr>
          <w:ilvl w:val="2"/>
          <w:numId w:val="19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Emerging Growth Company</w:t>
      </w:r>
      <w:r>
        <w:rPr>
          <w:rFonts w:ascii="Arial" w:cs="Arial" w:eastAsia="Arial" w:hAnsi="Arial"/>
          <w:sz w:val="16"/>
          <w:szCs w:val="16"/>
          <w:color w:val="auto"/>
        </w:rPr>
        <w:t>. The Company will promptly notify the Representatives if the Company ceases to be an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Growth Company at any time prior to the later of (i) completion of the distribution of Shares within the meaning of the Securities Act and</w:t>
      </w:r>
    </w:p>
    <w:p>
      <w:pPr>
        <w:ind w:left="264" w:hanging="264"/>
        <w:spacing w:after="0"/>
        <w:tabs>
          <w:tab w:leader="none" w:pos="26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completion of the Restricted Period.</w:t>
      </w:r>
    </w:p>
    <w:p>
      <w:pPr>
        <w:spacing w:after="0" w:line="210" w:lineRule="exact"/>
        <w:rPr>
          <w:rFonts w:ascii="Arial" w:cs="Arial" w:eastAsia="Arial" w:hAnsi="Arial"/>
          <w:sz w:val="18"/>
          <w:szCs w:val="18"/>
          <w:color w:val="auto"/>
        </w:rPr>
      </w:pPr>
    </w:p>
    <w:p>
      <w:pPr>
        <w:ind w:left="764" w:hanging="324"/>
        <w:spacing w:after="0"/>
        <w:tabs>
          <w:tab w:leader="none" w:pos="764"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rFonts w:ascii="Arial" w:cs="Arial" w:eastAsia="Arial" w:hAnsi="Arial"/>
          <w:sz w:val="18"/>
          <w:szCs w:val="18"/>
          <w:color w:val="auto"/>
        </w:rPr>
      </w:pPr>
    </w:p>
    <w:p>
      <w:pPr>
        <w:ind w:left="4" w:right="60" w:firstLine="987"/>
        <w:spacing w:after="0" w:line="254" w:lineRule="auto"/>
        <w:tabs>
          <w:tab w:leader="none" w:pos="1375" w:val="left"/>
        </w:tabs>
        <w:numPr>
          <w:ilvl w:val="2"/>
          <w:numId w:val="197"/>
        </w:numPr>
        <w:rPr>
          <w:rFonts w:ascii="Arial" w:cs="Arial" w:eastAsia="Arial" w:hAnsi="Arial"/>
          <w:sz w:val="18"/>
          <w:szCs w:val="18"/>
          <w:color w:val="auto"/>
        </w:rPr>
      </w:pPr>
      <w:r>
        <w:rPr>
          <w:rFonts w:ascii="Arial" w:cs="Arial" w:eastAsia="Arial" w:hAnsi="Arial"/>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 the Preliminary Prospectus or a previously filed Issuer Free Writing Prospectus, (ii) any Issuer Free Writing Prospectus listed on Annex A or prepared pursuant to Section 3(c) or Section 4(c) above (including any electronic road show approved by the Company in advance in writing), or (iii) any free writing prospectus prepared by such underwriter and approved by the Company in advance in writing (each such free writing prospectus referred to in clauses (i) or (iii), an “Underwriter Free Writing Prospectus”).</w:t>
      </w:r>
    </w:p>
    <w:p>
      <w:pPr>
        <w:spacing w:after="0" w:line="191" w:lineRule="exact"/>
        <w:rPr>
          <w:rFonts w:ascii="Arial" w:cs="Arial" w:eastAsia="Arial" w:hAnsi="Arial"/>
          <w:sz w:val="18"/>
          <w:szCs w:val="18"/>
          <w:color w:val="auto"/>
        </w:rPr>
      </w:pPr>
    </w:p>
    <w:p>
      <w:pPr>
        <w:ind w:left="4" w:right="20" w:firstLine="987"/>
        <w:spacing w:after="0" w:line="257" w:lineRule="auto"/>
        <w:tabs>
          <w:tab w:leader="none" w:pos="1385" w:val="left"/>
        </w:tabs>
        <w:numPr>
          <w:ilvl w:val="2"/>
          <w:numId w:val="197"/>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Underwriters may use a term sheet substantially in the form of Annex C hereto without the consent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187" w:lineRule="exact"/>
        <w:rPr>
          <w:rFonts w:ascii="Arial" w:cs="Arial" w:eastAsia="Arial" w:hAnsi="Arial"/>
          <w:sz w:val="18"/>
          <w:szCs w:val="18"/>
          <w:color w:val="auto"/>
        </w:rPr>
      </w:pPr>
    </w:p>
    <w:p>
      <w:pPr>
        <w:ind w:left="4" w:right="360" w:firstLine="987"/>
        <w:spacing w:after="0" w:line="277" w:lineRule="auto"/>
        <w:tabs>
          <w:tab w:leader="none" w:pos="1375" w:val="left"/>
        </w:tabs>
        <w:numPr>
          <w:ilvl w:val="2"/>
          <w:numId w:val="197"/>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0" w:lineRule="exact"/>
        <w:rPr>
          <w:rFonts w:ascii="Arial" w:cs="Arial" w:eastAsia="Arial" w:hAnsi="Arial"/>
          <w:sz w:val="18"/>
          <w:szCs w:val="18"/>
          <w:color w:val="auto"/>
        </w:rPr>
      </w:pPr>
    </w:p>
    <w:p>
      <w:pPr>
        <w:ind w:left="4" w:firstLine="436"/>
        <w:spacing w:after="0" w:line="263" w:lineRule="auto"/>
        <w:tabs>
          <w:tab w:leader="none" w:pos="759"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183" w:lineRule="exact"/>
        <w:rPr>
          <w:rFonts w:ascii="Arial" w:cs="Arial" w:eastAsia="Arial" w:hAnsi="Arial"/>
          <w:sz w:val="18"/>
          <w:szCs w:val="18"/>
          <w:color w:val="auto"/>
        </w:rPr>
      </w:pPr>
    </w:p>
    <w:p>
      <w:pPr>
        <w:ind w:left="4" w:right="40" w:firstLine="987"/>
        <w:spacing w:after="0" w:line="296" w:lineRule="auto"/>
        <w:tabs>
          <w:tab w:leader="none" w:pos="1375" w:val="left"/>
        </w:tabs>
        <w:numPr>
          <w:ilvl w:val="2"/>
          <w:numId w:val="19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w:t>
      </w:r>
      <w:r>
        <w:rPr>
          <w:rFonts w:ascii="Arial" w:cs="Arial" w:eastAsia="Arial" w:hAnsi="Arial"/>
          <w:sz w:val="16"/>
          <w:szCs w:val="16"/>
          <w:i w:val="1"/>
          <w:iCs w:val="1"/>
          <w:color w:val="auto"/>
        </w:rPr>
        <w:t xml:space="preserve"> </w:t>
      </w:r>
      <w:r>
        <w:rPr>
          <w:rFonts w:ascii="Arial" w:cs="Arial" w:eastAsia="Arial" w:hAnsi="Arial"/>
          <w:sz w:val="16"/>
          <w:szCs w:val="16"/>
          <w:color w:val="auto"/>
        </w:rPr>
        <w:t>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61" w:lineRule="exact"/>
        <w:rPr>
          <w:rFonts w:ascii="Arial" w:cs="Arial" w:eastAsia="Arial" w:hAnsi="Arial"/>
          <w:sz w:val="16"/>
          <w:szCs w:val="16"/>
          <w:color w:val="auto"/>
        </w:rPr>
      </w:pPr>
    </w:p>
    <w:p>
      <w:pPr>
        <w:ind w:left="4" w:firstLine="987"/>
        <w:spacing w:after="0" w:line="259" w:lineRule="auto"/>
        <w:tabs>
          <w:tab w:leader="none" w:pos="1385" w:val="left"/>
        </w:tabs>
        <w:numPr>
          <w:ilvl w:val="2"/>
          <w:numId w:val="197"/>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13" w:name="page314"/>
    <w:bookmarkEnd w:id="313"/>
    <w:p>
      <w:pPr>
        <w:ind w:left="4" w:right="120" w:firstLine="987"/>
        <w:spacing w:after="0" w:line="275" w:lineRule="auto"/>
        <w:tabs>
          <w:tab w:leader="none" w:pos="1375" w:val="left"/>
        </w:tabs>
        <w:numPr>
          <w:ilvl w:val="1"/>
          <w:numId w:val="19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Material Adverse Change. </w:t>
      </w:r>
      <w:r>
        <w:rPr>
          <w:rFonts w:ascii="Arial" w:cs="Arial" w:eastAsia="Arial" w:hAnsi="Arial"/>
          <w:sz w:val="17"/>
          <w:szCs w:val="17"/>
          <w:color w:val="auto"/>
        </w:rPr>
        <w:t>No event or condition of a type described in Section 3(h) hereof shall have occurred or shall exist,</w:t>
      </w:r>
      <w:r>
        <w:rPr>
          <w:rFonts w:ascii="Arial" w:cs="Arial" w:eastAsia="Arial" w:hAnsi="Arial"/>
          <w:sz w:val="17"/>
          <w:szCs w:val="17"/>
          <w:i w:val="1"/>
          <w:iCs w:val="1"/>
          <w:color w:val="auto"/>
        </w:rPr>
        <w:t xml:space="preserve"> </w:t>
      </w:r>
      <w:r>
        <w:rPr>
          <w:rFonts w:ascii="Arial" w:cs="Arial" w:eastAsia="Arial" w:hAnsi="Arial"/>
          <w:sz w:val="17"/>
          <w:szCs w:val="17"/>
          <w:color w:val="auto"/>
        </w:rPr>
        <w:t>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76" w:lineRule="exact"/>
        <w:rPr>
          <w:rFonts w:ascii="Arial" w:cs="Arial" w:eastAsia="Arial" w:hAnsi="Arial"/>
          <w:sz w:val="17"/>
          <w:szCs w:val="17"/>
          <w:color w:val="auto"/>
        </w:rPr>
      </w:pPr>
    </w:p>
    <w:p>
      <w:pPr>
        <w:ind w:left="4" w:right="20" w:firstLine="987"/>
        <w:spacing w:after="0" w:line="284" w:lineRule="auto"/>
        <w:tabs>
          <w:tab w:leader="none" w:pos="1385"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or the Additional Closing Date,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may be, a certificate of the chief financial officer or chief accounting officer of the Company and one additional senior executive officer of the Company who is reasonably satisfactory to the Representatives, on behalf of the Company and not in their individual capacities, (i) confirming that such officers have carefully reviewed the Registration Statement, the Pricing Disclosure Package and the Prospectus and, to the knowledge of such officers, the representations set forth in Sections 3(b) and 3(f)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or the Additional Closing Date, as the case may be, and</w:t>
      </w:r>
    </w:p>
    <w:p>
      <w:pPr>
        <w:spacing w:after="0" w:line="2" w:lineRule="exact"/>
        <w:rPr>
          <w:rFonts w:ascii="Arial" w:cs="Arial" w:eastAsia="Arial" w:hAnsi="Arial"/>
          <w:sz w:val="16"/>
          <w:szCs w:val="16"/>
          <w:color w:val="auto"/>
        </w:rPr>
      </w:pPr>
    </w:p>
    <w:p>
      <w:pPr>
        <w:ind w:left="324" w:hanging="324"/>
        <w:spacing w:after="0"/>
        <w:tabs>
          <w:tab w:leader="none" w:pos="3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the effect set forth in paragraphs (a), (b) and (c) above.</w:t>
      </w:r>
    </w:p>
    <w:p>
      <w:pPr>
        <w:spacing w:after="0" w:line="210" w:lineRule="exact"/>
        <w:rPr>
          <w:rFonts w:ascii="Arial" w:cs="Arial" w:eastAsia="Arial" w:hAnsi="Arial"/>
          <w:sz w:val="18"/>
          <w:szCs w:val="18"/>
          <w:color w:val="auto"/>
        </w:rPr>
      </w:pPr>
    </w:p>
    <w:p>
      <w:pPr>
        <w:ind w:left="4" w:right="20" w:firstLine="987"/>
        <w:spacing w:after="0" w:line="254" w:lineRule="auto"/>
        <w:tabs>
          <w:tab w:leader="none" w:pos="1375" w:val="left"/>
        </w:tabs>
        <w:numPr>
          <w:ilvl w:val="1"/>
          <w:numId w:val="199"/>
        </w:numPr>
        <w:rPr>
          <w:rFonts w:ascii="Arial" w:cs="Arial" w:eastAsia="Arial" w:hAnsi="Arial"/>
          <w:sz w:val="18"/>
          <w:szCs w:val="18"/>
          <w:color w:val="auto"/>
        </w:rPr>
      </w:pPr>
      <w:r>
        <w:rPr>
          <w:rFonts w:ascii="Arial" w:cs="Arial" w:eastAsia="Arial" w:hAnsi="Arial"/>
          <w:sz w:val="18"/>
          <w:szCs w:val="18"/>
          <w:i w:val="1"/>
          <w:iCs w:val="1"/>
          <w:color w:val="auto"/>
        </w:rPr>
        <w:t>Comfort Letters</w:t>
      </w:r>
      <w:r>
        <w:rPr>
          <w:rFonts w:ascii="Arial" w:cs="Arial" w:eastAsia="Arial" w:hAnsi="Arial"/>
          <w:sz w:val="18"/>
          <w:szCs w:val="18"/>
          <w:color w:val="auto"/>
        </w:rPr>
        <w:t>. On the date of this Agreement and on the Closing Date or the Additional Closing Date, as the case may be, Ernst &amp;</w:t>
      </w:r>
      <w:r>
        <w:rPr>
          <w:rFonts w:ascii="Arial" w:cs="Arial" w:eastAsia="Arial" w:hAnsi="Arial"/>
          <w:sz w:val="18"/>
          <w:szCs w:val="18"/>
          <w:i w:val="1"/>
          <w:iCs w:val="1"/>
          <w:color w:val="auto"/>
        </w:rPr>
        <w:t xml:space="preserve"> </w:t>
      </w:r>
      <w:r>
        <w:rPr>
          <w:rFonts w:ascii="Arial" w:cs="Arial" w:eastAsia="Arial" w:hAnsi="Arial"/>
          <w:sz w:val="18"/>
          <w:szCs w:val="18"/>
          <w:color w:val="auto"/>
        </w:rPr>
        <w:t>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194" w:lineRule="exact"/>
        <w:rPr>
          <w:rFonts w:ascii="Arial" w:cs="Arial" w:eastAsia="Arial" w:hAnsi="Arial"/>
          <w:sz w:val="18"/>
          <w:szCs w:val="18"/>
          <w:color w:val="auto"/>
        </w:rPr>
      </w:pPr>
    </w:p>
    <w:p>
      <w:pPr>
        <w:jc w:val="both"/>
        <w:ind w:left="4" w:right="60" w:firstLine="987"/>
        <w:spacing w:after="0" w:line="311" w:lineRule="auto"/>
        <w:tabs>
          <w:tab w:leader="none" w:pos="1355" w:val="left"/>
        </w:tabs>
        <w:numPr>
          <w:ilvl w:val="1"/>
          <w:numId w:val="199"/>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Company. </w:t>
      </w:r>
      <w:r>
        <w:rPr>
          <w:rFonts w:ascii="Arial" w:cs="Arial" w:eastAsia="Arial" w:hAnsi="Arial"/>
          <w:sz w:val="16"/>
          <w:szCs w:val="16"/>
          <w:color w:val="auto"/>
        </w:rPr>
        <w:t>Latham &amp; Watkins LLP counsel for the Company, shall have furnished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148" w:lineRule="exact"/>
        <w:rPr>
          <w:rFonts w:ascii="Arial" w:cs="Arial" w:eastAsia="Arial" w:hAnsi="Arial"/>
          <w:sz w:val="16"/>
          <w:szCs w:val="16"/>
          <w:color w:val="auto"/>
        </w:rPr>
      </w:pPr>
    </w:p>
    <w:p>
      <w:pPr>
        <w:jc w:val="both"/>
        <w:ind w:left="4" w:right="140" w:firstLine="987"/>
        <w:spacing w:after="0" w:line="259" w:lineRule="auto"/>
        <w:tabs>
          <w:tab w:leader="none" w:pos="1385" w:val="left"/>
        </w:tabs>
        <w:numPr>
          <w:ilvl w:val="1"/>
          <w:numId w:val="199"/>
        </w:numPr>
        <w:rPr>
          <w:rFonts w:ascii="Arial" w:cs="Arial" w:eastAsia="Arial" w:hAnsi="Arial"/>
          <w:sz w:val="18"/>
          <w:szCs w:val="18"/>
          <w:color w:val="auto"/>
        </w:rPr>
      </w:pPr>
      <w:r>
        <w:rPr>
          <w:rFonts w:ascii="Arial" w:cs="Arial" w:eastAsia="Arial" w:hAnsi="Arial"/>
          <w:sz w:val="18"/>
          <w:szCs w:val="18"/>
          <w:i w:val="1"/>
          <w:iCs w:val="1"/>
          <w:color w:val="auto"/>
        </w:rPr>
        <w:t>Opinion of Intellectual Property Counsels for the Company</w:t>
      </w:r>
      <w:r>
        <w:rPr>
          <w:rFonts w:ascii="Arial" w:cs="Arial" w:eastAsia="Arial" w:hAnsi="Arial"/>
          <w:sz w:val="18"/>
          <w:szCs w:val="18"/>
          <w:color w:val="auto"/>
        </w:rPr>
        <w:t>. Each of Nixon Peabody LLP and Seed IP Law Group LLP,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counsels for the Company, shall have furnished 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186" w:lineRule="exact"/>
        <w:rPr>
          <w:rFonts w:ascii="Arial" w:cs="Arial" w:eastAsia="Arial" w:hAnsi="Arial"/>
          <w:sz w:val="18"/>
          <w:szCs w:val="18"/>
          <w:color w:val="auto"/>
        </w:rPr>
      </w:pPr>
    </w:p>
    <w:p>
      <w:pPr>
        <w:ind w:left="4" w:firstLine="987"/>
        <w:spacing w:after="0" w:line="259" w:lineRule="auto"/>
        <w:tabs>
          <w:tab w:leader="none" w:pos="1385" w:val="left"/>
        </w:tabs>
        <w:numPr>
          <w:ilvl w:val="1"/>
          <w:numId w:val="199"/>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Additional Closing Date, as the case may be, an opinion and 10b-5 statement, addressed to the Underwriters, of Cooley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14" w:name="page315"/>
    <w:bookmarkEnd w:id="314"/>
    <w:p>
      <w:pPr>
        <w:ind w:right="200" w:firstLine="987"/>
        <w:spacing w:after="0" w:line="301" w:lineRule="auto"/>
        <w:tabs>
          <w:tab w:leader="none" w:pos="1341"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Legal Impediment to Issuance and Sale. </w:t>
      </w:r>
      <w:r>
        <w:rPr>
          <w:rFonts w:ascii="Arial" w:cs="Arial" w:eastAsia="Arial" w:hAnsi="Arial"/>
          <w:sz w:val="16"/>
          <w:szCs w:val="16"/>
          <w:color w:val="auto"/>
        </w:rPr>
        <w:t>No action shall have been taken and no statute, rule, regulation or order shall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157" w:lineRule="exact"/>
        <w:rPr>
          <w:rFonts w:ascii="Arial" w:cs="Arial" w:eastAsia="Arial" w:hAnsi="Arial"/>
          <w:sz w:val="16"/>
          <w:szCs w:val="16"/>
          <w:color w:val="auto"/>
        </w:rPr>
      </w:pPr>
    </w:p>
    <w:p>
      <w:pPr>
        <w:ind w:right="240" w:firstLine="987"/>
        <w:spacing w:after="0" w:line="259" w:lineRule="auto"/>
        <w:tabs>
          <w:tab w:leader="none" w:pos="1341"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186" w:lineRule="exact"/>
        <w:rPr>
          <w:rFonts w:ascii="Arial" w:cs="Arial" w:eastAsia="Arial" w:hAnsi="Arial"/>
          <w:sz w:val="18"/>
          <w:szCs w:val="18"/>
          <w:color w:val="auto"/>
        </w:rPr>
      </w:pPr>
    </w:p>
    <w:p>
      <w:pPr>
        <w:ind w:firstLine="987"/>
        <w:spacing w:after="0" w:line="277" w:lineRule="auto"/>
        <w:tabs>
          <w:tab w:leader="none" w:pos="1381"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the Additional Closing Date, as the case may be,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Market, subject to official notice of issuance.</w:t>
      </w:r>
    </w:p>
    <w:p>
      <w:pPr>
        <w:spacing w:after="0" w:line="170" w:lineRule="exact"/>
        <w:rPr>
          <w:rFonts w:ascii="Arial" w:cs="Arial" w:eastAsia="Arial" w:hAnsi="Arial"/>
          <w:sz w:val="18"/>
          <w:szCs w:val="18"/>
          <w:color w:val="auto"/>
        </w:rPr>
      </w:pPr>
    </w:p>
    <w:p>
      <w:pPr>
        <w:ind w:right="60" w:firstLine="987"/>
        <w:spacing w:after="0" w:line="259" w:lineRule="auto"/>
        <w:tabs>
          <w:tab w:leader="none" w:pos="1341"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A hereto, between you and the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substantially all of the securityholders of the Company, officers and directors of the Company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186" w:lineRule="exact"/>
        <w:rPr>
          <w:rFonts w:ascii="Arial" w:cs="Arial" w:eastAsia="Arial" w:hAnsi="Arial"/>
          <w:sz w:val="18"/>
          <w:szCs w:val="18"/>
          <w:color w:val="auto"/>
        </w:rPr>
      </w:pPr>
    </w:p>
    <w:p>
      <w:pPr>
        <w:ind w:right="60" w:firstLine="987"/>
        <w:spacing w:after="0" w:line="259" w:lineRule="auto"/>
        <w:tabs>
          <w:tab w:leader="none" w:pos="1431"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Regarding Beneficial Owners. </w:t>
      </w:r>
      <w:r>
        <w:rPr>
          <w:rFonts w:ascii="Arial" w:cs="Arial" w:eastAsia="Arial" w:hAnsi="Arial"/>
          <w:sz w:val="18"/>
          <w:szCs w:val="18"/>
          <w:color w:val="auto"/>
        </w:rPr>
        <w:t>The Company will deliver to each Underwriter (or its agent), on the date of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6" w:lineRule="exact"/>
        <w:rPr>
          <w:rFonts w:ascii="Arial" w:cs="Arial" w:eastAsia="Arial" w:hAnsi="Arial"/>
          <w:sz w:val="18"/>
          <w:szCs w:val="18"/>
          <w:color w:val="auto"/>
        </w:rPr>
      </w:pPr>
    </w:p>
    <w:p>
      <w:pPr>
        <w:ind w:right="180" w:firstLine="987"/>
        <w:spacing w:after="0" w:line="308" w:lineRule="auto"/>
        <w:tabs>
          <w:tab w:leader="none" w:pos="1381"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 xml:space="preserve">Additional Documents. </w:t>
      </w:r>
      <w:r>
        <w:rPr>
          <w:rFonts w:ascii="Arial" w:cs="Arial" w:eastAsia="Arial" w:hAnsi="Arial"/>
          <w:sz w:val="17"/>
          <w:szCs w:val="17"/>
          <w:color w:val="auto"/>
        </w:rPr>
        <w:t>On or prior to the Closing Date or the Additional Closing Date, as the case may be, the Company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to the Representatives such further certificates and documents as the Representatives may reasonably request.</w:t>
      </w:r>
    </w:p>
    <w:p>
      <w:pPr>
        <w:spacing w:after="0" w:line="146"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278" w:lineRule="exact"/>
        <w:rPr>
          <w:sz w:val="20"/>
          <w:szCs w:val="20"/>
          <w:color w:val="auto"/>
        </w:rPr>
      </w:pPr>
    </w:p>
    <w:p>
      <w:pPr>
        <w:ind w:left="760" w:hanging="324"/>
        <w:spacing w:after="0"/>
        <w:tabs>
          <w:tab w:leader="none" w:pos="76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87"/>
        <w:spacing w:after="0" w:line="271" w:lineRule="auto"/>
        <w:tabs>
          <w:tab w:leader="none" w:pos="1371" w:val="left"/>
        </w:tabs>
        <w:numPr>
          <w:ilvl w:val="1"/>
          <w:numId w:val="201"/>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15" w:name="page316"/>
    <w:bookmarkEnd w:id="31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Issuer Free Writing Prospectus, any “issuer information” filed or required to be filed pursuant to Rule 433(d) under the Securities Act, any Written Testing-the-Waters Communication prepared or authorized by the Company,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165" w:lineRule="exact"/>
        <w:rPr>
          <w:sz w:val="20"/>
          <w:szCs w:val="20"/>
          <w:color w:val="auto"/>
        </w:rPr>
      </w:pPr>
    </w:p>
    <w:p>
      <w:pPr>
        <w:ind w:right="40" w:firstLine="987"/>
        <w:spacing w:after="0" w:line="269" w:lineRule="auto"/>
        <w:tabs>
          <w:tab w:leader="none" w:pos="1381"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Underwriter agrees, severally and not jointly, to indemnify and hold harmless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sixteenth and seventeenth paragraphs under the caption “Underwriting.”</w:t>
      </w:r>
    </w:p>
    <w:p>
      <w:pPr>
        <w:spacing w:after="0" w:line="181" w:lineRule="exact"/>
        <w:rPr>
          <w:rFonts w:ascii="Arial" w:cs="Arial" w:eastAsia="Arial" w:hAnsi="Arial"/>
          <w:sz w:val="17"/>
          <w:szCs w:val="17"/>
          <w:color w:val="auto"/>
        </w:rPr>
      </w:pPr>
    </w:p>
    <w:p>
      <w:pPr>
        <w:ind w:firstLine="987"/>
        <w:spacing w:after="0" w:line="268" w:lineRule="auto"/>
        <w:tabs>
          <w:tab w:leader="none" w:pos="1371"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316" w:name="page317"/>
    <w:bookmarkEnd w:id="31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1" w:lineRule="exact"/>
        <w:rPr>
          <w:sz w:val="20"/>
          <w:szCs w:val="20"/>
          <w:color w:val="auto"/>
        </w:rPr>
      </w:pPr>
    </w:p>
    <w:p>
      <w:pPr>
        <w:ind w:right="80" w:firstLine="987"/>
        <w:spacing w:after="0" w:line="286" w:lineRule="auto"/>
        <w:tabs>
          <w:tab w:leader="none" w:pos="1381" w:val="left"/>
        </w:tabs>
        <w:numPr>
          <w:ilvl w:val="0"/>
          <w:numId w:val="203"/>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or (b) above is unavailable to an Indemnified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0" w:lineRule="exact"/>
        <w:rPr>
          <w:rFonts w:ascii="Arial" w:cs="Arial" w:eastAsia="Arial" w:hAnsi="Arial"/>
          <w:sz w:val="16"/>
          <w:szCs w:val="16"/>
          <w:color w:val="auto"/>
        </w:rPr>
      </w:pPr>
    </w:p>
    <w:p>
      <w:pPr>
        <w:ind w:right="220" w:firstLine="987"/>
        <w:spacing w:after="0" w:line="263" w:lineRule="auto"/>
        <w:tabs>
          <w:tab w:leader="none" w:pos="1371"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Liability. </w:t>
      </w:r>
      <w:r>
        <w:rPr>
          <w:rFonts w:ascii="Arial" w:cs="Arial" w:eastAsia="Arial" w:hAnsi="Arial"/>
          <w:sz w:val="18"/>
          <w:szCs w:val="18"/>
          <w:color w:val="auto"/>
        </w:rPr>
        <w:t>The Company and the Underwriters agree that it would not be just and equitable if contribution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paragraph (d) above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(even if the Underwriters were treated as one entity for such purpose) or by any other method of allocation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17" w:name="page318"/>
    <w:bookmarkEnd w:id="317"/>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66" w:lineRule="exact"/>
        <w:rPr>
          <w:sz w:val="20"/>
          <w:szCs w:val="20"/>
          <w:color w:val="auto"/>
        </w:rPr>
      </w:pPr>
    </w:p>
    <w:p>
      <w:pPr>
        <w:ind w:left="4" w:right="400" w:firstLine="987"/>
        <w:spacing w:after="0" w:line="277" w:lineRule="auto"/>
        <w:tabs>
          <w:tab w:leader="none" w:pos="1355" w:val="left"/>
        </w:tabs>
        <w:numPr>
          <w:ilvl w:val="2"/>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otherwise be available to any Indemnified Person at law or in equity.</w:t>
      </w:r>
    </w:p>
    <w:p>
      <w:pPr>
        <w:spacing w:after="0" w:line="170" w:lineRule="exact"/>
        <w:rPr>
          <w:rFonts w:ascii="Arial" w:cs="Arial" w:eastAsia="Arial" w:hAnsi="Arial"/>
          <w:sz w:val="18"/>
          <w:szCs w:val="18"/>
          <w:color w:val="auto"/>
        </w:rPr>
      </w:pPr>
    </w:p>
    <w:p>
      <w:pPr>
        <w:ind w:left="764" w:hanging="324"/>
        <w:spacing w:after="0"/>
        <w:tabs>
          <w:tab w:leader="none" w:pos="764"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25" w:lineRule="exact"/>
        <w:rPr>
          <w:rFonts w:ascii="Arial" w:cs="Arial" w:eastAsia="Arial" w:hAnsi="Arial"/>
          <w:sz w:val="18"/>
          <w:szCs w:val="18"/>
          <w:color w:val="auto"/>
        </w:rPr>
      </w:pPr>
    </w:p>
    <w:p>
      <w:pPr>
        <w:ind w:left="4" w:right="160" w:firstLine="436"/>
        <w:spacing w:after="0" w:line="291" w:lineRule="auto"/>
        <w:tabs>
          <w:tab w:leader="none" w:pos="759"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w:t>
      </w:r>
    </w:p>
    <w:p>
      <w:pPr>
        <w:ind w:left="224" w:hanging="224"/>
        <w:spacing w:after="0"/>
        <w:tabs>
          <w:tab w:leader="none" w:pos="22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trading generally shall have been suspended or materially limited on or by any of the New York Stock Exchange or The Nasdaq Stock Market;</w:t>
      </w:r>
    </w:p>
    <w:p>
      <w:pPr>
        <w:spacing w:after="0" w:line="20" w:lineRule="exact"/>
        <w:rPr>
          <w:rFonts w:ascii="Arial" w:cs="Arial" w:eastAsia="Arial" w:hAnsi="Arial"/>
          <w:sz w:val="17"/>
          <w:szCs w:val="17"/>
          <w:color w:val="auto"/>
        </w:rPr>
      </w:pPr>
    </w:p>
    <w:p>
      <w:pPr>
        <w:ind w:left="4" w:right="80" w:hanging="4"/>
        <w:spacing w:after="0" w:line="270" w:lineRule="auto"/>
        <w:tabs>
          <w:tab w:leader="none" w:pos="26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286" w:lineRule="exact"/>
        <w:rPr>
          <w:rFonts w:ascii="Arial" w:cs="Arial" w:eastAsia="Arial" w:hAnsi="Arial"/>
          <w:sz w:val="17"/>
          <w:szCs w:val="17"/>
          <w:color w:val="auto"/>
        </w:rPr>
      </w:pPr>
    </w:p>
    <w:p>
      <w:pPr>
        <w:ind w:left="844" w:hanging="404"/>
        <w:spacing w:after="0"/>
        <w:tabs>
          <w:tab w:leader="none" w:pos="844"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987"/>
        <w:spacing w:after="0" w:line="286" w:lineRule="auto"/>
        <w:tabs>
          <w:tab w:leader="none" w:pos="1375" w:val="left"/>
        </w:tabs>
        <w:numPr>
          <w:ilvl w:val="2"/>
          <w:numId w:val="206"/>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w:t>
      </w:r>
    </w:p>
    <w:p>
      <w:pPr>
        <w:spacing w:after="0" w:line="1" w:lineRule="exact"/>
        <w:rPr>
          <w:rFonts w:ascii="Arial" w:cs="Arial" w:eastAsia="Arial" w:hAnsi="Arial"/>
          <w:sz w:val="16"/>
          <w:szCs w:val="16"/>
          <w:color w:val="auto"/>
        </w:rPr>
      </w:pPr>
    </w:p>
    <w:p>
      <w:pPr>
        <w:ind w:left="4"/>
        <w:spacing w:after="0" w:line="288" w:lineRule="auto"/>
        <w:rPr>
          <w:rFonts w:ascii="Arial" w:cs="Arial" w:eastAsia="Arial" w:hAnsi="Arial"/>
          <w:sz w:val="16"/>
          <w:szCs w:val="16"/>
          <w:color w:val="auto"/>
        </w:rPr>
      </w:pPr>
      <w:r>
        <w:rPr>
          <w:rFonts w:ascii="Arial" w:cs="Arial" w:eastAsia="Arial" w:hAnsi="Arial"/>
          <w:sz w:val="16"/>
          <w:szCs w:val="16"/>
          <w:color w:val="auto"/>
        </w:rPr>
        <w:t>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18" w:name="page319"/>
    <w:bookmarkEnd w:id="318"/>
    <w:p>
      <w:pPr>
        <w:ind w:right="240" w:firstLine="987"/>
        <w:spacing w:after="0" w:line="293" w:lineRule="auto"/>
        <w:tabs>
          <w:tab w:leader="none" w:pos="1381"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64" w:lineRule="exact"/>
        <w:rPr>
          <w:rFonts w:ascii="Arial" w:cs="Arial" w:eastAsia="Arial" w:hAnsi="Arial"/>
          <w:sz w:val="16"/>
          <w:szCs w:val="16"/>
          <w:color w:val="auto"/>
        </w:rPr>
      </w:pPr>
    </w:p>
    <w:p>
      <w:pPr>
        <w:ind w:left="1360" w:hanging="373"/>
        <w:spacing w:after="0"/>
        <w:tabs>
          <w:tab w:leader="none" w:pos="13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80" w:lineRule="exact"/>
        <w:rPr>
          <w:sz w:val="20"/>
          <w:szCs w:val="20"/>
          <w:color w:val="auto"/>
        </w:rPr>
      </w:pPr>
    </w:p>
    <w:p>
      <w:pPr>
        <w:ind w:right="260" w:firstLine="987"/>
        <w:spacing w:after="0" w:line="277" w:lineRule="auto"/>
        <w:tabs>
          <w:tab w:leader="none" w:pos="138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278" w:lineRule="exact"/>
        <w:rPr>
          <w:rFonts w:ascii="Arial" w:cs="Arial" w:eastAsia="Arial" w:hAnsi="Arial"/>
          <w:sz w:val="18"/>
          <w:szCs w:val="18"/>
          <w:color w:val="auto"/>
        </w:rPr>
      </w:pPr>
    </w:p>
    <w:p>
      <w:pPr>
        <w:ind w:left="840" w:hanging="404"/>
        <w:spacing w:after="0"/>
        <w:tabs>
          <w:tab w:leader="none" w:pos="84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right="60" w:firstLine="987"/>
        <w:spacing w:after="0" w:line="268" w:lineRule="auto"/>
        <w:tabs>
          <w:tab w:leader="none" w:pos="1371" w:val="left"/>
        </w:tabs>
        <w:numPr>
          <w:ilvl w:val="1"/>
          <w:numId w:val="209"/>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(including the fees and expenses of counsel for the Underwriters); provided, that the aggregate amount payable by the Company pursuant to clauses (iv) and (vii) shall not exceed $40,000 (excluding filing fees); and (viii) all expenses incurred by the Company in connection with any “road show” presentation to potential investors; (ix) all expenses and application fees related to the listing of the Shares on the Nasdaq Market.</w:t>
      </w:r>
    </w:p>
    <w:p>
      <w:pPr>
        <w:spacing w:after="0" w:line="186" w:lineRule="exact"/>
        <w:rPr>
          <w:rFonts w:ascii="Arial" w:cs="Arial" w:eastAsia="Arial" w:hAnsi="Arial"/>
          <w:sz w:val="17"/>
          <w:szCs w:val="17"/>
          <w:color w:val="auto"/>
        </w:rPr>
      </w:pPr>
    </w:p>
    <w:p>
      <w:pPr>
        <w:ind w:right="40" w:firstLine="987"/>
        <w:spacing w:after="0" w:line="277" w:lineRule="auto"/>
        <w:tabs>
          <w:tab w:leader="none" w:pos="138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(i) this Agreement is terminated pursuant to Section 9, (ii) the Company for any reason fails to tender the Shares for delivery to the Underwriters or (iii) the Underwriters decline to purchase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19" w:name="page320"/>
    <w:bookmarkEnd w:id="319"/>
    <w:p>
      <w:pPr>
        <w:ind w:right="3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for any reason permitted under this Agreement, the Company agrees to reimburse the Underwriters for all reasonable and documented out-of-pocket costs and expenses (including the reasonable and documented fees and expenses of their counsel) incurred by the Underwriters in connection with this Agreement and the offering contemplated hereby. For the avoidance of doubt, the Company will not be required to pay or reimburse any costs, fees or expenses incurred by any Underwriter that defaults on its obligations to purchase the Shares, as described in Section 10 hereof.</w:t>
      </w:r>
    </w:p>
    <w:p>
      <w:pPr>
        <w:spacing w:after="0" w:line="188" w:lineRule="exact"/>
        <w:rPr>
          <w:sz w:val="20"/>
          <w:szCs w:val="20"/>
          <w:color w:val="auto"/>
        </w:rPr>
      </w:pPr>
    </w:p>
    <w:p>
      <w:pPr>
        <w:ind w:firstLine="436"/>
        <w:spacing w:after="0" w:line="257" w:lineRule="auto"/>
        <w:tabs>
          <w:tab w:leader="none" w:pos="845"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7" w:lineRule="exact"/>
        <w:rPr>
          <w:rFonts w:ascii="Arial" w:cs="Arial" w:eastAsia="Arial" w:hAnsi="Arial"/>
          <w:sz w:val="18"/>
          <w:szCs w:val="18"/>
          <w:color w:val="auto"/>
        </w:rPr>
      </w:pPr>
    </w:p>
    <w:p>
      <w:pPr>
        <w:ind w:right="40" w:firstLine="436"/>
        <w:spacing w:after="0" w:line="257" w:lineRule="auto"/>
        <w:tabs>
          <w:tab w:leader="none" w:pos="845"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7" w:lineRule="exact"/>
        <w:rPr>
          <w:rFonts w:ascii="Arial" w:cs="Arial" w:eastAsia="Arial" w:hAnsi="Arial"/>
          <w:sz w:val="18"/>
          <w:szCs w:val="18"/>
          <w:color w:val="auto"/>
        </w:rPr>
      </w:pPr>
    </w:p>
    <w:p>
      <w:pPr>
        <w:ind w:right="40" w:firstLine="436"/>
        <w:spacing w:after="0" w:line="255" w:lineRule="auto"/>
        <w:tabs>
          <w:tab w:leader="none" w:pos="845"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 In the event that the Company has no subsidiaries, or only one subsidiary, then all references herein to “subsidiaries” of the Company shall be deemed to refer to no subsidiary, or such single subsidiary, mutatis mutandis.</w:t>
      </w:r>
    </w:p>
    <w:p>
      <w:pPr>
        <w:spacing w:after="0" w:line="192" w:lineRule="exact"/>
        <w:rPr>
          <w:rFonts w:ascii="Arial" w:cs="Arial" w:eastAsia="Arial" w:hAnsi="Arial"/>
          <w:sz w:val="18"/>
          <w:szCs w:val="18"/>
          <w:color w:val="auto"/>
        </w:rPr>
      </w:pPr>
    </w:p>
    <w:p>
      <w:pPr>
        <w:ind w:firstLine="436"/>
        <w:spacing w:after="0" w:line="259" w:lineRule="auto"/>
        <w:tabs>
          <w:tab w:leader="none" w:pos="845"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94" w:lineRule="exact"/>
        <w:rPr>
          <w:rFonts w:ascii="Arial" w:cs="Arial" w:eastAsia="Arial" w:hAnsi="Arial"/>
          <w:sz w:val="18"/>
          <w:szCs w:val="18"/>
          <w:color w:val="auto"/>
        </w:rPr>
      </w:pPr>
    </w:p>
    <w:p>
      <w:pPr>
        <w:ind w:left="840" w:hanging="404"/>
        <w:spacing w:after="0"/>
        <w:tabs>
          <w:tab w:leader="none" w:pos="84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55" w:lineRule="auto"/>
        <w:tabs>
          <w:tab w:leader="none" w:pos="1371" w:val="left"/>
        </w:tabs>
        <w:numPr>
          <w:ilvl w:val="1"/>
          <w:numId w:val="210"/>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All notices and other communications hereunder shall be in writing and shall be deemed to have been duly given if mailed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transmitted and confirmed by any standard form of telecommunication. Notices to the Underwriters shall be given to the Representatives c/o J.P. Morgan Securities LLC, 383 Madison Avenue, New York, New York 10179 (fax: (212) 622-8358), Attention: Equity Syndicate Desk; and c/o BofA Securities, Inc., One Bryant Park, New York, New York 10036, Facsimile: (646) 855 3073, Attention: Syndicate Department (email: [***]) with a copy to ECM Legal (email: [***]). Notices to the Company shall be given to it at Neumora Therapeutics, Inc., 490 Arsenal Way, Suite 200, Watertown, Massachusetts 02472; Attention: Chief Financial Officer.</w:t>
      </w:r>
    </w:p>
    <w:p>
      <w:pPr>
        <w:spacing w:after="0" w:line="192" w:lineRule="exact"/>
        <w:rPr>
          <w:rFonts w:ascii="Arial" w:cs="Arial" w:eastAsia="Arial" w:hAnsi="Arial"/>
          <w:sz w:val="18"/>
          <w:szCs w:val="18"/>
          <w:color w:val="auto"/>
        </w:rPr>
      </w:pPr>
    </w:p>
    <w:p>
      <w:pPr>
        <w:ind w:right="140" w:firstLine="987"/>
        <w:spacing w:after="0" w:line="277" w:lineRule="auto"/>
        <w:tabs>
          <w:tab w:leader="none" w:pos="1381" w:val="left"/>
        </w:tabs>
        <w:numPr>
          <w:ilvl w:val="1"/>
          <w:numId w:val="21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w:t>
      </w:r>
      <w:r>
        <w:rPr>
          <w:rFonts w:ascii="Arial" w:cs="Arial" w:eastAsia="Arial" w:hAnsi="Arial"/>
          <w:sz w:val="18"/>
          <w:szCs w:val="18"/>
          <w:i w:val="1"/>
          <w:iCs w:val="1"/>
          <w:color w:val="auto"/>
        </w:rPr>
        <w:t xml:space="preserve"> </w:t>
      </w:r>
      <w:r>
        <w:rPr>
          <w:rFonts w:ascii="Arial" w:cs="Arial" w:eastAsia="Arial" w:hAnsi="Arial"/>
          <w:sz w:val="18"/>
          <w:szCs w:val="18"/>
          <w:color w:val="auto"/>
        </w:rPr>
        <w:t>by and construed in accordance with the laws of the State of New York.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20" w:name="page321"/>
    <w:bookmarkEnd w:id="320"/>
    <w:p>
      <w:pPr>
        <w:ind w:left="-80" w:right="40" w:firstLine="987"/>
        <w:spacing w:after="0" w:line="296" w:lineRule="auto"/>
        <w:tabs>
          <w:tab w:leader="none" w:pos="1291"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to Jurisdiction</w:t>
      </w:r>
      <w:r>
        <w:rPr>
          <w:rFonts w:ascii="Arial" w:cs="Arial" w:eastAsia="Arial" w:hAnsi="Arial"/>
          <w:sz w:val="16"/>
          <w:szCs w:val="16"/>
          <w:color w:val="auto"/>
        </w:rPr>
        <w:t>. The Company hereby submits to the exclusive jurisdiction of the U.S. federal and New York state courts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61" w:lineRule="exact"/>
        <w:rPr>
          <w:rFonts w:ascii="Arial" w:cs="Arial" w:eastAsia="Arial" w:hAnsi="Arial"/>
          <w:sz w:val="16"/>
          <w:szCs w:val="16"/>
          <w:color w:val="auto"/>
        </w:rPr>
      </w:pPr>
    </w:p>
    <w:p>
      <w:pPr>
        <w:ind w:left="-80" w:right="280" w:firstLine="987"/>
        <w:spacing w:after="0" w:line="277" w:lineRule="auto"/>
        <w:tabs>
          <w:tab w:leader="none" w:pos="1301"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waives any right to trial by jury in any suit or proceeding arising out of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this Agreement.</w:t>
      </w:r>
    </w:p>
    <w:p>
      <w:pPr>
        <w:spacing w:after="0" w:line="170" w:lineRule="exact"/>
        <w:rPr>
          <w:rFonts w:ascii="Arial" w:cs="Arial" w:eastAsia="Arial" w:hAnsi="Arial"/>
          <w:sz w:val="18"/>
          <w:szCs w:val="18"/>
          <w:color w:val="auto"/>
        </w:rPr>
      </w:pPr>
    </w:p>
    <w:p>
      <w:pPr>
        <w:ind w:left="1280" w:hanging="373"/>
        <w:spacing w:after="0"/>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40" w:firstLine="1979"/>
        <w:spacing w:after="0" w:line="259" w:lineRule="auto"/>
        <w:tabs>
          <w:tab w:leader="none" w:pos="225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left="-80" w:firstLine="1979"/>
        <w:spacing w:after="0" w:line="259" w:lineRule="auto"/>
        <w:tabs>
          <w:tab w:leader="none" w:pos="230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used in this Section 16(e):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560" w:hanging="212"/>
        <w:spacing w:after="0"/>
        <w:tabs>
          <w:tab w:leader="none" w:pos="15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620" w:hanging="272"/>
        <w:spacing w:after="0"/>
        <w:tabs>
          <w:tab w:leader="none" w:pos="1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660" w:hanging="312"/>
        <w:spacing w:after="0"/>
        <w:tabs>
          <w:tab w:leader="none" w:pos="1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900" w:right="4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62" w:lineRule="exact"/>
        <w:rPr>
          <w:sz w:val="20"/>
          <w:szCs w:val="20"/>
          <w:color w:val="auto"/>
        </w:rPr>
      </w:pPr>
    </w:p>
    <w:p>
      <w:pPr>
        <w:ind w:left="900" w:right="160"/>
        <w:spacing w:after="0" w:line="342" w:lineRule="auto"/>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4" w:lineRule="exact"/>
        <w:rPr>
          <w:sz w:val="20"/>
          <w:szCs w:val="20"/>
          <w:color w:val="auto"/>
        </w:rPr>
      </w:pPr>
    </w:p>
    <w:p>
      <w:pPr>
        <w:ind w:left="-80" w:right="40" w:firstLine="987"/>
        <w:spacing w:after="0" w:line="263" w:lineRule="auto"/>
        <w:tabs>
          <w:tab w:leader="none" w:pos="1271"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any number of counterparts, each of which shall be deemed to be an original, but</w:t>
      </w:r>
      <w:r>
        <w:rPr>
          <w:rFonts w:ascii="Arial" w:cs="Arial" w:eastAsia="Arial" w:hAnsi="Arial"/>
          <w:sz w:val="18"/>
          <w:szCs w:val="18"/>
          <w:i w:val="1"/>
          <w:iCs w:val="1"/>
          <w:color w:val="auto"/>
        </w:rPr>
        <w:t xml:space="preserve"> </w:t>
      </w:r>
      <w:r>
        <w:rPr>
          <w:rFonts w:ascii="Arial" w:cs="Arial" w:eastAsia="Arial" w:hAnsi="Arial"/>
          <w:sz w:val="18"/>
          <w:szCs w:val="18"/>
          <w:color w:val="auto"/>
        </w:rPr>
        <w:t>all such counterparts shall together constitute one and the same Agreement. Electronic signatures complying with the New York Electronic Signatures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40"/>
          </w:cols>
          <w:pgMar w:left="520" w:top="274" w:right="539" w:bottom="1440" w:gutter="0" w:footer="0" w:header="0"/>
        </w:sectPr>
      </w:pPr>
    </w:p>
    <w:bookmarkStart w:id="321" w:name="page322"/>
    <w:bookmarkEnd w:id="32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4" w:lineRule="exact"/>
        <w:rPr>
          <w:sz w:val="20"/>
          <w:szCs w:val="20"/>
          <w:color w:val="auto"/>
        </w:rPr>
      </w:pPr>
    </w:p>
    <w:p>
      <w:pPr>
        <w:ind w:right="100" w:firstLine="987"/>
        <w:spacing w:after="0" w:line="277" w:lineRule="auto"/>
        <w:tabs>
          <w:tab w:leader="none" w:pos="1381"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440" w:firstLine="987"/>
        <w:spacing w:after="0" w:line="277" w:lineRule="auto"/>
        <w:tabs>
          <w:tab w:leader="none" w:pos="1381"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or interpretation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22" w:name="page323"/>
    <w:bookmarkEnd w:id="32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NEUMORA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660"/>
          </w:cols>
          <w:pgMar w:left="440" w:top="274" w:right="79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BOFA SECURITIES,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Authorized Signatory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BOFA SECURITIES,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019"/>
          </w:cols>
          <w:pgMar w:left="440" w:top="274" w:right="1440" w:bottom="1440" w:gutter="0" w:footer="0" w:header="0"/>
        </w:sectPr>
      </w:pPr>
    </w:p>
    <w:bookmarkStart w:id="324" w:name="page325"/>
    <w:bookmarkEnd w:id="32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52" w:lineRule="exact"/>
        <w:rPr>
          <w:sz w:val="20"/>
          <w:szCs w:val="20"/>
          <w:color w:val="auto"/>
        </w:rPr>
      </w:pPr>
    </w:p>
    <w:p>
      <w:pPr>
        <w:ind w:left="760"/>
        <w:spacing w:after="0"/>
        <w:tabs>
          <w:tab w:leader="none" w:pos="7140" w:val="left"/>
        </w:tabs>
        <w:rPr>
          <w:sz w:val="20"/>
          <w:szCs w:val="20"/>
          <w:color w:val="auto"/>
        </w:rPr>
      </w:pPr>
      <w:r>
        <w:rPr>
          <w:rFonts w:ascii="Arial" w:cs="Arial" w:eastAsia="Arial" w:hAnsi="Arial"/>
          <w:sz w:val="12"/>
          <w:szCs w:val="12"/>
          <w:u w:val="single" w:color="auto"/>
          <w:color w:val="auto"/>
        </w:rPr>
        <w:t>Underwriter</w:t>
      </w:r>
      <w:r>
        <w:rPr>
          <w:sz w:val="20"/>
          <w:szCs w:val="20"/>
          <w:color w:val="auto"/>
        </w:rPr>
        <w:tab/>
      </w:r>
      <w:r>
        <w:rPr>
          <w:rFonts w:ascii="Arial" w:cs="Arial" w:eastAsia="Arial" w:hAnsi="Arial"/>
          <w:sz w:val="12"/>
          <w:szCs w:val="12"/>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27305</wp:posOffset>
            </wp:positionV>
            <wp:extent cx="4749165"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J.P. Morgan Securities LLC</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wp:posOffset>
            </wp:positionV>
            <wp:extent cx="4749165"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wp:posOffset>
            </wp:positionV>
            <wp:extent cx="474916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5715</wp:posOffset>
            </wp:positionV>
            <wp:extent cx="6686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-121920</wp:posOffset>
            </wp:positionV>
            <wp:extent cx="4749165" cy="162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5" w:name="page326"/>
    <w:bookmarkEnd w:id="325"/>
    <w:p>
      <w:pPr>
        <w:ind w:left="510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52" w:lineRule="exact"/>
        <w:rPr>
          <w:sz w:val="20"/>
          <w:szCs w:val="20"/>
          <w:color w:val="auto"/>
        </w:rPr>
      </w:pPr>
    </w:p>
    <w:p>
      <w:pPr>
        <w:ind w:left="424" w:hanging="424"/>
        <w:spacing w:after="0"/>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Pricing Disclosure Package</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List each Issuer Free Writing Prospectus to be included in the Pricing Disclosure Package</w:t>
      </w:r>
      <w:r>
        <w:rPr>
          <w:rFonts w:ascii="Arial" w:cs="Arial" w:eastAsia="Arial" w:hAnsi="Arial"/>
          <w:sz w:val="16"/>
          <w:szCs w:val="16"/>
          <w:color w:val="auto"/>
        </w:rPr>
        <w:t>]</w:t>
      </w:r>
    </w:p>
    <w:p>
      <w:pPr>
        <w:spacing w:after="0" w:line="392" w:lineRule="exact"/>
        <w:rPr>
          <w:rFonts w:ascii="Arial" w:cs="Arial" w:eastAsia="Arial" w:hAnsi="Arial"/>
          <w:sz w:val="18"/>
          <w:szCs w:val="18"/>
          <w:color w:val="auto"/>
        </w:rPr>
      </w:pPr>
    </w:p>
    <w:p>
      <w:pPr>
        <w:ind w:left="424" w:hanging="424"/>
        <w:spacing w:after="0"/>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Pricing Information</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Number of Underwritten Shares: [●]</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Number of Option Shares: [●]</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Public Offering Price: $[●] per Share</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Set out key information included in script that will be used by Underwriters to confirm sales</w:t>
      </w:r>
      <w:r>
        <w:rPr>
          <w:rFonts w:ascii="Arial" w:cs="Arial" w:eastAsia="Arial" w:hAnsi="Arial"/>
          <w:sz w:val="16"/>
          <w:szCs w:val="16"/>
          <w:color w:val="auto"/>
        </w:rPr>
        <w:t>]</w:t>
      </w:r>
    </w:p>
    <w:p>
      <w:pPr>
        <w:spacing w:after="0" w:line="181" w:lineRule="exact"/>
        <w:rPr>
          <w:sz w:val="20"/>
          <w:szCs w:val="20"/>
          <w:color w:val="auto"/>
        </w:rPr>
      </w:pPr>
    </w:p>
    <w:p>
      <w:pPr>
        <w:ind w:left="5104"/>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0023"/>
          </w:cols>
          <w:pgMar w:left="436" w:top="270" w:right="1440" w:bottom="1440" w:gutter="0" w:footer="0" w:header="0"/>
        </w:sectPr>
      </w:pPr>
    </w:p>
    <w:bookmarkStart w:id="326" w:name="page327"/>
    <w:bookmarkEnd w:id="326"/>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Written Testing-the-Waters Communications</w:t>
      </w:r>
    </w:p>
    <w:p>
      <w:pPr>
        <w:spacing w:after="0" w:line="135" w:lineRule="exact"/>
        <w:rPr>
          <w:sz w:val="20"/>
          <w:szCs w:val="20"/>
          <w:color w:val="auto"/>
        </w:rPr>
      </w:pPr>
    </w:p>
    <w:p>
      <w:pPr>
        <w:ind w:left="424" w:hanging="424"/>
        <w:spacing w:after="0"/>
        <w:tabs>
          <w:tab w:leader="none" w:pos="42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Outreach email from J.P. Morgan Securities LLC to certain qualified institutional buyers and/or institutional accredited investors on July 18, 2023</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Neumora - Testing-the-Waters Presentation</w:t>
      </w:r>
    </w:p>
    <w:p>
      <w:pPr>
        <w:spacing w:after="0" w:line="15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0924"/>
          </w:cols>
          <w:pgMar w:left="436" w:top="270" w:right="539" w:bottom="1440" w:gutter="0" w:footer="0" w:header="0"/>
        </w:sectPr>
      </w:pPr>
    </w:p>
    <w:bookmarkStart w:id="327" w:name="page328"/>
    <w:bookmarkEnd w:id="32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Neumora Therapeutics,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Pricing Term Sheet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C-1</w:t>
      </w:r>
    </w:p>
    <w:p>
      <w:pPr>
        <w:sectPr>
          <w:pgSz w:w="11900" w:h="16838" w:orient="portrait"/>
          <w:cols w:equalWidth="0" w:num="1">
            <w:col w:w="9019"/>
          </w:cols>
          <w:pgMar w:left="1440" w:top="270" w:right="1440"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00" w:lineRule="exact"/>
        <w:rPr>
          <w:sz w:val="20"/>
          <w:szCs w:val="20"/>
          <w:color w:val="auto"/>
        </w:rPr>
      </w:pPr>
    </w:p>
    <w:p>
      <w:pPr>
        <w:sectPr>
          <w:pgSz w:w="11900" w:h="16838" w:orient="portrait"/>
          <w:cols w:equalWidth="0" w:num="2">
            <w:col w:w="220" w:space="320"/>
            <w:col w:w="10480"/>
          </w:cols>
          <w:pgMar w:left="440" w:top="270" w:right="4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BofA Securities,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10036</w:t>
      </w:r>
    </w:p>
    <w:p>
      <w:pPr>
        <w:spacing w:after="0" w:line="200" w:lineRule="exact"/>
        <w:rPr>
          <w:sz w:val="20"/>
          <w:szCs w:val="20"/>
          <w:color w:val="auto"/>
        </w:rPr>
      </w:pPr>
    </w:p>
    <w:p>
      <w:pPr>
        <w:sectPr>
          <w:pgSz w:w="11900" w:h="16838" w:orient="portrait"/>
          <w:cols w:equalWidth="0" w:num="2">
            <w:col w:w="220" w:space="320"/>
            <w:col w:w="10480"/>
          </w:cols>
          <w:pgMar w:left="440" w:top="270" w:right="439" w:bottom="1440" w:gutter="0" w:footer="0" w:header="0"/>
          <w:type w:val="continuous"/>
        </w:sectPr>
      </w:pPr>
    </w:p>
    <w:p>
      <w:pPr>
        <w:spacing w:after="0" w:line="34"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Neumora Therapeutics, Inc. —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The undersigned understands that you, as Representatives of the several Underwriters, propose to enter into an underwriting agreement (the “Underwriting Agreement”) with Neumora Therapeutics, Inc., a Delaware corporation (the “Company”), providing for the initial public offering (the “Public Offering”) by the several Underwriters named in Schedule 1 to the Underwriting Agreement (the “Underwriters”), of common stock, par value $0.0001 per share (the “Common Stock”), of the Company (the “Securities”). Capitalized terms used herein and not otherwise defined shall have the meanings set forth in the Underwriting Agreement.</w:t>
      </w:r>
    </w:p>
    <w:p>
      <w:pPr>
        <w:spacing w:after="0" w:line="188"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Representatives on behalf of the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020"/>
          </w:cols>
          <w:pgMar w:left="440" w:top="270" w:right="439" w:bottom="1440" w:gutter="0" w:footer="0" w:header="0"/>
          <w:type w:val="continuous"/>
        </w:sectPr>
      </w:pPr>
    </w:p>
    <w:bookmarkStart w:id="329" w:name="page330"/>
    <w:bookmarkEnd w:id="32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Representatives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undersigned may:</w:t>
      </w:r>
    </w:p>
    <w:p>
      <w:pPr>
        <w:spacing w:after="0" w:line="225" w:lineRule="exact"/>
        <w:rPr>
          <w:sz w:val="20"/>
          <w:szCs w:val="20"/>
          <w:color w:val="auto"/>
        </w:rPr>
      </w:pPr>
    </w:p>
    <w:p>
      <w:pPr>
        <w:ind w:left="680" w:hanging="244"/>
        <w:spacing w:after="0"/>
        <w:tabs>
          <w:tab w:leader="none" w:pos="6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transfer, distribute, cause the disposition of or surrender (as the case may be), the undersigned’s Lock-Up Securities:</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 a bona fide gift or gifts, or for bona fide estate planning purposes,</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by will, testamentary document or intestacy,</w:t>
      </w:r>
    </w:p>
    <w:p>
      <w:pPr>
        <w:spacing w:after="0" w:line="225" w:lineRule="exact"/>
        <w:rPr>
          <w:sz w:val="20"/>
          <w:szCs w:val="20"/>
          <w:color w:val="auto"/>
        </w:rPr>
      </w:pPr>
    </w:p>
    <w:p>
      <w:pPr>
        <w:ind w:firstLine="436"/>
        <w:spacing w:after="0" w:line="259" w:lineRule="auto"/>
        <w:tabs>
          <w:tab w:leader="none" w:pos="75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(1)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 or (2) to any immediate family member,</w:t>
      </w:r>
    </w:p>
    <w:p>
      <w:pPr>
        <w:spacing w:after="0" w:line="186" w:lineRule="exact"/>
        <w:rPr>
          <w:rFonts w:ascii="Arial" w:cs="Arial" w:eastAsia="Arial" w:hAnsi="Arial"/>
          <w:sz w:val="18"/>
          <w:szCs w:val="18"/>
          <w:color w:val="auto"/>
        </w:rPr>
      </w:pPr>
    </w:p>
    <w:p>
      <w:pPr>
        <w:ind w:right="60" w:firstLine="436"/>
        <w:spacing w:after="0" w:line="277" w:lineRule="auto"/>
        <w:tabs>
          <w:tab w:leader="none" w:pos="74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a corporation, partnership, limited liability company or other entity of which the undersigned and the immediate family of the undersigned are the legal and beneficial owner of all of the outstanding equity securities or similar interests,</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(i) through (iv) above,</w:t>
      </w:r>
    </w:p>
    <w:p>
      <w:pPr>
        <w:spacing w:after="0" w:line="248" w:lineRule="exact"/>
        <w:rPr>
          <w:rFonts w:ascii="Arial" w:cs="Arial" w:eastAsia="Arial" w:hAnsi="Arial"/>
          <w:sz w:val="16"/>
          <w:szCs w:val="16"/>
          <w:color w:val="auto"/>
        </w:rPr>
      </w:pPr>
    </w:p>
    <w:p>
      <w:pPr>
        <w:ind w:firstLine="436"/>
        <w:spacing w:after="0" w:line="255" w:lineRule="auto"/>
        <w:tabs>
          <w:tab w:leader="none" w:pos="74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partners, members or shareholders of the undersigned,</w:t>
      </w:r>
    </w:p>
    <w:p>
      <w:pPr>
        <w:spacing w:after="0" w:line="192" w:lineRule="exact"/>
        <w:rPr>
          <w:rFonts w:ascii="Arial" w:cs="Arial" w:eastAsia="Arial" w:hAnsi="Arial"/>
          <w:sz w:val="18"/>
          <w:szCs w:val="18"/>
          <w:color w:val="auto"/>
        </w:rPr>
      </w:pPr>
    </w:p>
    <w:p>
      <w:pPr>
        <w:ind w:left="800" w:hanging="364"/>
        <w:spacing w:after="0"/>
        <w:tabs>
          <w:tab w:leader="none" w:pos="8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by operation of law, such as pursuant to a qualified domestic order, divorce settlement, divorce decree or separation agreement,</w:t>
      </w:r>
    </w:p>
    <w:p>
      <w:pPr>
        <w:spacing w:after="0" w:line="236" w:lineRule="exact"/>
        <w:rPr>
          <w:rFonts w:ascii="Arial" w:cs="Arial" w:eastAsia="Arial" w:hAnsi="Arial"/>
          <w:sz w:val="17"/>
          <w:szCs w:val="17"/>
          <w:color w:val="auto"/>
        </w:rPr>
      </w:pPr>
    </w:p>
    <w:p>
      <w:pPr>
        <w:ind w:left="5160" w:right="240" w:hanging="4724"/>
        <w:spacing w:after="0" w:line="449" w:lineRule="auto"/>
        <w:tabs>
          <w:tab w:leader="none" w:pos="84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the Company from an employee of the Company upon death, disability or termination of employment, in each case, of such employee, Exhibit A</w:t>
      </w:r>
    </w:p>
    <w:p>
      <w:pPr>
        <w:sectPr>
          <w:pgSz w:w="11900" w:h="16838" w:orient="portrait"/>
          <w:cols w:equalWidth="0" w:num="1">
            <w:col w:w="10960"/>
          </w:cols>
          <w:pgMar w:left="440" w:top="274" w:right="499" w:bottom="1440" w:gutter="0" w:footer="0" w:header="0"/>
        </w:sectPr>
      </w:pPr>
    </w:p>
    <w:bookmarkStart w:id="330" w:name="page331"/>
    <w:bookmarkEnd w:id="330"/>
    <w:p>
      <w:pPr>
        <w:ind w:right="620" w:firstLine="436"/>
        <w:spacing w:after="0" w:line="277" w:lineRule="auto"/>
        <w:tabs>
          <w:tab w:leader="none" w:pos="745"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part of a sale of the undersigned’s Lock-Up Securities acquired (A) in open market transactions after the closing date for the Public Offering or (B) from the Underwriters in the Public Offering,</w:t>
      </w:r>
    </w:p>
    <w:p>
      <w:pPr>
        <w:spacing w:after="0" w:line="170" w:lineRule="exact"/>
        <w:rPr>
          <w:rFonts w:ascii="Arial" w:cs="Arial" w:eastAsia="Arial" w:hAnsi="Arial"/>
          <w:sz w:val="18"/>
          <w:szCs w:val="18"/>
          <w:color w:val="auto"/>
        </w:rPr>
      </w:pPr>
    </w:p>
    <w:p>
      <w:pPr>
        <w:ind w:right="240" w:firstLine="436"/>
        <w:spacing w:after="0" w:line="272" w:lineRule="auto"/>
        <w:tabs>
          <w:tab w:leader="none" w:pos="69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177" w:lineRule="exact"/>
        <w:rPr>
          <w:rFonts w:ascii="Arial" w:cs="Arial" w:eastAsia="Arial" w:hAnsi="Arial"/>
          <w:sz w:val="17"/>
          <w:szCs w:val="17"/>
          <w:color w:val="auto"/>
        </w:rPr>
      </w:pPr>
    </w:p>
    <w:p>
      <w:pPr>
        <w:ind w:firstLine="436"/>
        <w:spacing w:after="0" w:line="254" w:lineRule="auto"/>
        <w:tabs>
          <w:tab w:leader="none" w:pos="74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50% of the outstanding voting securities of the Company (or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95"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 (i), (ii), (iii), (iv), (v), (vi) and (ix),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or any required filing on Schedule 13) and (C) in the case of any transfer or distribution pursuant to clause (a)(vii),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68" w:lineRule="exact"/>
        <w:rPr>
          <w:sz w:val="20"/>
          <w:szCs w:val="20"/>
          <w:color w:val="auto"/>
        </w:rPr>
      </w:pPr>
    </w:p>
    <w:p>
      <w:pPr>
        <w:ind w:right="160" w:firstLine="436"/>
        <w:spacing w:after="0" w:line="263" w:lineRule="auto"/>
        <w:tabs>
          <w:tab w:leader="none" w:pos="69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183" w:lineRule="exact"/>
        <w:rPr>
          <w:rFonts w:ascii="Arial" w:cs="Arial" w:eastAsia="Arial" w:hAnsi="Arial"/>
          <w:sz w:val="18"/>
          <w:szCs w:val="18"/>
          <w:color w:val="auto"/>
        </w:rPr>
      </w:pPr>
    </w:p>
    <w:p>
      <w:pPr>
        <w:ind w:right="160" w:firstLine="436"/>
        <w:spacing w:after="0" w:line="263" w:lineRule="auto"/>
        <w:tabs>
          <w:tab w:leader="none" w:pos="68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000"/>
          </w:cols>
          <w:pgMar w:left="440" w:top="274" w:right="459" w:bottom="1440" w:gutter="0" w:footer="0" w:header="0"/>
        </w:sectPr>
      </w:pPr>
    </w:p>
    <w:bookmarkStart w:id="331" w:name="page332"/>
    <w:bookmarkEnd w:id="331"/>
    <w:p>
      <w:pPr>
        <w:ind w:left="4" w:firstLine="436"/>
        <w:spacing w:after="0" w:line="275" w:lineRule="auto"/>
        <w:tabs>
          <w:tab w:leader="none" w:pos="699" w:val="left"/>
        </w:tabs>
        <w:numPr>
          <w:ilvl w:val="0"/>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establish trading plans pursuant to Rule 10b5-1 under the Exchange Act for the transfer of shares of Lock-Up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trading plans do not provide for the transfer of Lock-Up Securities during the Restricted Period, (2) no filing by any party under the Exchange Act or other public announcement shall be made voluntarily in connection with such trading plan during the Restricted Period and (3) if any filing under the Exchange Act or other public announcement shall be legally required during the Restricted Period, such filing or public announcement shall clearly indicate that no transfers under such trading plans will take place during the Restricted Period.</w:t>
      </w:r>
    </w:p>
    <w:p>
      <w:pPr>
        <w:spacing w:after="0" w:line="176"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If the undersigned is not a natural person, the undersigned represents and warrants that no single natural person, entity or “group” (within the meaning of Section 13(d)(3) of the Securities Exchange Act of 1934, as amended (the “Exchange Act”)) beneficially owns, directly or indirectly, 50% or more of the common equity interests, or 50% or more of the voting power, in the undersigned.</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Company-directed Securities the undersigned may purchase in the Public Offering.</w:t>
      </w:r>
    </w:p>
    <w:p>
      <w:pPr>
        <w:spacing w:after="0" w:line="170"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[In the event that, during the Restricted Period, the Representatives release or waive any prohibition set forth in this Letter Agreement on the transfer of shares of Common Stock, or any securities convertible into or exercisable for Common Stock, held by any director, officer or Significant Holder (as defined below), the same percentage of the total number of outstanding shares of Common Stock held by the undersigned on the date of such release or waiver as the percentage of the total number of outstanding shares of Common Stock held by such director, officer or such Significant Holder on the date of such release or waiver that are the subject of such waiver shall be immediately and fully released on the same terms from the applicable prohibition(s) set forth herein. For the purposes of the foregoing, a “Significant Holder” shall mean any person or entity that (together with any investment funds affiliated with such person or entity) beneficially owns 1% or more of the total outstanding shares of Common Stock as of the date of the Underwriting Agreement. Notwithstanding the foregoing, the provisions of this paragraph shall not apply (1) if the release or waiver is effected solely to permit a transfer not involving a disposition for value and the transferee agrees in writing to be bound by the same terms described in this Letter Agreement to the extent and for the duration that such terms remain in effect at the time of transfer, (2) in the case of any secondary underwritten public offering of shares of Common Stock (including a secondary underwritten public offering with a primary component) (an “Underwritten Sale”), provided that the undersigned, to the extent the undersigned has a contractual right to demand or require the registration of the undersigned’s Lock-Up Securities or otherwise “piggyback” on a registration statement filed by the Company for the offer and sale of its shares of Common Stock, is offered the opportunity to participate on a basis consistent with such contractual rights in such Underwritten Sale, (3) if the releases or waivers granted for all such waivers or releases by the Representatives in an amount of Common Stock, individually or in the aggregate, less than or equal to $3,000,000, or (4) if the release or waiver is granted to a natural person due to circumstances of an emergency or hardship as determined by the Representatives in their sole judgment. The Representatives shall use commercially reasonable efforts to promptly notify the Company of each such release (provided that the failure to provide such notice shall not give rise to any claim or liability against the Representatives or the Underwriters) and the Company shall use commercially reasonable efforts to promptly notify the undersigned of each such release. The undersigned further acknowledges that the Representatives are under no obligation to inquire into whether, or to ensure that, the Company notifies the undersigned of the delivery by the Representatives of any such notice, which is a matter between the undersigned and the Company.]</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715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8" w:lineRule="exact"/>
        <w:rPr>
          <w:sz w:val="20"/>
          <w:szCs w:val="20"/>
          <w:color w:val="auto"/>
        </w:rPr>
      </w:pPr>
    </w:p>
    <w:p>
      <w:pPr>
        <w:ind w:left="5164" w:right="2800" w:hanging="5164"/>
        <w:spacing w:after="0" w:line="329" w:lineRule="auto"/>
        <w:tabs>
          <w:tab w:leader="none" w:pos="440" w:val="left"/>
        </w:tabs>
        <w:numPr>
          <w:ilvl w:val="0"/>
          <w:numId w:val="224"/>
        </w:numPr>
        <w:rPr>
          <w:rFonts w:ascii="Arial" w:cs="Arial" w:eastAsia="Arial" w:hAnsi="Arial"/>
          <w:sz w:val="27"/>
          <w:szCs w:val="27"/>
          <w:color w:val="auto"/>
          <w:vertAlign w:val="superscript"/>
        </w:rPr>
      </w:pPr>
      <w:r>
        <w:rPr>
          <w:rFonts w:ascii="Arial" w:cs="Arial" w:eastAsia="Arial" w:hAnsi="Arial"/>
          <w:sz w:val="18"/>
          <w:szCs w:val="18"/>
          <w:color w:val="auto"/>
        </w:rPr>
        <w:t>To be included for stockholders holding 1% or more of the Company’s capital stock on a fully diluted basis. Exhibit A</w:t>
      </w:r>
    </w:p>
    <w:p>
      <w:pPr>
        <w:sectPr>
          <w:pgSz w:w="11900" w:h="16838" w:orient="portrait"/>
          <w:cols w:equalWidth="0" w:num="1">
            <w:col w:w="11004"/>
          </w:cols>
          <w:pgMar w:left="436" w:top="274" w:right="459" w:bottom="1440" w:gutter="0" w:footer="0" w:header="0"/>
        </w:sectPr>
      </w:pPr>
    </w:p>
    <w:bookmarkStart w:id="332" w:name="page333"/>
    <w:bookmarkEnd w:id="332"/>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undersigned is an officer or director of the Company, (i) the Representatives on behalf of the Underwriters agree that, at least three business days before the effective date of any release or waiver of the foregoing restrictions in connection with a transfer of Lock-Up Securities, the Representatives on behalf of the Underwriters will notify the Company of the impending release or waiver, and (ii) the Company has agreed in the Underwriting Agreement to announce the impending release or waiver through a major news service at least two business days before the effective date of the release or waiver. Any release or waiver granted by J the Representatives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w:t>
      </w:r>
    </w:p>
    <w:p>
      <w:pPr>
        <w:spacing w:after="0" w:line="2" w:lineRule="exact"/>
        <w:rPr>
          <w:sz w:val="20"/>
          <w:szCs w:val="20"/>
          <w:color w:val="auto"/>
        </w:rPr>
      </w:pPr>
    </w:p>
    <w:p>
      <w:pPr>
        <w:ind w:left="4" w:right="140" w:hanging="4"/>
        <w:spacing w:after="0" w:line="260" w:lineRule="auto"/>
        <w:tabs>
          <w:tab w:leader="none" w:pos="25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and (b) the transferee has agreed in writing to be bound by the same terms described in this Letter Agreement to the extent and for the duration that such terms remain in effect at the time of the transfer.</w:t>
      </w:r>
    </w:p>
    <w:p>
      <w:pPr>
        <w:spacing w:after="0" w:line="185"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84" w:lineRule="exact"/>
        <w:rPr>
          <w:sz w:val="20"/>
          <w:szCs w:val="20"/>
          <w:color w:val="auto"/>
        </w:rPr>
      </w:pPr>
    </w:p>
    <w:p>
      <w:pPr>
        <w:ind w:left="4" w:right="100" w:firstLine="440"/>
        <w:spacing w:after="0" w:line="293"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In the event that any signature is delivered by facsimile transmission, electronic mail or otherwise by electronic transmission evidencing an intent to sign this Letter Agreement, such facsimile transmission, electronic mail or other electronic transmission shall create a valid and binding obligation of the undersigned with the same force and effect as if such signature were an original. Execution and delivery of this Letter Agreement by facsimile transmission, electronic mail or other electronic transmission is legal, valid and binding for all purposes.</w:t>
      </w:r>
    </w:p>
    <w:p>
      <w:pPr>
        <w:spacing w:after="0" w:line="164"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Letter Agreement, and nothing set forth in such disclosures is intended to suggest that the Representatives or any Underwriter is making such a recommendation.</w:t>
      </w:r>
    </w:p>
    <w:p>
      <w:pPr>
        <w:spacing w:after="0" w:line="164"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7"/>
          <w:szCs w:val="17"/>
          <w:color w:val="auto"/>
        </w:rPr>
        <w:t>The undersigned shall automatically be released from all obligations under this Letter Agreement if: (i), the Underwriting Agreement does not become effective by December 31, 2023 (provided, however, that the undersigned agrees that this Letter Agreement shall be automatically extended by three months if the Company provides written notice to the undersigned that the Company is still pursuing the Public Offering contemplated by the Underwriting Agreement),(ii) the Underwriting Agreement (other than the provisions thereof which survive termination) shall terminate or be terminated prior to payment for and delivery of the Common Stock to be sold thereunder,(iii) either the Company, on the one hand, or the Representatives, on the other hand, notifies the other in writing that it does not intend to proceed with the Public Offering or (iv) the registration statement filed with the SEC in connection with the Public Offering is withdrawn. The undersigned understands that the Underwriters are entering into the Underwriting Agreement and proceeding with the Public Offering in reliance upon this Letter Agreement.</w:t>
      </w:r>
    </w:p>
    <w:p>
      <w:pPr>
        <w:spacing w:after="0" w:line="178" w:lineRule="exact"/>
        <w:rPr>
          <w:sz w:val="20"/>
          <w:szCs w:val="20"/>
          <w:color w:val="auto"/>
        </w:rPr>
      </w:pPr>
    </w:p>
    <w:p>
      <w:pPr>
        <w:jc w:val="center"/>
        <w:ind w:right="-23"/>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984"/>
          </w:cols>
          <w:pgMar w:left="436" w:top="274" w:right="479" w:bottom="1440" w:gutter="0" w:footer="0" w:header="0"/>
        </w:sectPr>
      </w:pPr>
    </w:p>
    <w:bookmarkStart w:id="333" w:name="page334"/>
    <w:bookmarkEnd w:id="33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6"/>
          <w:szCs w:val="16"/>
          <w:i w:val="1"/>
          <w:iCs w:val="1"/>
          <w:color w:val="auto"/>
        </w:rPr>
        <w:t>(indicate capacity of person signing if signing as custodian,</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trustee, or on behalf of an entity)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to Lock-up Agreement]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940"/>
          </w:cols>
          <w:pgMar w:left="440" w:top="274" w:right="51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BOFA SECURITIES,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Neumora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5" w:lineRule="exact"/>
        <w:rPr>
          <w:sz w:val="20"/>
          <w:szCs w:val="20"/>
          <w:color w:val="auto"/>
        </w:rPr>
      </w:pPr>
    </w:p>
    <w:p>
      <w:pPr>
        <w:jc w:val="both"/>
        <w:ind w:right="520" w:firstLine="440"/>
        <w:spacing w:after="0" w:line="291" w:lineRule="auto"/>
        <w:rPr>
          <w:sz w:val="20"/>
          <w:szCs w:val="20"/>
          <w:color w:val="auto"/>
        </w:rPr>
      </w:pPr>
      <w:r>
        <w:rPr>
          <w:rFonts w:ascii="Arial" w:cs="Arial" w:eastAsia="Arial" w:hAnsi="Arial"/>
          <w:sz w:val="16"/>
          <w:szCs w:val="16"/>
          <w:color w:val="auto"/>
        </w:rPr>
        <w:t>This letter is being delivered to you in connection with the offering by Neumora Therapeutics, Inc. (the “Company”) of shares of common stock, $0.0001par value per share (the “Common Stock”), of the Company and the lock-up letter dated [●], 2023 (the “Lock-up Letter”),</w:t>
      </w:r>
    </w:p>
    <w:p>
      <w:pPr>
        <w:ind w:right="720"/>
        <w:spacing w:after="0" w:line="260" w:lineRule="auto"/>
        <w:rPr>
          <w:sz w:val="20"/>
          <w:szCs w:val="20"/>
          <w:color w:val="auto"/>
        </w:rPr>
      </w:pPr>
      <w:r>
        <w:rPr>
          <w:rFonts w:ascii="Arial" w:cs="Arial" w:eastAsia="Arial" w:hAnsi="Arial"/>
          <w:sz w:val="18"/>
          <w:szCs w:val="18"/>
          <w:color w:val="auto"/>
        </w:rPr>
        <w:t>executed by you in connection with such offering, and your request for a [waiver] [release] dated [●], 2023, with respect to shares of Common Stock (the “Shares”).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J.P. Morgan Securities LLC and BofA Securities, Inc. hereby agree to [waive] [release] the transfer restrictions set forth in the Lock-up Letter, but</w:t>
      </w:r>
    </w:p>
    <w:p>
      <w:pPr>
        <w:spacing w:after="0" w:line="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only with respect to the Shares, effective , 2023;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020"/>
          </w:cols>
          <w:pgMar w:left="440" w:top="270" w:right="439" w:bottom="1440" w:gutter="0" w:footer="0" w:header="0"/>
        </w:sectPr>
      </w:pPr>
    </w:p>
    <w:bookmarkStart w:id="335" w:name="page336"/>
    <w:bookmarkEnd w:id="335"/>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Yours very truly,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J.P. MORGAN SECURITIES LLC</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BOFA SECURITIES,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10019"/>
          </w:cols>
          <w:pgMar w:left="440" w:top="274" w:right="1440"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Neumora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2023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Neumora Therapeutics, Inc. (the “Company”) announced today that J.P. Morgan Securities LLC and BofA Securities, the lead book-running managers in</w:t>
      </w:r>
    </w:p>
    <w:p>
      <w:pPr>
        <w:spacing w:after="0" w:line="4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Company’s recent public sale of shares of common stock, are [waiving] [releasing] a lock-up restriction with respect to shares of the Company’s common stock held by [certain officers or directors] [an officer or director] of the Company. The [waiver] [release] will take effect on</w:t>
      </w:r>
    </w:p>
    <w:p>
      <w:pPr>
        <w:ind w:left="540"/>
        <w:spacing w:after="0"/>
        <w:rPr>
          <w:sz w:val="20"/>
          <w:szCs w:val="20"/>
          <w:color w:val="auto"/>
        </w:rPr>
      </w:pPr>
      <w:r>
        <w:rPr>
          <w:rFonts w:ascii="Arial" w:cs="Arial" w:eastAsia="Arial" w:hAnsi="Arial"/>
          <w:sz w:val="18"/>
          <w:szCs w:val="18"/>
          <w:color w:val="auto"/>
        </w:rPr>
        <w:t>, 2023, and the shares may be sold on or after such date.</w:t>
      </w:r>
    </w:p>
    <w:p>
      <w:pPr>
        <w:spacing w:after="0" w:line="207"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11020"/>
          </w:cols>
          <w:pgMar w:left="440" w:top="270" w:right="4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the Issuer to J.P. Morgan Securities LLC, BofA Securities, Inc., Stifel, Nicolaus &amp;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Incorporated, and Guggenheim Securities, LLC in email or letter form)</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reliance on Section 5(d) of the Securities Act of 1933, as amended (the “Act”), Neumora Therapeutics, Inc. (the “Issuer”) hereby authorizes J.P. Morgan Securities LLC (“J.P. Morgan”), BofA Securities, Inc. (“BofAS”), Stifel, Nicolaus &amp; Company, Incorporated (“Stifel”) and Guggenheim Securities, LLC (“Guggenheim”) and their respective affiliates and their respective employees, to engage on behalf of the Issuer in oral and written communications with potential investors that are “qualified institutional buyers”, as defined in Rule 144A under the Act, or institutions that are “accredited investors”, within the meaning of Rule 501(a)(1), (a)(2), (a)(3), (a)(7), (a)(8), (a)(9), (a)(12) or (a)(13) under the Act, to determine whether such investors might have an interest in the Issuer’s contemplated initial public offering (“Testing-the-Waters Communications”). A “Written Testing-the Waters Communication” means any Testing-the-Waters Communication that is a written communication within the meaning of Rule 405 under the Act. Each of J.P. Morgan, BofAS, Stifel and Guggenheim, individually and not jointly, agrees that it shall not distribute any Written Testing-the-Waters Communication that has not been approved by the Issuer.</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Issuer represents as of the date this authorization is delivered that (i) it has not alone engaged in any Testing-the-Waters Communication and (ii) it has not authorized anyone other than J.P. Morgan, BofAS, Stifel and Guggenheim to engage in Testing-the-Water Communications. The Issuer agrees, so long as this authorization is in effect, that it shall notify J.P. Morgan, BofAS, Stifel and Guggenheim if it authorizes any other third party to engage on its behalf in oral or written communications with potential investors. The Issuer also represents that, as of the date hereof, it is an “emerging growth company,” as defined in Section 2(a) of the Act (an “Emerging Growth Company”) and agrees to promptly notify J.P. Morgan, BofAS, Stifel and Guggenheim in writing if the Issuer hereafter ceases to be an Emerging Growth Company while this authorization is in effect. Until the earlier of this authorization being revoked (if the Issuer informs J.P. Morgan, BofAS, Stifel and Guggenheim that it has decided not to proceed with the initial public offering) or the execution of a definitive underwriting agreement for the initial public offering,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light of the circumstances existing at that subsequent time, not misleading, the Issuer will as soon as practicable notify J.P. Morgan, BofAS, Stifel and Guggenheim will promptly amend or supplement, at its own expense, such Written Testing-the-Waters Communication to eliminate or correct such untrue statement or omission.</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Nothing in this authorization is intended to limit or otherwise affect the ability of J.P. Morgan, BofAS, Stifel and Guggenheim and their respective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and BofAS a written notice revoking this authorization. All notices as described herein shall be sent by email to the attention of Peter Castoro at J.P. Morgan at [***], Shu Mukherjee at BofAS at [***], Alyssa Smiley at [***], and Justin Hull at [***].</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ectPr>
          <w:pgSz w:w="11900" w:h="16838" w:orient="portrait"/>
          <w:cols w:equalWidth="0" w:num="1">
            <w:col w:w="11000"/>
          </w:cols>
          <w:pgMar w:left="440" w:top="270" w:right="459" w:bottom="1440" w:gutter="0" w:footer="0" w:header="0"/>
        </w:sectPr>
      </w:pPr>
    </w:p>
    <w:bookmarkStart w:id="338" w:name="page339"/>
    <w:bookmarkEnd w:id="338"/>
    <w:p>
      <w:pPr>
        <w:ind w:left="918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7029450" cy="42691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4">
                      <a:extLst>
                        <a:ext uri="{28A0092B-C50C-407E-A947-70E740481C1C}"/>
                      </a:extLst>
                    </a:blip>
                    <a:srcRect/>
                    <a:stretch>
                      <a:fillRect/>
                    </a:stretch>
                  </pic:blipFill>
                  <pic:spPr bwMode="auto">
                    <a:xfrm>
                      <a:off x="0" y="0"/>
                      <a:ext cx="7029450" cy="426910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39" w:name="page340"/>
    <w:bookmarkEnd w:id="3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242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5">
                      <a:extLst>
                        <a:ext uri="{28A0092B-C50C-407E-A947-70E740481C1C}"/>
                      </a:extLst>
                    </a:blip>
                    <a:srcRect/>
                    <a:stretch>
                      <a:fillRect/>
                    </a:stretch>
                  </pic:blipFill>
                  <pic:spPr bwMode="auto">
                    <a:xfrm>
                      <a:off x="0" y="0"/>
                      <a:ext cx="7174865"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505 Montgomery Street, Suite 2000</w:t>
      </w:r>
    </w:p>
    <w:p>
      <w:pPr>
        <w:ind w:left="8160"/>
        <w:spacing w:after="0" w:line="221" w:lineRule="auto"/>
        <w:rPr>
          <w:sz w:val="20"/>
          <w:szCs w:val="20"/>
          <w:color w:val="auto"/>
        </w:rPr>
      </w:pPr>
      <w:r>
        <w:rPr>
          <w:rFonts w:ascii="Arial" w:cs="Arial" w:eastAsia="Arial" w:hAnsi="Arial"/>
          <w:sz w:val="14"/>
          <w:szCs w:val="14"/>
          <w:color w:val="auto"/>
        </w:rPr>
        <w:t>San Francisco, California  94111-6538</w:t>
      </w:r>
    </w:p>
    <w:p>
      <w:pPr>
        <w:ind w:left="8160"/>
        <w:spacing w:after="0" w:line="221" w:lineRule="auto"/>
        <w:rPr>
          <w:sz w:val="20"/>
          <w:szCs w:val="20"/>
          <w:color w:val="auto"/>
        </w:rPr>
      </w:pPr>
      <w:r>
        <w:rPr>
          <w:rFonts w:ascii="Arial" w:cs="Arial" w:eastAsia="Arial" w:hAnsi="Arial"/>
          <w:sz w:val="14"/>
          <w:szCs w:val="14"/>
          <w:color w:val="auto"/>
        </w:rPr>
        <w:t>Tel: +1.415.391.0600  Fax: +1.415.395.8095</w:t>
      </w:r>
    </w:p>
    <w:p>
      <w:pPr>
        <w:spacing w:after="0" w:line="1"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www.lw.com</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0" w:type="dxa"/>
            <w:vAlign w:val="bottom"/>
            <w:gridSpan w:val="2"/>
          </w:tcPr>
          <w:p>
            <w:pPr>
              <w:ind w:left="1880"/>
              <w:spacing w:after="0"/>
              <w:rPr>
                <w:sz w:val="20"/>
                <w:szCs w:val="20"/>
                <w:color w:val="auto"/>
              </w:rPr>
            </w:pPr>
            <w:r>
              <w:rPr>
                <w:rFonts w:ascii="Arial" w:cs="Arial" w:eastAsia="Arial" w:hAnsi="Arial"/>
                <w:sz w:val="14"/>
                <w:szCs w:val="14"/>
                <w:color w:val="auto"/>
              </w:rPr>
              <w:t>FIRM / AFFILIATE OFFICES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Austin</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Milan</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Beijing</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Munich</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Boston</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Brussels</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Orange County</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Century City</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Paris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Chicago</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Riyadh</w:t>
            </w:r>
          </w:p>
        </w:tc>
        <w:tc>
          <w:tcPr>
            <w:tcW w:w="0" w:type="dxa"/>
            <w:vAlign w:val="bottom"/>
          </w:tcPr>
          <w:p>
            <w:pPr>
              <w:spacing w:after="0"/>
              <w:rPr>
                <w:sz w:val="1"/>
                <w:szCs w:val="1"/>
                <w:color w:val="auto"/>
              </w:rPr>
            </w:pPr>
          </w:p>
        </w:tc>
      </w:tr>
      <w:tr>
        <w:trPr>
          <w:trHeight w:val="148"/>
        </w:trPr>
        <w:tc>
          <w:tcPr>
            <w:tcW w:w="6280" w:type="dxa"/>
            <w:vAlign w:val="bottom"/>
            <w:gridSpan w:val="4"/>
            <w:vMerge w:val="restart"/>
          </w:tcPr>
          <w:p>
            <w:pPr>
              <w:spacing w:after="0"/>
              <w:rPr>
                <w:sz w:val="20"/>
                <w:szCs w:val="20"/>
                <w:color w:val="auto"/>
              </w:rPr>
            </w:pPr>
            <w:r>
              <w:rPr>
                <w:rFonts w:ascii="Arial" w:cs="Arial" w:eastAsia="Arial" w:hAnsi="Arial"/>
                <w:sz w:val="18"/>
                <w:szCs w:val="18"/>
                <w:color w:val="auto"/>
              </w:rPr>
              <w:t>September 11, 2023</w:t>
            </w: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Dubai</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San Diego</w:t>
            </w:r>
          </w:p>
        </w:tc>
        <w:tc>
          <w:tcPr>
            <w:tcW w:w="0" w:type="dxa"/>
            <w:vAlign w:val="bottom"/>
          </w:tcPr>
          <w:p>
            <w:pPr>
              <w:spacing w:after="0"/>
              <w:rPr>
                <w:sz w:val="1"/>
                <w:szCs w:val="1"/>
                <w:color w:val="auto"/>
              </w:rPr>
            </w:pPr>
          </w:p>
        </w:tc>
      </w:tr>
      <w:tr>
        <w:trPr>
          <w:trHeight w:val="167"/>
        </w:trPr>
        <w:tc>
          <w:tcPr>
            <w:tcW w:w="6280" w:type="dxa"/>
            <w:vAlign w:val="bottom"/>
            <w:gridSpan w:val="4"/>
            <w:vMerge w:val="continue"/>
          </w:tcPr>
          <w:p>
            <w:pPr>
              <w:spacing w:after="0"/>
              <w:rPr>
                <w:sz w:val="14"/>
                <w:szCs w:val="14"/>
                <w:color w:val="auto"/>
              </w:rPr>
            </w:pPr>
          </w:p>
        </w:tc>
        <w:tc>
          <w:tcPr>
            <w:tcW w:w="2800" w:type="dxa"/>
            <w:vAlign w:val="bottom"/>
          </w:tcPr>
          <w:p>
            <w:pPr>
              <w:ind w:left="1880"/>
              <w:spacing w:after="0"/>
              <w:rPr>
                <w:sz w:val="20"/>
                <w:szCs w:val="20"/>
                <w:color w:val="auto"/>
              </w:rPr>
            </w:pPr>
            <w:r>
              <w:rPr>
                <w:rFonts w:ascii="Arial" w:cs="Arial" w:eastAsia="Arial" w:hAnsi="Arial"/>
                <w:sz w:val="14"/>
                <w:szCs w:val="14"/>
                <w:color w:val="auto"/>
              </w:rPr>
              <w:t>Düsseldorf</w:t>
            </w:r>
          </w:p>
        </w:tc>
        <w:tc>
          <w:tcPr>
            <w:tcW w:w="1200" w:type="dxa"/>
            <w:vAlign w:val="bottom"/>
          </w:tcPr>
          <w:p>
            <w:pPr>
              <w:ind w:left="180"/>
              <w:spacing w:after="0"/>
              <w:rPr>
                <w:sz w:val="20"/>
                <w:szCs w:val="20"/>
                <w:color w:val="auto"/>
              </w:rPr>
            </w:pPr>
            <w:r>
              <w:rPr>
                <w:rFonts w:ascii="Arial" w:cs="Arial" w:eastAsia="Arial" w:hAnsi="Arial"/>
                <w:sz w:val="14"/>
                <w:szCs w:val="14"/>
                <w:color w:val="auto"/>
              </w:rPr>
              <w:t>San Francisco</w:t>
            </w: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0" w:type="dxa"/>
            <w:vAlign w:val="bottom"/>
          </w:tcPr>
          <w:p>
            <w:pPr>
              <w:ind w:left="1880"/>
              <w:spacing w:after="0" w:line="130" w:lineRule="exact"/>
              <w:rPr>
                <w:sz w:val="20"/>
                <w:szCs w:val="20"/>
                <w:color w:val="auto"/>
              </w:rPr>
            </w:pPr>
            <w:r>
              <w:rPr>
                <w:rFonts w:ascii="Arial" w:cs="Arial" w:eastAsia="Arial" w:hAnsi="Arial"/>
                <w:sz w:val="14"/>
                <w:szCs w:val="14"/>
                <w:color w:val="auto"/>
              </w:rPr>
              <w:t>Frankfurt</w:t>
            </w:r>
          </w:p>
        </w:tc>
        <w:tc>
          <w:tcPr>
            <w:tcW w:w="1200" w:type="dxa"/>
            <w:vAlign w:val="bottom"/>
          </w:tcPr>
          <w:p>
            <w:pPr>
              <w:ind w:left="180"/>
              <w:spacing w:after="0" w:line="130" w:lineRule="exact"/>
              <w:rPr>
                <w:sz w:val="20"/>
                <w:szCs w:val="20"/>
                <w:color w:val="auto"/>
              </w:rPr>
            </w:pPr>
            <w:r>
              <w:rPr>
                <w:rFonts w:ascii="Arial" w:cs="Arial" w:eastAsia="Arial" w:hAnsi="Arial"/>
                <w:sz w:val="14"/>
                <w:szCs w:val="14"/>
                <w:color w:val="auto"/>
              </w:rPr>
              <w:t>Seoul</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Hamburg</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Shanghai</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Hong Kong</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Silicon Valley</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Houston</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London</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Tel Aviv</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ind w:left="1880"/>
              <w:spacing w:after="0" w:line="149" w:lineRule="exact"/>
              <w:rPr>
                <w:sz w:val="20"/>
                <w:szCs w:val="20"/>
                <w:color w:val="auto"/>
              </w:rPr>
            </w:pPr>
            <w:r>
              <w:rPr>
                <w:rFonts w:ascii="Arial" w:cs="Arial" w:eastAsia="Arial" w:hAnsi="Arial"/>
                <w:sz w:val="14"/>
                <w:szCs w:val="14"/>
                <w:color w:val="auto"/>
              </w:rPr>
              <w:t>Los Angeles</w:t>
            </w:r>
          </w:p>
        </w:tc>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Tokyo</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0" w:type="dxa"/>
            <w:vAlign w:val="bottom"/>
          </w:tcPr>
          <w:p>
            <w:pPr>
              <w:ind w:left="1880"/>
              <w:spacing w:after="0"/>
              <w:rPr>
                <w:sz w:val="20"/>
                <w:szCs w:val="20"/>
                <w:color w:val="auto"/>
              </w:rPr>
            </w:pPr>
            <w:r>
              <w:rPr>
                <w:rFonts w:ascii="Arial" w:cs="Arial" w:eastAsia="Arial" w:hAnsi="Arial"/>
                <w:sz w:val="14"/>
                <w:szCs w:val="14"/>
                <w:color w:val="auto"/>
              </w:rPr>
              <w:t>Madrid</w:t>
            </w:r>
          </w:p>
        </w:tc>
        <w:tc>
          <w:tcPr>
            <w:tcW w:w="1200" w:type="dxa"/>
            <w:vAlign w:val="bottom"/>
          </w:tcPr>
          <w:p>
            <w:pPr>
              <w:ind w:left="180"/>
              <w:spacing w:after="0"/>
              <w:rPr>
                <w:sz w:val="20"/>
                <w:szCs w:val="20"/>
                <w:color w:val="auto"/>
              </w:rPr>
            </w:pPr>
            <w:r>
              <w:rPr>
                <w:rFonts w:ascii="Arial" w:cs="Arial" w:eastAsia="Arial" w:hAnsi="Arial"/>
                <w:sz w:val="14"/>
                <w:szCs w:val="14"/>
                <w:color w:val="auto"/>
                <w:w w:val="91"/>
              </w:rPr>
              <w:t>Washington, D.C.</w:t>
            </w:r>
          </w:p>
        </w:tc>
        <w:tc>
          <w:tcPr>
            <w:tcW w:w="0" w:type="dxa"/>
            <w:vAlign w:val="bottom"/>
          </w:tcPr>
          <w:p>
            <w:pPr>
              <w:spacing w:after="0"/>
              <w:rPr>
                <w:sz w:val="1"/>
                <w:szCs w:val="1"/>
                <w:color w:val="auto"/>
              </w:rPr>
            </w:pPr>
          </w:p>
        </w:tc>
      </w:tr>
      <w:tr>
        <w:trPr>
          <w:trHeight w:val="403"/>
        </w:trPr>
        <w:tc>
          <w:tcPr>
            <w:tcW w:w="6280" w:type="dxa"/>
            <w:vAlign w:val="bottom"/>
            <w:gridSpan w:val="4"/>
          </w:tcPr>
          <w:p>
            <w:pPr>
              <w:spacing w:after="0"/>
              <w:rPr>
                <w:sz w:val="20"/>
                <w:szCs w:val="20"/>
                <w:color w:val="auto"/>
              </w:rPr>
            </w:pPr>
            <w:r>
              <w:rPr>
                <w:rFonts w:ascii="Arial" w:cs="Arial" w:eastAsia="Arial" w:hAnsi="Arial"/>
                <w:sz w:val="18"/>
                <w:szCs w:val="18"/>
                <w:color w:val="auto"/>
              </w:rPr>
              <w:t>Neumora Therapeutics, Inc.</w:t>
            </w:r>
          </w:p>
        </w:tc>
        <w:tc>
          <w:tcPr>
            <w:tcW w:w="2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490 Arsenal Way, Suite 200</w:t>
            </w:r>
          </w:p>
        </w:tc>
        <w:tc>
          <w:tcPr>
            <w:tcW w:w="2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rPr>
              <w:t>Watertown, Massachusetts 02472</w:t>
            </w:r>
          </w:p>
        </w:tc>
        <w:tc>
          <w:tcPr>
            <w:tcW w:w="2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tcPr>
          <w:p>
            <w:pPr>
              <w:ind w:left="420"/>
              <w:spacing w:after="0"/>
              <w:rPr>
                <w:sz w:val="20"/>
                <w:szCs w:val="20"/>
                <w:color w:val="auto"/>
              </w:rPr>
            </w:pPr>
            <w:r>
              <w:rPr>
                <w:rFonts w:ascii="Arial" w:cs="Arial" w:eastAsia="Arial" w:hAnsi="Arial"/>
                <w:sz w:val="18"/>
                <w:szCs w:val="18"/>
                <w:color w:val="auto"/>
              </w:rPr>
              <w:t>Re:</w:t>
            </w: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Registration Statement on Form S-1 (File No. 333-274229)</w:t>
            </w: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Up to 16,916,500 shares of common stock of Neumora Therapeutics, Inc.</w:t>
            </w:r>
          </w:p>
        </w:tc>
        <w:tc>
          <w:tcPr>
            <w:tcW w:w="2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-2459990</wp:posOffset>
            </wp:positionV>
            <wp:extent cx="1791335" cy="2057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6">
                      <a:extLst>
                        <a:ext uri="{28A0092B-C50C-407E-A947-70E740481C1C}"/>
                      </a:extLst>
                    </a:blip>
                    <a:srcRect/>
                    <a:stretch>
                      <a:fillRect/>
                    </a:stretch>
                  </pic:blipFill>
                  <pic:spPr bwMode="auto">
                    <a:xfrm>
                      <a:off x="0" y="0"/>
                      <a:ext cx="1791335" cy="2057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addressees set forth above:</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have acted as special counsel to Neumora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proposed registration of up to 16,916,500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par value $0.0001 per share, including 2,206,500 shares pursuant to the exercise of the underwriters’ option to purchase additional shares of common stock. The Shares are included in a registration statement on Form S-1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initially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August 25, 2023 (Registration No. 333-274229)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8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sectPr>
          <w:pgSz w:w="11900" w:h="16838" w:orient="portrait"/>
          <w:cols w:equalWidth="0" w:num="1">
            <w:col w:w="11020"/>
          </w:cols>
          <w:pgMar w:left="440" w:top="121" w:right="43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September 11,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97000" cy="146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8">
                      <a:extLst>
                        <a:ext uri="{28A0092B-C50C-407E-A947-70E740481C1C}"/>
                      </a:extLst>
                    </a:blip>
                    <a:srcRect/>
                    <a:stretch>
                      <a:fillRect/>
                    </a:stretch>
                  </pic:blipFill>
                  <pic:spPr bwMode="auto">
                    <a:xfrm>
                      <a:off x="0" y="0"/>
                      <a:ext cx="1397000" cy="14605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amended and restated certificate of incorporation of the Company in the form most recently filed as an exhibit to the Registration Statement (the “</w:t>
      </w:r>
      <w:r>
        <w:rPr>
          <w:rFonts w:ascii="Arial" w:cs="Arial" w:eastAsia="Arial" w:hAnsi="Arial"/>
          <w:sz w:val="16"/>
          <w:szCs w:val="16"/>
          <w:b w:val="1"/>
          <w:bCs w:val="1"/>
          <w:i w:val="1"/>
          <w:iCs w:val="1"/>
          <w:color w:val="auto"/>
        </w:rPr>
        <w:t>Amended and Restated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has been duly filed with the Secretary of State of the State of Delaware and when the Shares shall have been duly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on the books of the transfer agent and registrar therefor in the name or on behalf of the purchasers and have been issued by the Company against payment therefor (not less than par value)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6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920"/>
          </w:cols>
          <w:pgMar w:left="440" w:top="270" w:right="5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10.4(b)</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 1 TO EXCLUSIVE LICENSE AGREEMENT</w:t>
      </w:r>
    </w:p>
    <w:p>
      <w:pPr>
        <w:spacing w:after="0" w:line="229"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This AMENDMENT NO. 1 TO EXCLUSIVE LICENSE AGREEMENT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made as of June 14, 2022 (the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Amgen Inc., with its principal offices at One Amgen Center Drive, Thousand Oaks, California 91320 (“</w:t>
      </w:r>
      <w:r>
        <w:rPr>
          <w:rFonts w:ascii="Arial" w:cs="Arial" w:eastAsia="Arial" w:hAnsi="Arial"/>
          <w:sz w:val="17"/>
          <w:szCs w:val="17"/>
          <w:b w:val="1"/>
          <w:bCs w:val="1"/>
          <w:i w:val="1"/>
          <w:iCs w:val="1"/>
          <w:color w:val="auto"/>
        </w:rPr>
        <w:t>Amgen</w:t>
      </w:r>
      <w:r>
        <w:rPr>
          <w:rFonts w:ascii="Arial" w:cs="Arial" w:eastAsia="Arial" w:hAnsi="Arial"/>
          <w:sz w:val="17"/>
          <w:szCs w:val="17"/>
          <w:color w:val="auto"/>
        </w:rPr>
        <w: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Neumora Therapeutics, Inc. with its principal offices at 65 Grove Street, Watertown, Massachusetts 02472, (“</w:t>
      </w:r>
      <w:r>
        <w:rPr>
          <w:rFonts w:ascii="Arial" w:cs="Arial" w:eastAsia="Arial" w:hAnsi="Arial"/>
          <w:sz w:val="17"/>
          <w:szCs w:val="17"/>
          <w:b w:val="1"/>
          <w:bCs w:val="1"/>
          <w:i w:val="1"/>
          <w:iCs w:val="1"/>
          <w:color w:val="auto"/>
        </w:rPr>
        <w:t>Neumora</w:t>
      </w:r>
      <w:r>
        <w:rPr>
          <w:rFonts w:ascii="Arial" w:cs="Arial" w:eastAsia="Arial" w:hAnsi="Arial"/>
          <w:sz w:val="17"/>
          <w:szCs w:val="17"/>
          <w:color w:val="auto"/>
        </w:rPr>
        <w:t>”, f/k/a RBNC Therapeutics, Inc.). Amgen and Neumora are sometimes referred to collectively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or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Amgen and Neumora are parties to that certain Exclusive License Agreement for GCase effective as of September 10, 2021 (Amgen</w:t>
      </w:r>
      <w:r>
        <w:rPr>
          <w:rFonts w:ascii="Arial" w:cs="Arial" w:eastAsia="Arial" w:hAnsi="Arial"/>
          <w:sz w:val="18"/>
          <w:szCs w:val="18"/>
          <w:b w:val="1"/>
          <w:bCs w:val="1"/>
          <w:color w:val="auto"/>
        </w:rPr>
        <w:t xml:space="preserve"> </w:t>
      </w:r>
      <w:r>
        <w:rPr>
          <w:rFonts w:ascii="Arial" w:cs="Arial" w:eastAsia="Arial" w:hAnsi="Arial"/>
          <w:sz w:val="18"/>
          <w:szCs w:val="18"/>
          <w:color w:val="auto"/>
        </w:rPr>
        <w:t>Ref. No. 2021086945;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now desire to amend the Agreement as set forth below.</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promises hereinafter set forth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hereby agree as follows:</w:t>
      </w:r>
    </w:p>
    <w:p>
      <w:pPr>
        <w:spacing w:after="0" w:line="193" w:lineRule="exact"/>
        <w:rPr>
          <w:sz w:val="20"/>
          <w:szCs w:val="20"/>
          <w:color w:val="auto"/>
        </w:rPr>
      </w:pPr>
    </w:p>
    <w:p>
      <w:pPr>
        <w:ind w:left="424" w:right="140" w:hanging="424"/>
        <w:spacing w:after="0" w:line="308" w:lineRule="auto"/>
        <w:tabs>
          <w:tab w:leader="none" w:pos="424"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capitalized terms used herein shall have the meaning given to such terms in the Agreement, unless otherwise specifically defined in this Amendment. Any reference to the Agreement shall, unless the context dictates otherwise, include this Amendment.</w:t>
      </w:r>
    </w:p>
    <w:p>
      <w:pPr>
        <w:spacing w:after="0" w:line="173" w:lineRule="exact"/>
        <w:rPr>
          <w:rFonts w:ascii="Arial" w:cs="Arial" w:eastAsia="Arial" w:hAnsi="Arial"/>
          <w:sz w:val="17"/>
          <w:szCs w:val="17"/>
          <w:color w:val="auto"/>
        </w:rPr>
      </w:pPr>
    </w:p>
    <w:p>
      <w:pPr>
        <w:ind w:left="424" w:right="220" w:hanging="424"/>
        <w:spacing w:after="0" w:line="277" w:lineRule="auto"/>
        <w:tabs>
          <w:tab w:leader="none" w:pos="424"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Amendment to License Agreement</w:t>
      </w:r>
      <w:r>
        <w:rPr>
          <w:rFonts w:ascii="Arial" w:cs="Arial" w:eastAsia="Arial" w:hAnsi="Arial"/>
          <w:sz w:val="18"/>
          <w:szCs w:val="18"/>
          <w:color w:val="auto"/>
        </w:rPr>
        <w:t>. On the Amendment Effective Date, each of Exhibit A and Exhibit B of the Agreement are hereby deleted in their entirety and replaced by Appendix 1.</w:t>
      </w:r>
    </w:p>
    <w:p>
      <w:pPr>
        <w:spacing w:after="0" w:line="197" w:lineRule="exact"/>
        <w:rPr>
          <w:rFonts w:ascii="Arial" w:cs="Arial" w:eastAsia="Arial" w:hAnsi="Arial"/>
          <w:sz w:val="18"/>
          <w:szCs w:val="18"/>
          <w:color w:val="auto"/>
        </w:rPr>
      </w:pPr>
    </w:p>
    <w:p>
      <w:pPr>
        <w:ind w:left="424" w:right="20" w:hanging="424"/>
        <w:spacing w:after="0" w:line="257" w:lineRule="auto"/>
        <w:tabs>
          <w:tab w:leader="none" w:pos="424"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Ratification, Incorporation and Continuing Effect of Agreement</w:t>
      </w:r>
      <w:r>
        <w:rPr>
          <w:rFonts w:ascii="Arial" w:cs="Arial" w:eastAsia="Arial" w:hAnsi="Arial"/>
          <w:sz w:val="18"/>
          <w:szCs w:val="18"/>
          <w:color w:val="auto"/>
        </w:rPr>
        <w:t>. Except as expressly modified by this Amendment, (a) the Parties hereby acknowledge, confirm and ratify all of the terms and conditions set forth in, and all of its obligations under, the Agreement, and (b) all of the terms and conditions set forth in the Agreement are incorporated herein by this reference as if set forth in full herein. Except as provided in Section 2 of this Amendment or otherwise expressly provided under this Amendment, the provisions of the Agreement shall be unmodified and shall continue to be in full force and effect in accordance with its terms.</w:t>
      </w:r>
    </w:p>
    <w:p>
      <w:pPr>
        <w:spacing w:after="0" w:line="214" w:lineRule="exact"/>
        <w:rPr>
          <w:rFonts w:ascii="Arial" w:cs="Arial" w:eastAsia="Arial" w:hAnsi="Arial"/>
          <w:sz w:val="18"/>
          <w:szCs w:val="18"/>
          <w:color w:val="auto"/>
        </w:rPr>
      </w:pPr>
    </w:p>
    <w:p>
      <w:pPr>
        <w:jc w:val="both"/>
        <w:ind w:left="424" w:right="260" w:hanging="424"/>
        <w:spacing w:after="0" w:line="263" w:lineRule="auto"/>
        <w:tabs>
          <w:tab w:leader="none" w:pos="424"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No. 1 and the Agreement constitute the entire and exclusive agreement between the Parties with respect to the subject matter hereof. All previous discussions and agreements with respect to this subject matter are superseded by the Agreement and this Amendment.</w:t>
      </w:r>
    </w:p>
    <w:p>
      <w:pPr>
        <w:sectPr>
          <w:pgSz w:w="11900" w:h="16838" w:orient="portrait"/>
          <w:cols w:equalWidth="0" w:num="1">
            <w:col w:w="11024"/>
          </w:cols>
          <w:pgMar w:left="436" w:top="121" w:right="439" w:bottom="1440" w:gutter="0" w:footer="0" w:header="0"/>
        </w:sectPr>
      </w:pPr>
    </w:p>
    <w:bookmarkStart w:id="343" w:name="page344"/>
    <w:bookmarkEnd w:id="343"/>
    <w:p>
      <w:pPr>
        <w:jc w:val="both"/>
        <w:ind w:left="424" w:hanging="424"/>
        <w:spacing w:after="0" w:line="263" w:lineRule="auto"/>
        <w:tabs>
          <w:tab w:leader="none" w:pos="424"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Arial" w:cs="Arial" w:eastAsia="Arial" w:hAnsi="Arial"/>
          <w:sz w:val="18"/>
          <w:szCs w:val="18"/>
          <w:color w:val="auto"/>
        </w:rPr>
        <w:t>. This Amendment may be executed in two or more counterparts, each of which shall be deemed an original but all of which together shall constitute one valid and binding agreement. A facsimile or other electronic copy of an executed counterpart signature page will be as valid as an original executed counterpart for purposes of signing this Amendment.</w:t>
      </w:r>
    </w:p>
    <w:p>
      <w:pPr>
        <w:spacing w:after="0" w:line="18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{Signatures follow on the next page}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44" w:name="page345"/>
    <w:bookmarkEnd w:id="3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their duly authorized representatives to execute this Amendment.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AMGEN INC.</w:t>
            </w:r>
          </w:p>
        </w:tc>
        <w:tc>
          <w:tcPr>
            <w:tcW w:w="5660" w:type="dxa"/>
            <w:vAlign w:val="bottom"/>
            <w:gridSpan w:val="2"/>
          </w:tcPr>
          <w:p>
            <w:pPr>
              <w:ind w:left="440"/>
              <w:spacing w:after="0"/>
              <w:rPr>
                <w:sz w:val="20"/>
                <w:szCs w:val="20"/>
                <w:color w:val="auto"/>
              </w:rPr>
            </w:pPr>
            <w:r>
              <w:rPr>
                <w:rFonts w:ascii="Arial" w:cs="Arial" w:eastAsia="Arial" w:hAnsi="Arial"/>
                <w:sz w:val="18"/>
                <w:szCs w:val="18"/>
                <w:b w:val="1"/>
                <w:bCs w:val="1"/>
                <w:color w:val="auto"/>
              </w:rPr>
              <w:t>NEUMORA THERAPEUTICS,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Chu-Moyer</w:t>
            </w:r>
          </w:p>
        </w:tc>
        <w:tc>
          <w:tcPr>
            <w:tcW w:w="1140" w:type="dxa"/>
            <w:vAlign w:val="bottom"/>
          </w:tcPr>
          <w:p>
            <w:pPr>
              <w:ind w:left="4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Berns</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Margaret Chu-Moyer</w:t>
            </w:r>
          </w:p>
        </w:tc>
        <w:tc>
          <w:tcPr>
            <w:tcW w:w="1140" w:type="dxa"/>
            <w:vAlign w:val="bottom"/>
          </w:tcPr>
          <w:p>
            <w:pPr>
              <w:ind w:left="44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Paul Berns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Vice President, Research</w:t>
            </w:r>
          </w:p>
        </w:tc>
        <w:tc>
          <w:tcPr>
            <w:tcW w:w="1140" w:type="dxa"/>
            <w:vAlign w:val="bottom"/>
          </w:tcPr>
          <w:p>
            <w:pPr>
              <w:ind w:left="44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CEO</w:t>
            </w:r>
          </w:p>
        </w:tc>
      </w:tr>
      <w:tr>
        <w:trPr>
          <w:trHeight w:val="729"/>
        </w:trPr>
        <w:tc>
          <w:tcPr>
            <w:tcW w:w="6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3</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Omitted in accordance with Item 601(a)(5) of Regulation S-K.</w:t>
      </w:r>
    </w:p>
    <w:p>
      <w:pPr>
        <w:sectPr>
          <w:pgSz w:w="11900" w:h="16838" w:orient="portrait"/>
          <w:cols w:equalWidth="0" w:num="1">
            <w:col w:w="9019"/>
          </w:cols>
          <w:pgMar w:left="1440" w:top="270" w:right="1440"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100" w:type="dxa"/>
            <w:vAlign w:val="bottom"/>
          </w:tcPr>
          <w:p>
            <w:pPr>
              <w:ind w:left="2080"/>
              <w:spacing w:after="0"/>
              <w:rPr>
                <w:sz w:val="20"/>
                <w:szCs w:val="20"/>
                <w:color w:val="auto"/>
              </w:rPr>
            </w:pPr>
            <w:r>
              <w:rPr>
                <w:rFonts w:ascii="Arial" w:cs="Arial" w:eastAsia="Arial" w:hAnsi="Arial"/>
                <w:sz w:val="18"/>
                <w:szCs w:val="18"/>
                <w:b w:val="1"/>
                <w:bCs w:val="1"/>
                <w:color w:val="auto"/>
                <w:w w:val="90"/>
              </w:rPr>
              <w:t>Exhibit 10.13</w:t>
            </w:r>
          </w:p>
        </w:tc>
      </w:tr>
      <w:tr>
        <w:trPr>
          <w:trHeight w:val="392"/>
        </w:trPr>
        <w:tc>
          <w:tcPr>
            <w:tcW w:w="3100" w:type="dxa"/>
            <w:vAlign w:val="bottom"/>
          </w:tcPr>
          <w:p>
            <w:pPr>
              <w:spacing w:after="0"/>
              <w:rPr>
                <w:sz w:val="24"/>
                <w:szCs w:val="24"/>
                <w:color w:val="auto"/>
              </w:rPr>
            </w:pPr>
          </w:p>
        </w:tc>
        <w:tc>
          <w:tcPr>
            <w:tcW w:w="4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INDEMNIFICATION AND ADVANCEMENT AGREEMENT</w:t>
            </w:r>
          </w:p>
        </w:tc>
        <w:tc>
          <w:tcPr>
            <w:tcW w:w="3100" w:type="dxa"/>
            <w:vAlign w:val="bottom"/>
          </w:tcPr>
          <w:p>
            <w:pPr>
              <w:spacing w:after="0"/>
              <w:rPr>
                <w:sz w:val="24"/>
                <w:szCs w:val="24"/>
                <w:color w:val="auto"/>
              </w:rPr>
            </w:pPr>
          </w:p>
        </w:tc>
      </w:tr>
      <w:tr>
        <w:trPr>
          <w:trHeight w:val="434"/>
        </w:trPr>
        <w:tc>
          <w:tcPr>
            <w:tcW w:w="6620" w:type="dxa"/>
            <w:vAlign w:val="bottom"/>
            <w:gridSpan w:val="3"/>
          </w:tcPr>
          <w:p>
            <w:pPr>
              <w:ind w:left="440"/>
              <w:spacing w:after="0"/>
              <w:rPr>
                <w:sz w:val="20"/>
                <w:szCs w:val="20"/>
                <w:color w:val="auto"/>
              </w:rPr>
            </w:pPr>
            <w:r>
              <w:rPr>
                <w:rFonts w:ascii="Arial" w:cs="Arial" w:eastAsia="Arial" w:hAnsi="Arial"/>
                <w:sz w:val="18"/>
                <w:szCs w:val="18"/>
                <w:color w:val="auto"/>
                <w:w w:val="96"/>
              </w:rPr>
              <w:t>This Indemnification and Advancement Agreement (“</w:t>
            </w:r>
            <w:r>
              <w:rPr>
                <w:rFonts w:ascii="Arial" w:cs="Arial" w:eastAsia="Arial" w:hAnsi="Arial"/>
                <w:sz w:val="18"/>
                <w:szCs w:val="18"/>
                <w:b w:val="1"/>
                <w:bCs w:val="1"/>
                <w:color w:val="auto"/>
                <w:w w:val="96"/>
              </w:rPr>
              <w:t>Agreement</w:t>
            </w:r>
            <w:r>
              <w:rPr>
                <w:rFonts w:ascii="Arial" w:cs="Arial" w:eastAsia="Arial" w:hAnsi="Arial"/>
                <w:sz w:val="18"/>
                <w:szCs w:val="18"/>
                <w:color w:val="auto"/>
                <w:w w:val="96"/>
              </w:rPr>
              <w:t>”) is made as of</w:t>
            </w: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w w:val="96"/>
              </w:rPr>
              <w:t>, 20   by and between Neumora Therapeutics, Inc., a</w:t>
            </w:r>
          </w:p>
        </w:tc>
      </w:tr>
      <w:tr>
        <w:trPr>
          <w:trHeight w:val="234"/>
        </w:trPr>
        <w:tc>
          <w:tcPr>
            <w:tcW w:w="3720" w:type="dxa"/>
            <w:vAlign w:val="bottom"/>
            <w:gridSpan w:val="2"/>
          </w:tcPr>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tc>
        <w:tc>
          <w:tcPr>
            <w:tcW w:w="7300" w:type="dxa"/>
            <w:vAlign w:val="bottom"/>
            <w:gridSpan w:val="3"/>
          </w:tcPr>
          <w:p>
            <w:pPr>
              <w:ind w:left="480"/>
              <w:spacing w:after="0"/>
              <w:rPr>
                <w:sz w:val="20"/>
                <w:szCs w:val="20"/>
                <w:color w:val="auto"/>
              </w:rPr>
            </w:pPr>
            <w:r>
              <w:rPr>
                <w:rFonts w:ascii="Arial" w:cs="Arial" w:eastAsia="Arial" w:hAnsi="Arial"/>
                <w:sz w:val="18"/>
                <w:szCs w:val="18"/>
                <w:color w:val="auto"/>
              </w:rPr>
              <w:t>, [a member of the Board of Directors/an officer/an employee] of the Company</w:t>
            </w:r>
          </w:p>
        </w:tc>
      </w:tr>
    </w:tbl>
    <w:p>
      <w:pPr>
        <w:ind w:right="9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This Agreement supersedes and replaces any and all previous Agreements between the Company and Indemnitee covering indemnification and advancement of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120" w:firstLine="440"/>
        <w:spacing w:after="0" w:line="261"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8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require indemnification of the officers and directors of the Company. Indemnitee may also be entitled to indemnification pursuant to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The Bylaws, the Certificate of Incorporation, and the DGCL expressly provide that the indemnification provisions set forth therein are not exclusive, and thereby contemplate that contracts may be entered into between the Company and members of its board of directors, officers, and other persons with respect to indemnification and advancement of expenses;</w:t>
      </w:r>
    </w:p>
    <w:p>
      <w:pPr>
        <w:spacing w:after="0" w:line="182"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WHEREAS, the uncertainties relating to such insurance, to indemnification, and to advancement of expenses may increase the difficulty of attracting and retaining such persons;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84"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47" w:name="page348"/>
    <w:bookmarkEnd w:id="347"/>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this Agreement is a supplement to, and in furtherance of, the Bylaws, the Certificate of Incorporation and any resolutions adopted pursuant thereto, as well as any rights of Indemnitee under any directors’ and officers’ liability insurance policy, and is not a substitute therefor, and does not diminish or abrogate any rights of Indemnitee thereunder; and</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WHEREAS, Indemnitee does not regard the protection available under the Bylaws, the Certificate of Incorporation, DGCL and available insurance as adequate in the present circumstances, and may not be willing to serve or continue to serve as an officer, director or employee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Services to the Company.</w:t>
      </w:r>
      <w:r>
        <w:rPr>
          <w:rFonts w:ascii="Arial" w:cs="Arial" w:eastAsia="Arial" w:hAnsi="Arial"/>
          <w:sz w:val="18"/>
          <w:szCs w:val="18"/>
          <w:color w:val="auto"/>
        </w:rPr>
        <w:t xml:space="preserve"> Indemnitee agrees to serve as a [director/officer/employee/agent]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295"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As used in this Agreement:</w:t>
      </w:r>
    </w:p>
    <w:p>
      <w:pPr>
        <w:spacing w:after="0" w:line="113" w:lineRule="exact"/>
        <w:rPr>
          <w:sz w:val="20"/>
          <w:szCs w:val="20"/>
          <w:color w:val="auto"/>
        </w:rPr>
      </w:pPr>
    </w:p>
    <w:p>
      <w:pPr>
        <w:ind w:right="40" w:firstLine="987"/>
        <w:spacing w:after="0" w:line="282" w:lineRule="auto"/>
        <w:tabs>
          <w:tab w:leader="none" w:pos="137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person who is authorized by the Company or an Enterprise to act for or represent the interests of the Company or an Enterprise, respectively.</w:t>
      </w:r>
    </w:p>
    <w:p>
      <w:pPr>
        <w:spacing w:after="0" w:line="161" w:lineRule="exact"/>
        <w:rPr>
          <w:rFonts w:ascii="Arial" w:cs="Arial" w:eastAsia="Arial" w:hAnsi="Arial"/>
          <w:sz w:val="18"/>
          <w:szCs w:val="18"/>
          <w:color w:val="auto"/>
        </w:rPr>
      </w:pPr>
    </w:p>
    <w:p>
      <w:pPr>
        <w:ind w:left="1380" w:hanging="393"/>
        <w:spacing w:after="0"/>
        <w:tabs>
          <w:tab w:leader="none" w:pos="13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occurs upon the earliest to occur after the date of this Agreement of any of the following events:</w:t>
      </w:r>
    </w:p>
    <w:p>
      <w:pPr>
        <w:spacing w:after="0" w:line="229" w:lineRule="exact"/>
        <w:rPr>
          <w:rFonts w:ascii="Arial" w:cs="Arial" w:eastAsia="Arial" w:hAnsi="Arial"/>
          <w:sz w:val="18"/>
          <w:szCs w:val="18"/>
          <w:color w:val="auto"/>
        </w:rPr>
      </w:pPr>
    </w:p>
    <w:p>
      <w:pPr>
        <w:jc w:val="both"/>
        <w:ind w:right="40" w:firstLine="1428"/>
        <w:spacing w:after="0" w:line="279" w:lineRule="auto"/>
        <w:tabs>
          <w:tab w:leader="none" w:pos="1707" w:val="left"/>
        </w:tabs>
        <w:numPr>
          <w:ilvl w:val="1"/>
          <w:numId w:val="228"/>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71" w:lineRule="exact"/>
        <w:rPr>
          <w:rFonts w:ascii="Arial" w:cs="Arial" w:eastAsia="Arial" w:hAnsi="Arial"/>
          <w:sz w:val="17"/>
          <w:szCs w:val="17"/>
          <w:color w:val="auto"/>
        </w:rPr>
      </w:pPr>
    </w:p>
    <w:p>
      <w:pPr>
        <w:ind w:right="80" w:firstLine="1428"/>
        <w:spacing w:after="0" w:line="273" w:lineRule="auto"/>
        <w:tabs>
          <w:tab w:leader="none" w:pos="1757" w:val="left"/>
        </w:tabs>
        <w:numPr>
          <w:ilvl w:val="1"/>
          <w:numId w:val="228"/>
        </w:numPr>
        <w:rPr>
          <w:rFonts w:ascii="Arial" w:cs="Arial" w:eastAsia="Arial" w:hAnsi="Arial"/>
          <w:sz w:val="17"/>
          <w:szCs w:val="17"/>
          <w:color w:val="auto"/>
        </w:rPr>
      </w:pPr>
      <w:r>
        <w:rPr>
          <w:rFonts w:ascii="Arial" w:cs="Arial" w:eastAsia="Arial" w:hAnsi="Arial"/>
          <w:sz w:val="17"/>
          <w:szCs w:val="17"/>
          <w:u w:val="single" w:color="auto"/>
          <w:color w:val="auto"/>
        </w:rPr>
        <w:t>Change in Board of Directors</w:t>
      </w:r>
      <w:r>
        <w:rPr>
          <w:rFonts w:ascii="Arial" w:cs="Arial" w:eastAsia="Arial" w:hAnsi="Arial"/>
          <w:sz w:val="17"/>
          <w:szCs w:val="17"/>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of this Agreement)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48" w:name="page349"/>
    <w:bookmarkEnd w:id="348"/>
    <w:p>
      <w:pPr>
        <w:ind w:right="20" w:firstLine="1428"/>
        <w:spacing w:after="0" w:line="275" w:lineRule="auto"/>
        <w:tabs>
          <w:tab w:leader="none" w:pos="1807"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Transactions</w:t>
      </w:r>
      <w:r>
        <w:rPr>
          <w:rFonts w:ascii="Arial" w:cs="Arial" w:eastAsia="Arial" w:hAnsi="Arial"/>
          <w:sz w:val="17"/>
          <w:szCs w:val="17"/>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76" w:lineRule="exact"/>
        <w:rPr>
          <w:rFonts w:ascii="Arial" w:cs="Arial" w:eastAsia="Arial" w:hAnsi="Arial"/>
          <w:sz w:val="17"/>
          <w:szCs w:val="17"/>
          <w:color w:val="auto"/>
        </w:rPr>
      </w:pPr>
    </w:p>
    <w:p>
      <w:pPr>
        <w:ind w:right="180" w:firstLine="1428"/>
        <w:spacing w:after="0" w:line="277" w:lineRule="auto"/>
        <w:tabs>
          <w:tab w:leader="none" w:pos="1785"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for the sale or disposition by the Company of all or substantially all of the Company’s assets; and</w:t>
      </w:r>
    </w:p>
    <w:p>
      <w:pPr>
        <w:spacing w:after="0" w:line="170" w:lineRule="exact"/>
        <w:rPr>
          <w:rFonts w:ascii="Arial" w:cs="Arial" w:eastAsia="Arial" w:hAnsi="Arial"/>
          <w:sz w:val="18"/>
          <w:szCs w:val="18"/>
          <w:color w:val="auto"/>
        </w:rPr>
      </w:pPr>
    </w:p>
    <w:p>
      <w:pPr>
        <w:ind w:right="180" w:firstLine="1428"/>
        <w:spacing w:after="0" w:line="263" w:lineRule="auto"/>
        <w:tabs>
          <w:tab w:leader="none" w:pos="1735"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1800" w:hanging="372"/>
        <w:spacing w:after="0"/>
        <w:tabs>
          <w:tab w:leader="none" w:pos="18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For purposes of this Section 2(b), the following terms have the following meanings:</w:t>
      </w:r>
    </w:p>
    <w:p>
      <w:pPr>
        <w:spacing w:after="0" w:line="127" w:lineRule="exact"/>
        <w:rPr>
          <w:sz w:val="20"/>
          <w:szCs w:val="20"/>
          <w:color w:val="auto"/>
        </w:rPr>
      </w:pPr>
    </w:p>
    <w:p>
      <w:pPr>
        <w:ind w:left="2400" w:hanging="433"/>
        <w:spacing w:after="0"/>
        <w:tabs>
          <w:tab w:leader="none" w:pos="24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w:t>
      </w:r>
    </w:p>
    <w:p>
      <w:pPr>
        <w:spacing w:after="0" w:line="131" w:lineRule="exact"/>
        <w:rPr>
          <w:sz w:val="20"/>
          <w:szCs w:val="20"/>
          <w:color w:val="auto"/>
        </w:rPr>
      </w:pPr>
    </w:p>
    <w:p>
      <w:pPr>
        <w:ind w:left="2400" w:hanging="433"/>
        <w:spacing w:after="0" w:line="281" w:lineRule="auto"/>
        <w:tabs>
          <w:tab w:leader="none" w:pos="24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has the meaning as set forth in Sections 13(d) and 14(d) of the Exchange Act; provided, however, that Person excludes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70" w:lineRule="exact"/>
        <w:rPr>
          <w:sz w:val="20"/>
          <w:szCs w:val="20"/>
          <w:color w:val="auto"/>
        </w:rPr>
      </w:pPr>
    </w:p>
    <w:p>
      <w:pPr>
        <w:jc w:val="both"/>
        <w:ind w:left="2400" w:right="200" w:hanging="433"/>
        <w:spacing w:after="0" w:line="266" w:lineRule="auto"/>
        <w:tabs>
          <w:tab w:leader="none" w:pos="24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75" w:lineRule="exact"/>
        <w:rPr>
          <w:rFonts w:ascii="Arial" w:cs="Arial" w:eastAsia="Arial" w:hAnsi="Arial"/>
          <w:sz w:val="18"/>
          <w:szCs w:val="18"/>
          <w:color w:val="auto"/>
        </w:rPr>
      </w:pPr>
    </w:p>
    <w:p>
      <w:pPr>
        <w:ind w:right="160" w:firstLine="987"/>
        <w:spacing w:after="0" w:line="282" w:lineRule="auto"/>
        <w:tabs>
          <w:tab w:leader="none" w:pos="137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Status</w:t>
      </w:r>
      <w:r>
        <w:rPr>
          <w:rFonts w:ascii="Arial" w:cs="Arial" w:eastAsia="Arial" w:hAnsi="Arial"/>
          <w:sz w:val="18"/>
          <w:szCs w:val="18"/>
          <w:color w:val="auto"/>
        </w:rPr>
        <w:t>” describes the status of a person who is or was acting as a director, officer, employee, fiduciary, or Agent of the Company or an Enterprise.</w:t>
      </w:r>
    </w:p>
    <w:p>
      <w:pPr>
        <w:spacing w:after="0" w:line="161" w:lineRule="exact"/>
        <w:rPr>
          <w:rFonts w:ascii="Arial" w:cs="Arial" w:eastAsia="Arial" w:hAnsi="Arial"/>
          <w:sz w:val="18"/>
          <w:szCs w:val="18"/>
          <w:color w:val="auto"/>
        </w:rPr>
      </w:pPr>
    </w:p>
    <w:p>
      <w:pPr>
        <w:ind w:right="360" w:firstLine="987"/>
        <w:spacing w:after="0" w:line="282" w:lineRule="auto"/>
        <w:tabs>
          <w:tab w:leader="none" w:pos="138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49" w:name="page350"/>
    <w:bookmarkEnd w:id="349"/>
    <w:p>
      <w:pPr>
        <w:ind w:left="4" w:right="20" w:firstLine="987"/>
        <w:spacing w:after="0" w:line="282" w:lineRule="auto"/>
        <w:tabs>
          <w:tab w:leader="none" w:pos="1375" w:val="left"/>
        </w:tabs>
        <w:numPr>
          <w:ilvl w:val="1"/>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Enterprise</w:t>
      </w:r>
      <w:r>
        <w:rPr>
          <w:rFonts w:ascii="Arial" w:cs="Arial" w:eastAsia="Arial" w:hAnsi="Arial"/>
          <w:sz w:val="18"/>
          <w:szCs w:val="18"/>
          <w:color w:val="auto"/>
        </w:rPr>
        <w:t>” means any other corporation, limited liability company, partnership, joint venture, trust, employee benefit plan or other entity for which Indemnitee is or was serving at the request of the Company as a director, officer, employee, or Agent.</w:t>
      </w:r>
    </w:p>
    <w:p>
      <w:pPr>
        <w:spacing w:after="0" w:line="161" w:lineRule="exact"/>
        <w:rPr>
          <w:rFonts w:ascii="Arial" w:cs="Arial" w:eastAsia="Arial" w:hAnsi="Arial"/>
          <w:sz w:val="18"/>
          <w:szCs w:val="18"/>
          <w:color w:val="auto"/>
        </w:rPr>
      </w:pPr>
    </w:p>
    <w:p>
      <w:pPr>
        <w:ind w:left="4" w:firstLine="987"/>
        <w:spacing w:after="0" w:line="289" w:lineRule="auto"/>
        <w:tabs>
          <w:tab w:leader="none" w:pos="135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Expenses</w:t>
      </w:r>
      <w:r>
        <w:rPr>
          <w:rFonts w:ascii="Arial" w:cs="Arial" w:eastAsia="Arial" w:hAnsi="Arial"/>
          <w:sz w:val="16"/>
          <w:szCs w:val="16"/>
          <w:color w:val="auto"/>
        </w:rPr>
        <w:t>” includes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of this Agreement only, Expenses incurred by Indemnitee in connection with the interpretation, enforcement or defense of Indemnitee’s rights under this Agreement, by litigation or otherwise. Expenses, however, do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ind w:left="4" w:right="120" w:firstLine="987"/>
        <w:spacing w:after="0" w:line="289" w:lineRule="auto"/>
        <w:tabs>
          <w:tab w:leader="none" w:pos="138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Counsel</w:t>
      </w:r>
      <w:r>
        <w:rPr>
          <w:rFonts w:ascii="Arial" w:cs="Arial" w:eastAsia="Arial" w:hAnsi="Arial"/>
          <w:sz w:val="16"/>
          <w:szCs w:val="16"/>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1" w:lineRule="exact"/>
        <w:rPr>
          <w:rFonts w:ascii="Arial" w:cs="Arial" w:eastAsia="Arial" w:hAnsi="Arial"/>
          <w:sz w:val="16"/>
          <w:szCs w:val="16"/>
          <w:color w:val="auto"/>
        </w:rPr>
      </w:pPr>
    </w:p>
    <w:p>
      <w:pPr>
        <w:ind w:left="4" w:right="180" w:hanging="4"/>
        <w:spacing w:after="0" w:line="277" w:lineRule="auto"/>
        <w:tabs>
          <w:tab w:leader="none" w:pos="26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8" w:lineRule="exact"/>
        <w:rPr>
          <w:rFonts w:ascii="Arial" w:cs="Arial" w:eastAsia="Arial" w:hAnsi="Arial"/>
          <w:sz w:val="17"/>
          <w:szCs w:val="17"/>
          <w:color w:val="auto"/>
        </w:rPr>
      </w:pPr>
    </w:p>
    <w:p>
      <w:pPr>
        <w:ind w:left="4" w:right="20" w:firstLine="987"/>
        <w:spacing w:after="0" w:line="273" w:lineRule="auto"/>
        <w:tabs>
          <w:tab w:leader="none" w:pos="1385" w:val="left"/>
        </w:tabs>
        <w:numPr>
          <w:ilvl w:val="1"/>
          <w:numId w:val="2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Potential Change in Control</w:t>
      </w:r>
      <w:r>
        <w:rPr>
          <w:rFonts w:ascii="Arial" w:cs="Arial" w:eastAsia="Arial" w:hAnsi="Arial"/>
          <w:sz w:val="17"/>
          <w:szCs w:val="17"/>
          <w:color w:val="auto"/>
        </w:rPr>
        <w:t>” means the occurrence of any of the following events: (i) the Company enters into any written or oral agreement, undertaking or arrangement, the consummation of which would result in the occurrence of a Change in Control; (ii) any Person or the Company publicly announces an intention to take or consider taking actions which if consummated would constitute a Change in Control; (iii) any Person who becomes the Beneficial Owner, directly or indirectly, of securities of the Company representing 5% or more of the combined voting power of the Company’s then outstanding securities entitled to vote generally in the election of directors increases his beneficial ownership of such securities by 5% or more over the percentage so owned by such Person on the date hereof; or (iv) the Board adopts a resolution to the effect that, for purposes of this Agreement, a Potential Change in Control has occurred.</w:t>
      </w:r>
    </w:p>
    <w:p>
      <w:pPr>
        <w:spacing w:after="0" w:line="171" w:lineRule="exact"/>
        <w:rPr>
          <w:rFonts w:ascii="Arial" w:cs="Arial" w:eastAsia="Arial" w:hAnsi="Arial"/>
          <w:sz w:val="17"/>
          <w:szCs w:val="17"/>
          <w:color w:val="auto"/>
        </w:rPr>
      </w:pPr>
    </w:p>
    <w:p>
      <w:pPr>
        <w:ind w:left="4" w:right="80" w:firstLine="987"/>
        <w:spacing w:after="0" w:line="261" w:lineRule="auto"/>
        <w:tabs>
          <w:tab w:leader="none" w:pos="134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350" w:name="page351"/>
    <w:bookmarkEnd w:id="350"/>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6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Delaware Court of Chancery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66"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xml:space="preserve"> Notwithstanding any other provisions of this Agreement,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51" w:name="page352"/>
    <w:bookmarkEnd w:id="351"/>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xml:space="preserve"> Notwithstanding any other provision of this Agreement and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Partial Indemnification.</w:t>
      </w:r>
      <w:r>
        <w:rPr>
          <w:rFonts w:ascii="Arial" w:cs="Arial" w:eastAsia="Arial" w:hAnsi="Arial"/>
          <w:sz w:val="18"/>
          <w:szCs w:val="18"/>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84"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Additional Indemnification.</w:t>
      </w:r>
      <w:r>
        <w:rPr>
          <w:rFonts w:ascii="Arial" w:cs="Arial" w:eastAsia="Arial" w:hAnsi="Arial"/>
          <w:sz w:val="18"/>
          <w:szCs w:val="18"/>
          <w:color w:val="auto"/>
        </w:rPr>
        <w:t xml:space="preserve"> Notwithstanding any limitation in Sections 3, 4, or 5 of this Agreement, the Company will indemnify Indemnitee to the fullest extent permitted by applicable law (including but not limited to, the DGCL and any amendments to or replacements of the DGCL adopted after the date of this Agreement that expand the Company’s ability to indemnify its officers, directors, employees or Agents) if Indemnitee is a party to or threatened to be made a party to any Proceeding (including a Proceeding by or in the right of the Company to procure a judgment in its favor).</w:t>
      </w:r>
    </w:p>
    <w:p>
      <w:pPr>
        <w:spacing w:after="0" w:line="188"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 xml:space="preserve">Exclusions. </w:t>
      </w:r>
      <w:r>
        <w:rPr>
          <w:rFonts w:ascii="Arial" w:cs="Arial" w:eastAsia="Arial" w:hAnsi="Arial"/>
          <w:sz w:val="16"/>
          <w:szCs w:val="16"/>
          <w:color w:val="auto"/>
        </w:rPr>
        <w:t>Notwithstanding any provision in this Agreement, the Company is not obligated under this Agreement to make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payment to Indemnitee in connection with any Proceeding:</w:t>
      </w:r>
    </w:p>
    <w:p>
      <w:pPr>
        <w:spacing w:after="0" w:line="211" w:lineRule="exact"/>
        <w:rPr>
          <w:sz w:val="20"/>
          <w:szCs w:val="20"/>
          <w:color w:val="auto"/>
        </w:rPr>
      </w:pPr>
    </w:p>
    <w:p>
      <w:pPr>
        <w:ind w:right="100" w:firstLine="987"/>
        <w:spacing w:after="0" w:line="275" w:lineRule="auto"/>
        <w:tabs>
          <w:tab w:leader="none" w:pos="137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for which payment has actually been made to or on behalf of Indemnitee under any insurance policy or other indemnity provision, except to the extent provided in Section 16(b) of the Exchange Act (as defined in Section 2(b) hereof) and except with respect to any excess beyond the amount paid under any insurance policy or other indemnity provision;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 or</w:t>
      </w:r>
    </w:p>
    <w:p>
      <w:pPr>
        <w:spacing w:after="0" w:line="176" w:lineRule="exact"/>
        <w:rPr>
          <w:rFonts w:ascii="Arial" w:cs="Arial" w:eastAsia="Arial" w:hAnsi="Arial"/>
          <w:sz w:val="17"/>
          <w:szCs w:val="17"/>
          <w:color w:val="auto"/>
        </w:rPr>
      </w:pPr>
    </w:p>
    <w:p>
      <w:pPr>
        <w:ind w:firstLine="987"/>
        <w:spacing w:after="0" w:line="270" w:lineRule="auto"/>
        <w:tabs>
          <w:tab w:leader="none" w:pos="138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for (i) an accounting of profits made from the purchase and sale (or sale and purchase) by Indemnitee of securities of the Company within the meaning of Section 16(b) of the Exchange Act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52" w:name="page353"/>
    <w:bookmarkEnd w:id="352"/>
    <w:p>
      <w:pPr>
        <w:ind w:left="-60" w:firstLine="987"/>
        <w:spacing w:after="0" w:line="275" w:lineRule="auto"/>
        <w:tabs>
          <w:tab w:leader="none" w:pos="1311" w:val="left"/>
        </w:tabs>
        <w:numPr>
          <w:ilvl w:val="0"/>
          <w:numId w:val="2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Proceeding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w:t>
      </w:r>
    </w:p>
    <w:p>
      <w:pPr>
        <w:spacing w:after="0" w:line="284" w:lineRule="exact"/>
        <w:rPr>
          <w:sz w:val="20"/>
          <w:szCs w:val="20"/>
          <w:color w:val="auto"/>
        </w:rPr>
      </w:pPr>
    </w:p>
    <w:p>
      <w:pPr>
        <w:ind w:left="380"/>
        <w:spacing w:after="0"/>
        <w:tabs>
          <w:tab w:leader="none" w:pos="13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Advances of Expenses.</w:t>
      </w:r>
    </w:p>
    <w:p>
      <w:pPr>
        <w:spacing w:after="0" w:line="117" w:lineRule="exact"/>
        <w:rPr>
          <w:sz w:val="20"/>
          <w:szCs w:val="20"/>
          <w:color w:val="auto"/>
        </w:rPr>
      </w:pPr>
    </w:p>
    <w:p>
      <w:pPr>
        <w:ind w:left="-60" w:right="80" w:firstLine="987"/>
        <w:spacing w:after="0" w:line="272" w:lineRule="auto"/>
        <w:tabs>
          <w:tab w:leader="none" w:pos="131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Company will advance, to the extent not prohibited by law (as determined by a court of competent jurisdiction in a final adjudication not subject to further appeal), the Expenses incurred by Indemnitee in connection with any Proceeding (or any part of any Proceeding) not initiated by Indemnitee or any Proceeding (or any part of any Proceeding) initiated by Indemnitee if (i) the Proceeding or part of any Proceeding is to enforce Indemnitee’s rights to obtain indemnification or advancement of Expenses from the Company or Enterprise, including a proceeding initiated pursuant to Section 14 or (ii) the Board authorized the Proceeding (or any part of any Proceeding) prior to its initiation. The Company will advance the Expenses within thirty (30) days after the receipt by the Company of a statement or statements requesting such advances from time to time, whether prior to or after final disposition of any Proceeding eligible for advancement of expenses.</w:t>
      </w:r>
    </w:p>
    <w:p>
      <w:pPr>
        <w:spacing w:after="0" w:line="177" w:lineRule="exact"/>
        <w:rPr>
          <w:rFonts w:ascii="Arial" w:cs="Arial" w:eastAsia="Arial" w:hAnsi="Arial"/>
          <w:sz w:val="17"/>
          <w:szCs w:val="17"/>
          <w:color w:val="auto"/>
        </w:rPr>
      </w:pPr>
    </w:p>
    <w:p>
      <w:pPr>
        <w:ind w:left="-60" w:right="140" w:firstLine="987"/>
        <w:spacing w:after="0" w:line="257" w:lineRule="auto"/>
        <w:tabs>
          <w:tab w:leader="none" w:pos="132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Advances will be unsecured and interest free. Indemnitee undertakes to repay the amounts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296" w:lineRule="exact"/>
        <w:rPr>
          <w:sz w:val="20"/>
          <w:szCs w:val="20"/>
          <w:color w:val="auto"/>
        </w:rPr>
      </w:pPr>
    </w:p>
    <w:p>
      <w:pPr>
        <w:ind w:left="380"/>
        <w:spacing w:after="0"/>
        <w:tabs>
          <w:tab w:leader="none" w:pos="13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Procedure for Notification of Claim for Indemnification or Advancement.</w:t>
      </w:r>
    </w:p>
    <w:p>
      <w:pPr>
        <w:spacing w:after="0" w:line="117" w:lineRule="exact"/>
        <w:rPr>
          <w:sz w:val="20"/>
          <w:szCs w:val="20"/>
          <w:color w:val="auto"/>
        </w:rPr>
      </w:pPr>
    </w:p>
    <w:p>
      <w:pPr>
        <w:ind w:left="-60" w:right="60" w:firstLine="987"/>
        <w:spacing w:after="0" w:line="271" w:lineRule="auto"/>
        <w:tabs>
          <w:tab w:leader="none" w:pos="131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 Indemnitee agrees to choose counsel that is a member of the approved list of panel counsel under the Company’s applicable directors’ and officers’ insurance policy, should the applicable policy provide for a panel of approved counsel.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500" w:top="274" w:right="499" w:bottom="1440" w:gutter="0" w:footer="0" w:header="0"/>
        </w:sectPr>
      </w:pPr>
    </w:p>
    <w:bookmarkStart w:id="353" w:name="page354"/>
    <w:bookmarkEnd w:id="353"/>
    <w:p>
      <w:pPr>
        <w:ind w:left="1380" w:hanging="393"/>
        <w:spacing w:after="0"/>
        <w:tabs>
          <w:tab w:leader="none" w:pos="13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be entitled to participate in the Proceeding at its own expense.</w:t>
      </w:r>
    </w:p>
    <w:p>
      <w:pPr>
        <w:spacing w:after="0" w:line="333"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Procedure Upon Application for Indemnification.</w:t>
      </w:r>
    </w:p>
    <w:p>
      <w:pPr>
        <w:spacing w:after="0" w:line="117" w:lineRule="exact"/>
        <w:rPr>
          <w:sz w:val="20"/>
          <w:szCs w:val="20"/>
          <w:color w:val="auto"/>
        </w:rPr>
      </w:pPr>
    </w:p>
    <w:p>
      <w:pPr>
        <w:ind w:left="1360" w:hanging="373"/>
        <w:spacing w:after="0"/>
        <w:tabs>
          <w:tab w:leader="none" w:pos="13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Unless a Change of Control has occurred, the determination of Indemnitee’s entitlement to indemnification will be made:</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by a majority vote of the Disinterested Directors, even though less than a quorum of the Board;</w:t>
      </w:r>
    </w:p>
    <w:p>
      <w:pPr>
        <w:spacing w:after="0" w:line="225" w:lineRule="exact"/>
        <w:rPr>
          <w:rFonts w:ascii="Arial" w:cs="Arial" w:eastAsia="Arial" w:hAnsi="Arial"/>
          <w:sz w:val="18"/>
          <w:szCs w:val="18"/>
          <w:color w:val="auto"/>
        </w:rPr>
      </w:pPr>
    </w:p>
    <w:p>
      <w:pPr>
        <w:ind w:left="1760" w:hanging="332"/>
        <w:spacing w:after="0"/>
        <w:tabs>
          <w:tab w:leader="none" w:pos="176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by a committee of Disinterested Directors designated by a majority vote of the Disinterested Directors, even though less than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quorum of the Board;</w:t>
      </w:r>
    </w:p>
    <w:p>
      <w:pPr>
        <w:spacing w:after="0" w:line="210" w:lineRule="exact"/>
        <w:rPr>
          <w:rFonts w:ascii="Arial" w:cs="Arial" w:eastAsia="Arial" w:hAnsi="Arial"/>
          <w:sz w:val="16"/>
          <w:szCs w:val="16"/>
          <w:color w:val="auto"/>
        </w:rPr>
      </w:pPr>
    </w:p>
    <w:p>
      <w:pPr>
        <w:ind w:right="580" w:firstLine="1428"/>
        <w:spacing w:after="0" w:line="277" w:lineRule="auto"/>
        <w:tabs>
          <w:tab w:leader="none" w:pos="185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if there are no such Disinterested Directors or, if such Disinterested Directors so direct, by written opinion provided by Independent Counsel selected by the Board; or</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if so directed by the Board, by the stockholders of the Company.</w:t>
      </w:r>
    </w:p>
    <w:p>
      <w:pPr>
        <w:spacing w:after="0" w:line="225" w:lineRule="exact"/>
        <w:rPr>
          <w:rFonts w:ascii="Arial" w:cs="Arial" w:eastAsia="Arial" w:hAnsi="Arial"/>
          <w:sz w:val="18"/>
          <w:szCs w:val="18"/>
          <w:color w:val="auto"/>
        </w:rPr>
      </w:pPr>
    </w:p>
    <w:p>
      <w:pPr>
        <w:ind w:right="520" w:firstLine="987"/>
        <w:spacing w:after="0" w:line="342" w:lineRule="auto"/>
        <w:tabs>
          <w:tab w:leader="none" w:pos="138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123" w:lineRule="exact"/>
        <w:rPr>
          <w:rFonts w:ascii="Arial" w:cs="Arial" w:eastAsia="Arial" w:hAnsi="Arial"/>
          <w:sz w:val="16"/>
          <w:szCs w:val="16"/>
          <w:color w:val="auto"/>
        </w:rPr>
      </w:pPr>
    </w:p>
    <w:p>
      <w:pPr>
        <w:ind w:firstLine="987"/>
        <w:spacing w:after="0" w:line="268" w:lineRule="auto"/>
        <w:tabs>
          <w:tab w:leader="none" w:pos="141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Section 11(a) of this Agreement and the final disposition of the Proceeding, Independent Counsel has not been selected or, if selected, any objection to such selection has not been resolved, either the Company or Indemnitee may petition the Delaware Court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86" w:lineRule="exact"/>
        <w:rPr>
          <w:rFonts w:ascii="Arial" w:cs="Arial" w:eastAsia="Arial" w:hAnsi="Arial"/>
          <w:sz w:val="17"/>
          <w:szCs w:val="17"/>
          <w:color w:val="auto"/>
        </w:rPr>
      </w:pPr>
    </w:p>
    <w:p>
      <w:pPr>
        <w:ind w:right="260" w:firstLine="987"/>
        <w:spacing w:after="0" w:line="277" w:lineRule="auto"/>
        <w:tabs>
          <w:tab w:leader="none" w:pos="138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Indemnitee will cooperate with the person, persons or entity making the determination with respect to Indemnitee’s entitlement to indemnification, including providing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54" w:name="page355"/>
    <w:bookmarkEnd w:id="354"/>
    <w:p>
      <w:pPr>
        <w:ind w:left="4"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95" w:lineRule="exact"/>
        <w:rPr>
          <w:sz w:val="20"/>
          <w:szCs w:val="20"/>
          <w:color w:val="auto"/>
        </w:rPr>
      </w:pPr>
    </w:p>
    <w:p>
      <w:pPr>
        <w:ind w:left="1364" w:hanging="373"/>
        <w:spacing w:after="0"/>
        <w:tabs>
          <w:tab w:leader="none" w:pos="1364" w:val="left"/>
        </w:tabs>
        <w:numPr>
          <w:ilvl w:val="1"/>
          <w:numId w:val="241"/>
        </w:numPr>
        <w:rPr>
          <w:rFonts w:ascii="Arial" w:cs="Arial" w:eastAsia="Arial" w:hAnsi="Arial"/>
          <w:sz w:val="17"/>
          <w:szCs w:val="17"/>
          <w:color w:val="auto"/>
        </w:rPr>
      </w:pPr>
      <w:r>
        <w:rPr>
          <w:rFonts w:ascii="Arial" w:cs="Arial" w:eastAsia="Arial" w:hAnsi="Arial"/>
          <w:sz w:val="17"/>
          <w:szCs w:val="17"/>
          <w:color w:val="auto"/>
        </w:rPr>
        <w:t>If it is determined that Indemnitee is entitled to indemnification, the Company will make payment to Indemnitee within thirty</w:t>
      </w:r>
    </w:p>
    <w:p>
      <w:pPr>
        <w:spacing w:after="0" w:line="34" w:lineRule="exact"/>
        <w:rPr>
          <w:rFonts w:ascii="Arial" w:cs="Arial" w:eastAsia="Arial" w:hAnsi="Arial"/>
          <w:sz w:val="17"/>
          <w:szCs w:val="17"/>
          <w:color w:val="auto"/>
        </w:rPr>
      </w:pPr>
    </w:p>
    <w:p>
      <w:pPr>
        <w:ind w:left="344" w:hanging="344"/>
        <w:spacing w:after="0"/>
        <w:tabs>
          <w:tab w:leader="none" w:pos="34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days after such determination.</w:t>
      </w:r>
    </w:p>
    <w:p>
      <w:pPr>
        <w:spacing w:after="0" w:line="319"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Presumptions and Effect of Certain Proceedings.</w:t>
      </w:r>
    </w:p>
    <w:p>
      <w:pPr>
        <w:spacing w:after="0" w:line="117" w:lineRule="exact"/>
        <w:rPr>
          <w:sz w:val="20"/>
          <w:szCs w:val="20"/>
          <w:color w:val="auto"/>
        </w:rPr>
      </w:pPr>
    </w:p>
    <w:p>
      <w:pPr>
        <w:ind w:left="4" w:firstLine="987"/>
        <w:spacing w:after="0" w:line="271" w:lineRule="auto"/>
        <w:tabs>
          <w:tab w:leader="none" w:pos="137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under this Agreement, the person,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under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left="4" w:firstLine="987"/>
        <w:spacing w:after="0" w:line="288" w:lineRule="auto"/>
        <w:tabs>
          <w:tab w:leader="none" w:pos="138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If the determination of the Indemnitee’s entitlement to indemnification has not been made pursuant to Section 12 of this Agreement within sixty (60) days after the latter of (i) receipt by the Company of Indemnitee’s request for indemnification pursuant to Section 11(a) of this Agreement and (ii) the final disposition of the Proceeding for which Indemnitee requested Indemnification (the “</w:t>
      </w:r>
      <w:r>
        <w:rPr>
          <w:rFonts w:ascii="Arial" w:cs="Arial" w:eastAsia="Arial" w:hAnsi="Arial"/>
          <w:sz w:val="16"/>
          <w:szCs w:val="16"/>
          <w:b w:val="1"/>
          <w:bCs w:val="1"/>
          <w:color w:val="auto"/>
        </w:rPr>
        <w:t>Determination Period</w:t>
      </w:r>
      <w:r>
        <w:rPr>
          <w:rFonts w:ascii="Arial" w:cs="Arial" w:eastAsia="Arial" w:hAnsi="Arial"/>
          <w:sz w:val="16"/>
          <w:szCs w:val="16"/>
          <w:color w:val="auto"/>
        </w:rPr>
        <w:t>”),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stockholders pursuant to Section 12(a)(iv) of this Agreement.</w:t>
      </w:r>
    </w:p>
    <w:p>
      <w:pPr>
        <w:spacing w:after="0" w:line="10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355" w:name="page356"/>
    <w:bookmarkEnd w:id="355"/>
    <w:p>
      <w:pPr>
        <w:ind w:right="60" w:firstLine="987"/>
        <w:spacing w:after="0" w:line="257" w:lineRule="auto"/>
        <w:tabs>
          <w:tab w:leader="none" w:pos="1371"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termination of any Proceeding or of any claim, issue or matter therein, by judgment, order, settlement or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right="80" w:firstLine="987"/>
        <w:spacing w:after="0" w:line="289" w:lineRule="auto"/>
        <w:tabs>
          <w:tab w:leader="none" w:pos="138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is not exclusive and does not limit in any way the other circumstances in which the Indemnitee may be deemed to have met the applicable standard of conduct set forth in this Agreement.</w:t>
      </w:r>
    </w:p>
    <w:p>
      <w:pPr>
        <w:spacing w:after="0" w:line="166" w:lineRule="exact"/>
        <w:rPr>
          <w:rFonts w:ascii="Arial" w:cs="Arial" w:eastAsia="Arial" w:hAnsi="Arial"/>
          <w:sz w:val="16"/>
          <w:szCs w:val="16"/>
          <w:color w:val="auto"/>
        </w:rPr>
      </w:pPr>
    </w:p>
    <w:p>
      <w:pPr>
        <w:ind w:right="160" w:firstLine="987"/>
        <w:spacing w:after="0" w:line="263" w:lineRule="auto"/>
        <w:tabs>
          <w:tab w:leader="none" w:pos="137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knowledge and/or actions, or failure to act, of any other person affiliated with the Company or an Enterprise (including, but not limited to, a director, officer, trustee, partner, managing member, Agent or employee) may not be imputed to Indemnitee for purposes of determining Indemnitee’s right to indemnification under this Agreement.</w:t>
      </w:r>
    </w:p>
    <w:p>
      <w:pPr>
        <w:spacing w:after="0" w:line="292"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Remedies of Indemnitee.</w:t>
      </w:r>
    </w:p>
    <w:p>
      <w:pPr>
        <w:spacing w:after="0" w:line="117" w:lineRule="exact"/>
        <w:rPr>
          <w:sz w:val="20"/>
          <w:szCs w:val="20"/>
          <w:color w:val="auto"/>
        </w:rPr>
      </w:pPr>
    </w:p>
    <w:p>
      <w:pPr>
        <w:ind w:firstLine="987"/>
        <w:spacing w:after="0" w:line="287" w:lineRule="auto"/>
        <w:tabs>
          <w:tab w:leader="none" w:pos="137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Indemnitee may commence litigation against the Company in the Delaware Court of Chancery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thirty (30) days after receipt by the Company of a written request therefor, (v) the Company does not indemnify Indemnitee pursuant to Section 3, 4, 7, or 8 of this Agreement within thirty (30)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Indemnitee, at Indemnitee’s option, may seek an award in arbitration to be conducted by a single arbitrator pursuant to the Commercial Arbitration Rules of the American Arbitration Association. Indemnitee must commence such Proceeding seeking an adjudication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356" w:name="page357"/>
    <w:bookmarkEnd w:id="356"/>
    <w:p>
      <w:pPr>
        <w:ind w:right="2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award in arbitration within 180 days following the date on which Indemnitee first has the right to commence such Proceeding pursuant to this Section 14(a);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 does not apply in respect of a Proceeding brought by Indemnitee to enforce Indemnitee’s rights under Section 5 of this Agreement. The Company will not oppose Indemnitee’s right to seek any such adjudication or award in arbitration.</w:t>
      </w:r>
    </w:p>
    <w:p>
      <w:pPr>
        <w:spacing w:after="0" w:line="149" w:lineRule="exact"/>
        <w:rPr>
          <w:sz w:val="20"/>
          <w:szCs w:val="20"/>
          <w:color w:val="auto"/>
        </w:rPr>
      </w:pPr>
    </w:p>
    <w:p>
      <w:pPr>
        <w:ind w:right="100" w:firstLine="987"/>
        <w:spacing w:after="0" w:line="275" w:lineRule="auto"/>
        <w:tabs>
          <w:tab w:leader="none" w:pos="138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176" w:lineRule="exact"/>
        <w:rPr>
          <w:rFonts w:ascii="Arial" w:cs="Arial" w:eastAsia="Arial" w:hAnsi="Arial"/>
          <w:sz w:val="17"/>
          <w:szCs w:val="17"/>
          <w:color w:val="auto"/>
        </w:rPr>
      </w:pPr>
    </w:p>
    <w:p>
      <w:pPr>
        <w:ind w:right="60" w:firstLine="987"/>
        <w:spacing w:after="0" w:line="279" w:lineRule="auto"/>
        <w:tabs>
          <w:tab w:leader="none" w:pos="137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If a determination is made pursuant to Section 12 of this Agreement that Indemnitee is entitled to indemnification, the Company will be bound by such determination in any judicial proceeding or arbitration commenced pursuant to this Section 14 unless (i) a misstatement is made of a material fact, or an omission of a material fact necessary to make Indemnitee’s statement not materially misleading, in connection with Indemnitees’ request for indemnification, or (ii) the Company is prohibited from indemnifying Indemnitee under applicable law.</w:t>
      </w:r>
    </w:p>
    <w:p>
      <w:pPr>
        <w:spacing w:after="0" w:line="171" w:lineRule="exact"/>
        <w:rPr>
          <w:rFonts w:ascii="Arial" w:cs="Arial" w:eastAsia="Arial" w:hAnsi="Arial"/>
          <w:sz w:val="17"/>
          <w:szCs w:val="17"/>
          <w:color w:val="auto"/>
        </w:rPr>
      </w:pPr>
    </w:p>
    <w:p>
      <w:pPr>
        <w:jc w:val="both"/>
        <w:ind w:right="160" w:firstLine="987"/>
        <w:spacing w:after="0" w:line="263" w:lineRule="auto"/>
        <w:tabs>
          <w:tab w:leader="none" w:pos="138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is precluded from asserting in any judicial proceeding or arbitration commenced pursuant to this Section 14 that the procedures and presumptions of this Agreement are not valid, binding, or enforceable and will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firstLine="987"/>
        <w:spacing w:after="0" w:line="290" w:lineRule="auto"/>
        <w:tabs>
          <w:tab w:leader="none" w:pos="137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under this Agreement. The Company, to the fullest extent permitted by law, will (within thirty (30) days after receipt by the Company of a written request therefor) advance to Indemnitee such Expenses which are incurred by Indemnitee in connection with a Proceeding concerning this Agreement, Indemnitee’s other rights to indemnification or advancement of Expenses from the Company, or concerning any directors’ and officers’ liability insurance policies maintained by the Company, and will indemnify Indemnitee against any and all such Expenses unless the court determines that each of the Indemnitee’s claims in such Proceeding were made in bad faith or frivolous, or that the Company is prohibited by law from indemnifying Indemnitee for such Expenses.</w:t>
      </w:r>
    </w:p>
    <w:p>
      <w:pPr>
        <w:spacing w:after="0" w:line="273"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Non-exclusivity; Survival of Rights; Insurance; Subrogation.</w:t>
      </w:r>
    </w:p>
    <w:p>
      <w:pPr>
        <w:spacing w:after="0" w:line="117" w:lineRule="exact"/>
        <w:rPr>
          <w:sz w:val="20"/>
          <w:szCs w:val="20"/>
          <w:color w:val="auto"/>
        </w:rPr>
      </w:pPr>
    </w:p>
    <w:p>
      <w:pPr>
        <w:ind w:right="560" w:firstLine="987"/>
        <w:spacing w:after="0" w:line="308" w:lineRule="auto"/>
        <w:tabs>
          <w:tab w:leader="none" w:pos="137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this Agreement are not exclusive of any other rights to which Indemnitee may at any time be entitled under applicable law, the Certificate of Incorporation, the Bylaws, any agreement, a vote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357" w:name="page358"/>
    <w:bookmarkEnd w:id="35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or a resolution of the board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181" w:lineRule="exact"/>
        <w:rPr>
          <w:sz w:val="20"/>
          <w:szCs w:val="20"/>
          <w:color w:val="auto"/>
        </w:rPr>
      </w:pPr>
    </w:p>
    <w:p>
      <w:pPr>
        <w:ind w:right="20" w:firstLine="987"/>
        <w:spacing w:after="0" w:line="263" w:lineRule="auto"/>
        <w:tabs>
          <w:tab w:leader="none" w:pos="138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hereby acknowledges that Indemnitee may have certain rights to indemnification, advancement of Expenses and/or insurance provided by one or more Persons with whom or which Indemnitee may be associated [(including, without limitation, [Fund] and certain of its affiliates, collectively, the “</w:t>
      </w:r>
      <w:r>
        <w:rPr>
          <w:rFonts w:ascii="Arial" w:cs="Arial" w:eastAsia="Arial" w:hAnsi="Arial"/>
          <w:sz w:val="18"/>
          <w:szCs w:val="18"/>
          <w:b w:val="1"/>
          <w:bCs w:val="1"/>
          <w:color w:val="auto"/>
        </w:rPr>
        <w:t>Fund Indemnitors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700" w:hanging="272"/>
        <w:spacing w:after="0"/>
        <w:tabs>
          <w:tab w:leader="none" w:pos="17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Company hereby acknowledges and agrees:</w:t>
      </w:r>
    </w:p>
    <w:p>
      <w:pPr>
        <w:spacing w:after="0" w:line="225" w:lineRule="exact"/>
        <w:rPr>
          <w:rFonts w:ascii="Arial" w:cs="Arial" w:eastAsia="Arial" w:hAnsi="Arial"/>
          <w:sz w:val="18"/>
          <w:szCs w:val="18"/>
          <w:color w:val="auto"/>
        </w:rPr>
      </w:pPr>
    </w:p>
    <w:p>
      <w:pPr>
        <w:ind w:right="340" w:firstLine="1979"/>
        <w:spacing w:after="0" w:line="342" w:lineRule="auto"/>
        <w:tabs>
          <w:tab w:leader="none" w:pos="2313" w:val="left"/>
        </w:tabs>
        <w:numPr>
          <w:ilvl w:val="2"/>
          <w:numId w:val="248"/>
        </w:numPr>
        <w:rPr>
          <w:rFonts w:ascii="Arial" w:cs="Arial" w:eastAsia="Arial" w:hAnsi="Arial"/>
          <w:sz w:val="16"/>
          <w:szCs w:val="16"/>
          <w:color w:val="auto"/>
        </w:rPr>
      </w:pPr>
      <w:r>
        <w:rPr>
          <w:rFonts w:ascii="Arial" w:cs="Arial" w:eastAsia="Arial" w:hAnsi="Arial"/>
          <w:sz w:val="16"/>
          <w:szCs w:val="16"/>
          <w:color w:val="auto"/>
        </w:rPr>
        <w:t>the Company is the indemnitor of first resort with respect to any request for indemnification or advancement of Expenses made pursuant to this Agreement concerning any Proceeding arising from or related to Indemnitee’s Corporate Status with the Company;</w:t>
      </w:r>
    </w:p>
    <w:p>
      <w:pPr>
        <w:spacing w:after="0" w:line="123" w:lineRule="exact"/>
        <w:rPr>
          <w:rFonts w:ascii="Arial" w:cs="Arial" w:eastAsia="Arial" w:hAnsi="Arial"/>
          <w:sz w:val="16"/>
          <w:szCs w:val="16"/>
          <w:color w:val="auto"/>
        </w:rPr>
      </w:pPr>
    </w:p>
    <w:p>
      <w:pPr>
        <w:ind w:right="260" w:firstLine="1979"/>
        <w:spacing w:after="0" w:line="263" w:lineRule="auto"/>
        <w:tabs>
          <w:tab w:leader="none" w:pos="2358"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Company is primarily liable for all indemnification or advancement of Expenses obligations for any Proceeding arising from or related to Indemnitee’s Corporate Status, whether created by law, organizational or constituent documents, contract (including this Agreement) or otherwise;</w:t>
      </w:r>
    </w:p>
    <w:p>
      <w:pPr>
        <w:spacing w:after="0" w:line="183" w:lineRule="exact"/>
        <w:rPr>
          <w:rFonts w:ascii="Arial" w:cs="Arial" w:eastAsia="Arial" w:hAnsi="Arial"/>
          <w:sz w:val="18"/>
          <w:szCs w:val="18"/>
          <w:color w:val="auto"/>
        </w:rPr>
      </w:pPr>
    </w:p>
    <w:p>
      <w:pPr>
        <w:ind w:right="60" w:firstLine="1979"/>
        <w:spacing w:after="0" w:line="263" w:lineRule="auto"/>
        <w:tabs>
          <w:tab w:leader="none" w:pos="2313" w:val="left"/>
        </w:tabs>
        <w:numPr>
          <w:ilvl w:val="2"/>
          <w:numId w:val="248"/>
        </w:numPr>
        <w:rPr>
          <w:rFonts w:ascii="Arial" w:cs="Arial" w:eastAsia="Arial" w:hAnsi="Arial"/>
          <w:sz w:val="18"/>
          <w:szCs w:val="18"/>
          <w:color w:val="auto"/>
        </w:rPr>
      </w:pPr>
      <w:r>
        <w:rPr>
          <w:rFonts w:ascii="Arial" w:cs="Arial" w:eastAsia="Arial" w:hAnsi="Arial"/>
          <w:sz w:val="18"/>
          <w:szCs w:val="18"/>
          <w:color w:val="auto"/>
        </w:rPr>
        <w:t>any obligation of any other Persons with whom or which Indemnitee may be associated [(including, without limitation, any Fund Indemnitor)] to indemnify Indemnitee and/or advance Expenses to Indemnitee in respect of any proceeding are secondary to the Company’s obligations;</w:t>
      </w:r>
    </w:p>
    <w:p>
      <w:pPr>
        <w:spacing w:after="0" w:line="183" w:lineRule="exact"/>
        <w:rPr>
          <w:rFonts w:ascii="Arial" w:cs="Arial" w:eastAsia="Arial" w:hAnsi="Arial"/>
          <w:sz w:val="18"/>
          <w:szCs w:val="18"/>
          <w:color w:val="auto"/>
        </w:rPr>
      </w:pPr>
    </w:p>
    <w:p>
      <w:pPr>
        <w:jc w:val="both"/>
        <w:ind w:right="120" w:firstLine="1979"/>
        <w:spacing w:after="0" w:line="263" w:lineRule="auto"/>
        <w:tabs>
          <w:tab w:leader="none" w:pos="2313"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Company will indemnify Indemnitee and advance Expenses to Indemnitee hereunder to the fullest extent provided herein without regard to any rights Indemnitee may have against any other Person with whom or which Indemnitee may be associated [(including any Fund Indemnitor)] or an insurer of any such Person; and</w:t>
      </w:r>
    </w:p>
    <w:p>
      <w:pPr>
        <w:spacing w:after="0" w:line="183" w:lineRule="exact"/>
        <w:rPr>
          <w:rFonts w:ascii="Arial" w:cs="Arial" w:eastAsia="Arial" w:hAnsi="Arial"/>
          <w:sz w:val="18"/>
          <w:szCs w:val="18"/>
          <w:color w:val="auto"/>
        </w:rPr>
      </w:pPr>
    </w:p>
    <w:p>
      <w:pPr>
        <w:ind w:right="140" w:firstLine="1428"/>
        <w:spacing w:after="0" w:line="279" w:lineRule="auto"/>
        <w:tabs>
          <w:tab w:leader="none" w:pos="1757"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Company irrevocably waives, relinquishes and releases [(A)] any other Person with whom or which Indemnitee may be associated [(including, without limitation, any Fund Indemnitor)]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Fund Indemnitor (or former Fund Indemnitor)],</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358" w:name="page359"/>
    <w:bookmarkEnd w:id="358"/>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or not such claim, remedy or right arises in equity or under contract, statute or common law[, including, without limitation, the right to take or receive from any Fund Indemnitor (or former Fund Indemnitor), directly or indirectly, in cash or other property or by set-off or in any other manner, payment or security on account of such claim, remedy or right].</w:t>
      </w:r>
    </w:p>
    <w:p>
      <w:pPr>
        <w:spacing w:after="0" w:line="184" w:lineRule="exact"/>
        <w:rPr>
          <w:sz w:val="20"/>
          <w:szCs w:val="20"/>
          <w:color w:val="auto"/>
        </w:rPr>
      </w:pPr>
    </w:p>
    <w:p>
      <w:pPr>
        <w:ind w:firstLine="1428"/>
        <w:spacing w:after="0" w:line="273" w:lineRule="auto"/>
        <w:tabs>
          <w:tab w:leader="none" w:pos="1807" w:val="left"/>
        </w:tabs>
        <w:numPr>
          <w:ilvl w:val="1"/>
          <w:numId w:val="249"/>
        </w:numPr>
        <w:rPr>
          <w:rFonts w:ascii="Arial" w:cs="Arial" w:eastAsia="Arial" w:hAnsi="Arial"/>
          <w:sz w:val="17"/>
          <w:szCs w:val="17"/>
          <w:color w:val="auto"/>
        </w:rPr>
      </w:pPr>
      <w:r>
        <w:rPr>
          <w:rFonts w:ascii="Arial" w:cs="Arial" w:eastAsia="Arial" w:hAnsi="Arial"/>
          <w:sz w:val="17"/>
          <w:szCs w:val="17"/>
          <w:color w:val="auto"/>
        </w:rPr>
        <w:t>In the event any other Person with whom or which Indemnitee may be associated [(including, without limitation, any Fund Indemnitor)]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[(including, without limitation, any Fund Indemnitor)] or their insurers affect the obligations of the Company hereunder or shift primary liability for the Company’s obligation to indemnify or advance of Expenses to any other Person with whom or which Indemnitee may be associated [(including, without limitation, any Fund Indemnitor)].</w:t>
      </w:r>
    </w:p>
    <w:p>
      <w:pPr>
        <w:spacing w:after="0" w:line="177" w:lineRule="exact"/>
        <w:rPr>
          <w:rFonts w:ascii="Arial" w:cs="Arial" w:eastAsia="Arial" w:hAnsi="Arial"/>
          <w:sz w:val="17"/>
          <w:szCs w:val="17"/>
          <w:color w:val="auto"/>
        </w:rPr>
      </w:pPr>
    </w:p>
    <w:p>
      <w:pPr>
        <w:ind w:right="140" w:firstLine="1428"/>
        <w:spacing w:after="0" w:line="259" w:lineRule="auto"/>
        <w:tabs>
          <w:tab w:leader="none" w:pos="1785"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indemnification or advancement of Expenses provided by any other Person with whom or which Indemnitee may be associated [(including, without limitation, any Fund Indemnitor)]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86" w:lineRule="exact"/>
        <w:rPr>
          <w:rFonts w:ascii="Arial" w:cs="Arial" w:eastAsia="Arial" w:hAnsi="Arial"/>
          <w:sz w:val="18"/>
          <w:szCs w:val="18"/>
          <w:color w:val="auto"/>
        </w:rPr>
      </w:pPr>
    </w:p>
    <w:p>
      <w:pPr>
        <w:ind w:right="20" w:firstLine="987"/>
        <w:spacing w:after="0" w:line="285" w:lineRule="auto"/>
        <w:tabs>
          <w:tab w:leader="none" w:pos="1371"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employees, or Agents of the Enterprise,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Indemnitee, all amounts payable as a result of such Proceeding in accordance with the terms of such policies. Indemnitee agrees to assist the Company’s efforts to cause the insurers to pay such amounts and will comply with the terms of such policies, including selection of approved panel counsel, if required. In the event of a Change in Control or the Company’s becoming insolvent, the Company shall maintain in force any and all insurance policies then maintained by the Company in providing insurance—directors’ and officers’ liability, fiduciary, employment practices or otherwise—in respect of the individual directors and officers of the Company, for a fixed period of six years thereafter (a “</w:t>
      </w:r>
      <w:r>
        <w:rPr>
          <w:rFonts w:ascii="Arial" w:cs="Arial" w:eastAsia="Arial" w:hAnsi="Arial"/>
          <w:sz w:val="16"/>
          <w:szCs w:val="16"/>
          <w:b w:val="1"/>
          <w:bCs w:val="1"/>
          <w:color w:val="auto"/>
        </w:rPr>
        <w:t>Tail Policy</w:t>
      </w:r>
      <w:r>
        <w:rPr>
          <w:rFonts w:ascii="Arial" w:cs="Arial" w:eastAsia="Arial" w:hAnsi="Arial"/>
          <w:sz w:val="16"/>
          <w:szCs w:val="16"/>
          <w:color w:val="auto"/>
        </w:rPr>
        <w:t>”). Such coverage shall be non-cancellable and shall be placed and serviced for the duration of its term by the Company’s incumbent insurance broker. Such broker shall place the Tail policy with the incumbent insurance carriers using the policies that were in place at the time of the Change in Control (unless the incumbent carriers will not offer such policies, in which case the Tail Policy placed by the Company’s insurance broker shall be substantially comparable in scope and amount as the expiring policies, and the insurance carriers for the Tail Policy shall have an AM Best rating that is the same or better than the AM Best ratings of the expiring policies).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59" w:name="page360"/>
    <w:bookmarkEnd w:id="359"/>
    <w:p>
      <w:pPr>
        <w:ind w:left="4" w:firstLine="987"/>
        <w:spacing w:after="0" w:line="291" w:lineRule="auto"/>
        <w:tabs>
          <w:tab w:leader="none" w:pos="1385" w:val="left"/>
        </w:tabs>
        <w:numPr>
          <w:ilvl w:val="0"/>
          <w:numId w:val="2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66" w:lineRule="exact"/>
        <w:rPr>
          <w:rFonts w:ascii="Arial" w:cs="Arial" w:eastAsia="Arial" w:hAnsi="Arial"/>
          <w:sz w:val="16"/>
          <w:szCs w:val="16"/>
          <w:color w:val="auto"/>
        </w:rPr>
      </w:pPr>
    </w:p>
    <w:p>
      <w:pPr>
        <w:ind w:left="4" w:right="140" w:firstLine="987"/>
        <w:spacing w:after="0" w:line="259" w:lineRule="auto"/>
        <w:tabs>
          <w:tab w:leader="none" w:pos="137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the event of any payment made by the Company under this Agreement, the Company will be subrogated to the extent of such payment to all of the rights of recovery of Indemnitee from any Enterprise or insurance carrier. Indemnitee will execute all papers required and take all action necessary to secure such rights, including execution of such documents as are necessary to enable the Company to bring suit to enforce such rights.</w:t>
      </w:r>
    </w:p>
    <w:p>
      <w:pPr>
        <w:spacing w:after="0" w:line="187" w:lineRule="exact"/>
        <w:rPr>
          <w:sz w:val="20"/>
          <w:szCs w:val="20"/>
          <w:color w:val="auto"/>
        </w:rPr>
      </w:pPr>
    </w:p>
    <w:p>
      <w:pPr>
        <w:ind w:left="4" w:right="160" w:firstLine="440"/>
        <w:spacing w:after="0" w:line="271"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Duration of Agreement.</w:t>
      </w:r>
      <w:r>
        <w:rPr>
          <w:rFonts w:ascii="Arial" w:cs="Arial" w:eastAsia="Arial" w:hAnsi="Arial"/>
          <w:sz w:val="17"/>
          <w:szCs w:val="17"/>
          <w:color w:val="auto"/>
        </w:rPr>
        <w:t xml:space="preserve"> All the rights and privileges afforded by this Agreement, including the right to indemnification and the advancement of legal fees provided under this Agreement, shall continue as to Indemnitee for any action taken or not taken while serving in an indemnified capacity pertaining to an indemnifiable event even though Indemnitee may have ceased to serve in such capacity at the time of any Proceeding The indemnification and advancement of Expenses rights provided by or granted pursuant to this Agreement are (i) binding upon and be enforceable by the parties hereto and their respective successors and assigns (including any direct or indirect successor by purchase, merger, consolidation or otherwise to all or substantially all of the business or assets of the Company), (ii) continue as to an Indemnitee who has ceased to be a director, officer, employee or Agent of the Company or of any other Enterprise, and (iii) inure to the benefit of Indemnitee and Indemnitee’s spouse, assigns, heirs, devisees, executors and administrators and other legal representatives.</w:t>
      </w:r>
    </w:p>
    <w:p>
      <w:pPr>
        <w:spacing w:after="0" w:line="178"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or provisions of this Agreement is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will remain enforceable to the fullest extent permitted by law; (b) such provision or provisions will be deemed reformed to the extent necessary to conform to applicable law and to give the maximum effect to the intent of the parties hereto; and</w:t>
      </w:r>
    </w:p>
    <w:p>
      <w:pPr>
        <w:spacing w:after="0" w:line="2" w:lineRule="exact"/>
        <w:rPr>
          <w:sz w:val="20"/>
          <w:szCs w:val="20"/>
          <w:color w:val="auto"/>
        </w:rPr>
      </w:pPr>
    </w:p>
    <w:p>
      <w:pPr>
        <w:ind w:left="4" w:right="260" w:hanging="4"/>
        <w:spacing w:after="0" w:line="255" w:lineRule="auto"/>
        <w:tabs>
          <w:tab w:leader="none" w:pos="24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9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Any ambiguity in the terms of this Agreement will be resolved in favor of Indemnitee and in a manner to provide the maximum indemnification and advancement of Expenses permitted by law. The Company and Indemnitee intend that this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60" w:name="page361"/>
    <w:bookmarkEnd w:id="360"/>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provide to the fullest extent permitted by law for indemnification and advancement of Expenses in excess of that expressly provided, without limitation, by the Certificate of Incorporation, the Bylaws, vote of the Company’s stockholders or disinterested directors, or applicable law.</w:t>
      </w:r>
    </w:p>
    <w:p>
      <w:pPr>
        <w:spacing w:after="0" w:line="254"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Enforcement.</w:t>
      </w:r>
    </w:p>
    <w:p>
      <w:pPr>
        <w:spacing w:after="0" w:line="117" w:lineRule="exact"/>
        <w:rPr>
          <w:sz w:val="20"/>
          <w:szCs w:val="20"/>
          <w:color w:val="auto"/>
        </w:rPr>
      </w:pPr>
    </w:p>
    <w:p>
      <w:pPr>
        <w:ind w:right="500" w:firstLine="987"/>
        <w:spacing w:after="0" w:line="311" w:lineRule="auto"/>
        <w:tabs>
          <w:tab w:leader="none" w:pos="137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Company expressly confirms and agrees that it has entered into this Agreement and assumed the obligations imposed on it hereby in order to induce Indemnitee to serve as a director, officer, employee, or Agent of the Company, and the Company acknowledges that Indemnitee is relying upon this Agreement in serving or continuing to serve as a director, officer, employee, or Agent of the Company.</w:t>
      </w:r>
    </w:p>
    <w:p>
      <w:pPr>
        <w:spacing w:after="0" w:line="148" w:lineRule="exact"/>
        <w:rPr>
          <w:rFonts w:ascii="Arial" w:cs="Arial" w:eastAsia="Arial" w:hAnsi="Arial"/>
          <w:sz w:val="16"/>
          <w:szCs w:val="16"/>
          <w:color w:val="auto"/>
        </w:rPr>
      </w:pPr>
    </w:p>
    <w:p>
      <w:pPr>
        <w:ind w:right="20" w:firstLine="987"/>
        <w:spacing w:after="0" w:line="301" w:lineRule="auto"/>
        <w:tabs>
          <w:tab w:leader="none" w:pos="138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any directors’ and officers’ insurance maintained by the Company, and applicable law, is not a substitute therefor, and does not diminish or abrogate any rights of Indemnitee thereunder.</w:t>
      </w:r>
    </w:p>
    <w:p>
      <w:pPr>
        <w:spacing w:after="0" w:line="15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xml:space="preserve"> No supplement, modification or amendment of this Agreement is binding unless executed in writing by the parties hereto. No waiver of any of the provisions of this Agreement will be deemed to constitute a waiver of any other provision of this Agreement nor will any waiver constitute a continuing waiver.</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xml:space="preserve">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8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184"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Indemnitee, at the address indicated on the signature page of this Agreement, or such other address as Indemnitee provides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1380" w:hanging="393"/>
        <w:spacing w:after="0"/>
        <w:tabs>
          <w:tab w:leader="none" w:pos="13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rPr>
              <w:t>Neumora Therapeutics, Inc.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rPr>
              <w:t>490 Arsenal Way, Suite 100</w:t>
            </w:r>
          </w:p>
        </w:tc>
      </w:tr>
      <w:tr>
        <w:trPr>
          <w:trHeight w:val="216"/>
        </w:trPr>
        <w:tc>
          <w:tcPr>
            <w:tcW w:w="9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w w:val="87"/>
              </w:rPr>
              <w:t>Watertown, Massachusetts 02472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rPr>
              <w:t>Corporate Secretary</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Email:</w:t>
            </w:r>
          </w:p>
        </w:tc>
        <w:tc>
          <w:tcPr>
            <w:tcW w:w="680" w:type="dxa"/>
            <w:vAlign w:val="bottom"/>
          </w:tcPr>
          <w:p>
            <w:pPr>
              <w:ind w:left="1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29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to any other address as may have been furnished to Indemnitee by the Company.</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95" w:lineRule="exact"/>
        <w:rPr>
          <w:sz w:val="20"/>
          <w:szCs w:val="20"/>
          <w:color w:val="auto"/>
        </w:rPr>
      </w:pPr>
    </w:p>
    <w:p>
      <w:pPr>
        <w:ind w:right="140" w:firstLine="440"/>
        <w:spacing w:after="0" w:line="290"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xml:space="preserve"> 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(i) agree that any action or Proceeding arising out of or in connection with this Agreement may be brought only in the Delaware Court of Chancery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xml:space="preserve"> This Agreement may be executed in one or more counterparts, each of which will for all purposes be deemed to be an original but all of which together constitute one and the same Agreement. Only one such counterpart signed by the party against whom enforceability is sought needs to be produced to evidence the existence of this Agreement.</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of this Agreement are inserted for convenience only and do not constitute part of this Agreement or affect the construction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62" w:name="page363"/>
    <w:bookmarkEnd w:id="3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signed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NEUMORA THERAPEUTICS, INC.</w:t>
            </w:r>
          </w:p>
        </w:tc>
        <w:tc>
          <w:tcPr>
            <w:tcW w:w="1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INDEMNITEE</w:t>
            </w: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9"/>
        </w:trPr>
        <w:tc>
          <w:tcPr>
            <w:tcW w:w="420" w:type="dxa"/>
            <w:vAlign w:val="bottom"/>
          </w:tcPr>
          <w:p>
            <w:pPr>
              <w:spacing w:after="0"/>
              <w:rPr>
                <w:sz w:val="20"/>
                <w:szCs w:val="20"/>
                <w:color w:val="auto"/>
              </w:rPr>
            </w:pPr>
            <w:r>
              <w:rPr>
                <w:rFonts w:ascii="Arial" w:cs="Arial" w:eastAsia="Arial" w:hAnsi="Arial"/>
                <w:sz w:val="18"/>
                <w:szCs w:val="18"/>
                <w:color w:val="auto"/>
                <w:w w:val="75"/>
              </w:rPr>
              <w:t>Name:</w:t>
            </w:r>
          </w:p>
        </w:tc>
        <w:tc>
          <w:tcPr>
            <w:tcW w:w="28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Office:</w:t>
            </w:r>
          </w:p>
        </w:tc>
        <w:tc>
          <w:tcPr>
            <w:tcW w:w="1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3960" w:type="dxa"/>
            <w:vAlign w:val="bottom"/>
            <w:tcBorders>
              <w:bottom w:val="single" w:sz="8" w:color="auto"/>
            </w:tcBorders>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800" w:type="dxa"/>
            <w:vAlign w:val="bottom"/>
            <w:gridSpan w:val="3"/>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800" w:type="dxa"/>
            <w:vAlign w:val="bottom"/>
            <w:gridSpan w:val="3"/>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r>
      <w:tr>
        <w:trPr>
          <w:trHeight w:val="439"/>
        </w:trPr>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760" w:type="dxa"/>
            <w:vAlign w:val="bottom"/>
            <w:gridSpan w:val="4"/>
          </w:tcPr>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tc>
      </w:tr>
    </w:tbl>
    <w:p>
      <w:pPr>
        <w:sectPr>
          <w:pgSz w:w="11900" w:h="16838" w:orient="portrait"/>
          <w:cols w:equalWidth="0" w:num="1">
            <w:col w:w="11020"/>
          </w:cols>
          <w:pgMar w:left="440" w:top="274" w:right="439"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NEUMORA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Neumora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Non-Employee Director Compensation Program (this “</w:t>
      </w:r>
      <w:r>
        <w:rPr>
          <w:rFonts w:ascii="Arial" w:cs="Arial" w:eastAsia="Arial" w:hAnsi="Arial"/>
          <w:sz w:val="18"/>
          <w:szCs w:val="18"/>
          <w:b w:val="1"/>
          <w:bCs w:val="1"/>
          <w:i w:val="1"/>
          <w:iCs w:val="1"/>
          <w:color w:val="auto"/>
        </w:rPr>
        <w:t>Program</w:t>
      </w:r>
      <w:r>
        <w:rPr>
          <w:rFonts w:ascii="Arial" w:cs="Arial" w:eastAsia="Arial" w:hAnsi="Arial"/>
          <w:sz w:val="18"/>
          <w:szCs w:val="18"/>
          <w:color w:val="auto"/>
        </w:rPr>
        <w:t>”) has been adopted under the Company’s 2023 Incentive Award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shall be effective upon the closing of the Company’s initial public offering of its common stock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Capitalized terms not otherwise defined herein shall have the meaning ascribed in the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upon the IPO, annual retainers will be paid in the following amounts to Non-Employee Directors:</w:t>
      </w:r>
    </w:p>
    <w:p>
      <w:pPr>
        <w:spacing w:after="0" w:line="266"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25,000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15,000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Audit Committee Member (non-Chair):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10,000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Member (non-Chair):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Nominating and Corporate Governance Committee Member (non-Chair):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All annual retainers are additive and will be paid in cash quarterly in arrears promptly following the end of the applicable calendar quarter, but in no event more than 30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Receive Restricted Stock Units In Lieu of Annual Retainer</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General: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Non-Employee Director may elect to convert all or a portion of his or her annual retainer into a number of Restricted Stock Units (“</w:t>
      </w:r>
      <w:r>
        <w:rPr>
          <w:rFonts w:ascii="Arial" w:cs="Arial" w:eastAsia="Arial" w:hAnsi="Arial"/>
          <w:sz w:val="17"/>
          <w:szCs w:val="17"/>
          <w:b w:val="1"/>
          <w:bCs w:val="1"/>
          <w:i w:val="1"/>
          <w:iCs w:val="1"/>
          <w:color w:val="auto"/>
        </w:rPr>
        <w:t>Retainer RSUs</w:t>
      </w:r>
      <w:r>
        <w:rPr>
          <w:rFonts w:ascii="Arial" w:cs="Arial" w:eastAsia="Arial" w:hAnsi="Arial"/>
          <w:sz w:val="17"/>
          <w:szCs w:val="17"/>
          <w:color w:val="auto"/>
        </w:rPr>
        <w:t>”) granted under the Plan or any other applicable Company equity incentive plan then-maintained by the Company covering a number of shares of Common Stock calculated by dividing (i) the amount of the annual retainer that would have otherwise been paid to such Non-Employee Director on the applicable grant date by (ii) the per share Fair Market Value as of the date of grant (such election, a “</w:t>
      </w:r>
      <w:r>
        <w:rPr>
          <w:rFonts w:ascii="Arial" w:cs="Arial" w:eastAsia="Arial" w:hAnsi="Arial"/>
          <w:sz w:val="17"/>
          <w:szCs w:val="17"/>
          <w:b w:val="1"/>
          <w:bCs w:val="1"/>
          <w:i w:val="1"/>
          <w:iCs w:val="1"/>
          <w:color w:val="auto"/>
        </w:rPr>
        <w:t>Retainer RSU Election</w:t>
      </w:r>
      <w:r>
        <w:rPr>
          <w:rFonts w:ascii="Arial" w:cs="Arial" w:eastAsia="Arial" w:hAnsi="Arial"/>
          <w:sz w:val="17"/>
          <w:szCs w:val="17"/>
          <w:color w:val="auto"/>
        </w:rPr>
        <w:t>”).</w:t>
      </w:r>
    </w:p>
    <w:p>
      <w:pPr>
        <w:sectPr>
          <w:pgSz w:w="11900" w:h="16838" w:orient="portrait"/>
          <w:cols w:equalWidth="0" w:num="2">
            <w:col w:w="2920" w:space="720"/>
            <w:col w:w="7380"/>
          </w:cols>
          <w:pgMar w:left="440" w:top="121" w:right="439" w:bottom="1440" w:gutter="0" w:footer="0" w:header="0"/>
          <w:type w:val="continuous"/>
        </w:sectPr>
      </w:pPr>
    </w:p>
    <w:bookmarkStart w:id="364" w:name="page365"/>
    <w:bookmarkEnd w:id="364"/>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w w:val="92"/>
              </w:rPr>
              <w:t>Each award of Retainer RSUs will be granted on the fifth day of the month immediately following the</w:t>
            </w:r>
          </w:p>
        </w:tc>
      </w:tr>
      <w:tr>
        <w:trPr>
          <w:trHeight w:val="216"/>
        </w:trPr>
        <w:tc>
          <w:tcPr>
            <w:tcW w:w="2440" w:type="dxa"/>
            <w:vAlign w:val="bottom"/>
          </w:tcPr>
          <w:p>
            <w:pPr>
              <w:spacing w:after="0"/>
              <w:rPr>
                <w:sz w:val="18"/>
                <w:szCs w:val="18"/>
                <w:color w:val="auto"/>
              </w:rPr>
            </w:pP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w w:val="91"/>
              </w:rPr>
              <w:t>end of the quarter for which the corresponding portion of the annual retainer was earned, except that</w:t>
            </w:r>
          </w:p>
        </w:tc>
      </w:tr>
      <w:tr>
        <w:trPr>
          <w:trHeight w:val="216"/>
        </w:trPr>
        <w:tc>
          <w:tcPr>
            <w:tcW w:w="2440" w:type="dxa"/>
            <w:vAlign w:val="bottom"/>
          </w:tcPr>
          <w:p>
            <w:pPr>
              <w:spacing w:after="0"/>
              <w:rPr>
                <w:sz w:val="18"/>
                <w:szCs w:val="18"/>
                <w:color w:val="auto"/>
              </w:rPr>
            </w:pP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w w:val="96"/>
              </w:rPr>
              <w:t>if such fifth day of the month is not a trading day, the applicable award of Retainer RSUs will be</w:t>
            </w:r>
          </w:p>
        </w:tc>
      </w:tr>
      <w:tr>
        <w:trPr>
          <w:trHeight w:val="216"/>
        </w:trPr>
        <w:tc>
          <w:tcPr>
            <w:tcW w:w="2440" w:type="dxa"/>
            <w:vAlign w:val="bottom"/>
          </w:tcPr>
          <w:p>
            <w:pPr>
              <w:spacing w:after="0"/>
              <w:rPr>
                <w:sz w:val="18"/>
                <w:szCs w:val="18"/>
                <w:color w:val="auto"/>
              </w:rPr>
            </w:pP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w w:val="97"/>
              </w:rPr>
              <w:t>granted on the next trading day following such date. Each award of Retainer RSUs will be fully</w:t>
            </w:r>
          </w:p>
        </w:tc>
      </w:tr>
      <w:tr>
        <w:trPr>
          <w:trHeight w:val="230"/>
        </w:trPr>
        <w:tc>
          <w:tcPr>
            <w:tcW w:w="2440" w:type="dxa"/>
            <w:vAlign w:val="bottom"/>
          </w:tcPr>
          <w:p>
            <w:pPr>
              <w:spacing w:after="0"/>
              <w:rPr>
                <w:sz w:val="20"/>
                <w:szCs w:val="20"/>
                <w:color w:val="auto"/>
              </w:rPr>
            </w:pP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rPr>
              <w:t>vested on the date of grant.</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Election Method:</w:t>
            </w: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w w:val="91"/>
              </w:rPr>
              <w:t>Each Retainer RSU Election must be submitted to Company in the form and manner specified by the</w:t>
            </w:r>
          </w:p>
        </w:tc>
      </w:tr>
      <w:tr>
        <w:trPr>
          <w:trHeight w:val="216"/>
        </w:trPr>
        <w:tc>
          <w:tcPr>
            <w:tcW w:w="2440" w:type="dxa"/>
            <w:vAlign w:val="bottom"/>
          </w:tcPr>
          <w:p>
            <w:pPr>
              <w:spacing w:after="0"/>
              <w:rPr>
                <w:sz w:val="18"/>
                <w:szCs w:val="18"/>
                <w:color w:val="auto"/>
              </w:rPr>
            </w:pP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w w:val="96"/>
              </w:rPr>
              <w:t>Board of Directors of the Company (the “</w:t>
            </w:r>
            <w:r>
              <w:rPr>
                <w:rFonts w:ascii="Arial" w:cs="Arial" w:eastAsia="Arial" w:hAnsi="Arial"/>
                <w:sz w:val="18"/>
                <w:szCs w:val="18"/>
                <w:b w:val="1"/>
                <w:bCs w:val="1"/>
                <w:i w:val="1"/>
                <w:iCs w:val="1"/>
                <w:color w:val="auto"/>
                <w:w w:val="96"/>
              </w:rPr>
              <w:t>Board</w:t>
            </w:r>
            <w:r>
              <w:rPr>
                <w:rFonts w:ascii="Arial" w:cs="Arial" w:eastAsia="Arial" w:hAnsi="Arial"/>
                <w:sz w:val="18"/>
                <w:szCs w:val="18"/>
                <w:color w:val="auto"/>
                <w:w w:val="96"/>
              </w:rPr>
              <w:t>”) or Compensation Committee of the Board (the</w:t>
            </w:r>
          </w:p>
        </w:tc>
      </w:tr>
      <w:tr>
        <w:trPr>
          <w:trHeight w:val="216"/>
        </w:trPr>
        <w:tc>
          <w:tcPr>
            <w:tcW w:w="2440" w:type="dxa"/>
            <w:vAlign w:val="bottom"/>
          </w:tcPr>
          <w:p>
            <w:pPr>
              <w:spacing w:after="0"/>
              <w:rPr>
                <w:sz w:val="18"/>
                <w:szCs w:val="18"/>
                <w:color w:val="auto"/>
              </w:rPr>
            </w:pP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Compensation Committee</w:t>
            </w:r>
            <w:r>
              <w:rPr>
                <w:rFonts w:ascii="Arial" w:cs="Arial" w:eastAsia="Arial" w:hAnsi="Arial"/>
                <w:sz w:val="18"/>
                <w:szCs w:val="18"/>
                <w:color w:val="auto"/>
                <w:w w:val="92"/>
              </w:rPr>
              <w:t>”). An individual who fails to make a timely Retainer RSU Election shall</w:t>
            </w:r>
          </w:p>
        </w:tc>
      </w:tr>
      <w:tr>
        <w:trPr>
          <w:trHeight w:val="216"/>
        </w:trPr>
        <w:tc>
          <w:tcPr>
            <w:tcW w:w="2440" w:type="dxa"/>
            <w:vAlign w:val="bottom"/>
          </w:tcPr>
          <w:p>
            <w:pPr>
              <w:spacing w:after="0"/>
              <w:rPr>
                <w:sz w:val="18"/>
                <w:szCs w:val="18"/>
                <w:color w:val="auto"/>
              </w:rPr>
            </w:pP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w w:val="92"/>
              </w:rPr>
              <w:t>not receive Retainer RSUs and instead shall receive the applicable annual retainer in cash. Retainer</w:t>
            </w:r>
          </w:p>
        </w:tc>
      </w:tr>
      <w:tr>
        <w:trPr>
          <w:trHeight w:val="230"/>
        </w:trPr>
        <w:tc>
          <w:tcPr>
            <w:tcW w:w="2440" w:type="dxa"/>
            <w:vAlign w:val="bottom"/>
          </w:tcPr>
          <w:p>
            <w:pPr>
              <w:spacing w:after="0"/>
              <w:rPr>
                <w:sz w:val="20"/>
                <w:szCs w:val="20"/>
                <w:color w:val="auto"/>
              </w:rPr>
            </w:pPr>
          </w:p>
        </w:tc>
        <w:tc>
          <w:tcPr>
            <w:tcW w:w="8560" w:type="dxa"/>
            <w:vAlign w:val="bottom"/>
            <w:gridSpan w:val="4"/>
          </w:tcPr>
          <w:p>
            <w:pPr>
              <w:ind w:left="1200"/>
              <w:spacing w:after="0"/>
              <w:rPr>
                <w:sz w:val="20"/>
                <w:szCs w:val="20"/>
                <w:color w:val="auto"/>
              </w:rPr>
            </w:pPr>
            <w:r>
              <w:rPr>
                <w:rFonts w:ascii="Arial" w:cs="Arial" w:eastAsia="Arial" w:hAnsi="Arial"/>
                <w:sz w:val="18"/>
                <w:szCs w:val="18"/>
                <w:color w:val="auto"/>
              </w:rPr>
              <w:t>RSU Elections must comply with the following timing requirements:</w:t>
            </w:r>
          </w:p>
        </w:tc>
      </w:tr>
      <w:tr>
        <w:trPr>
          <w:trHeight w:val="297"/>
        </w:trPr>
        <w:tc>
          <w:tcPr>
            <w:tcW w:w="2440" w:type="dxa"/>
            <w:vAlign w:val="bottom"/>
          </w:tcPr>
          <w:p>
            <w:pPr>
              <w:spacing w:after="0"/>
              <w:rPr>
                <w:sz w:val="24"/>
                <w:szCs w:val="24"/>
                <w:color w:val="auto"/>
              </w:rPr>
            </w:pPr>
          </w:p>
        </w:tc>
        <w:tc>
          <w:tcPr>
            <w:tcW w:w="8560" w:type="dxa"/>
            <w:vAlign w:val="bottom"/>
            <w:gridSpan w:val="4"/>
          </w:tcPr>
          <w:p>
            <w:pPr>
              <w:ind w:left="1300"/>
              <w:spacing w:after="0"/>
              <w:rPr>
                <w:sz w:val="20"/>
                <w:szCs w:val="20"/>
                <w:color w:val="auto"/>
              </w:rPr>
            </w:pPr>
            <w:r>
              <w:rPr>
                <w:rFonts w:ascii="Arial" w:cs="Arial" w:eastAsia="Arial" w:hAnsi="Arial"/>
                <w:sz w:val="18"/>
                <w:szCs w:val="18"/>
                <w:color w:val="auto"/>
                <w:w w:val="99"/>
              </w:rPr>
              <w:t>•  Initial Election. Each individual who first becomes a Non-Employee Director may make a</w:t>
            </w:r>
          </w:p>
        </w:tc>
      </w:tr>
      <w:tr>
        <w:trPr>
          <w:trHeight w:val="20"/>
        </w:trPr>
        <w:tc>
          <w:tcPr>
            <w:tcW w:w="2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2"/>
        </w:trPr>
        <w:tc>
          <w:tcPr>
            <w:tcW w:w="2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w w:val="89"/>
              </w:rPr>
              <w:t>Retainer RSU Election with respect to annual retainer payments scheduled to be paid in the same</w:t>
            </w:r>
          </w:p>
        </w:tc>
      </w:tr>
      <w:tr>
        <w:trPr>
          <w:trHeight w:val="216"/>
        </w:trPr>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w w:val="91"/>
              </w:rPr>
              <w:t>calendar year as such individual first becomes a Non-Employee Director (the “</w:t>
            </w:r>
            <w:r>
              <w:rPr>
                <w:rFonts w:ascii="Arial" w:cs="Arial" w:eastAsia="Arial" w:hAnsi="Arial"/>
                <w:sz w:val="18"/>
                <w:szCs w:val="18"/>
                <w:b w:val="1"/>
                <w:bCs w:val="1"/>
                <w:i w:val="1"/>
                <w:iCs w:val="1"/>
                <w:color w:val="auto"/>
                <w:w w:val="91"/>
              </w:rPr>
              <w:t>Initial Election</w:t>
            </w:r>
            <w:r>
              <w:rPr>
                <w:rFonts w:ascii="Arial" w:cs="Arial" w:eastAsia="Arial" w:hAnsi="Arial"/>
                <w:sz w:val="18"/>
                <w:szCs w:val="18"/>
                <w:color w:val="auto"/>
                <w:w w:val="91"/>
              </w:rPr>
              <w:t>”).</w:t>
            </w:r>
          </w:p>
        </w:tc>
      </w:tr>
      <w:tr>
        <w:trPr>
          <w:trHeight w:val="216"/>
        </w:trPr>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w w:val="92"/>
              </w:rPr>
              <w:t>The Initial Election must be submitted to the Company on or prior to the date that the individual</w:t>
            </w:r>
          </w:p>
        </w:tc>
      </w:tr>
      <w:tr>
        <w:trPr>
          <w:trHeight w:val="216"/>
        </w:trPr>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rPr>
              <w:t>first becomes a Non-Employee Director (the “</w:t>
            </w:r>
            <w:r>
              <w:rPr>
                <w:rFonts w:ascii="Arial" w:cs="Arial" w:eastAsia="Arial" w:hAnsi="Arial"/>
                <w:sz w:val="18"/>
                <w:szCs w:val="18"/>
                <w:b w:val="1"/>
                <w:bCs w:val="1"/>
                <w:i w:val="1"/>
                <w:iCs w:val="1"/>
                <w:color w:val="auto"/>
              </w:rPr>
              <w:t>Initial Election Deadline</w:t>
            </w:r>
            <w:r>
              <w:rPr>
                <w:rFonts w:ascii="Arial" w:cs="Arial" w:eastAsia="Arial" w:hAnsi="Arial"/>
                <w:sz w:val="18"/>
                <w:szCs w:val="18"/>
                <w:color w:val="auto"/>
              </w:rPr>
              <w:t>”), and the Initial</w:t>
            </w:r>
          </w:p>
        </w:tc>
      </w:tr>
      <w:tr>
        <w:trPr>
          <w:trHeight w:val="230"/>
        </w:trPr>
        <w:tc>
          <w:tcPr>
            <w:tcW w:w="2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rPr>
              <w:t>Election shall become final and irrevocable as of the Initial Election Deadline.</w:t>
            </w:r>
          </w:p>
        </w:tc>
      </w:tr>
      <w:tr>
        <w:trPr>
          <w:trHeight w:val="297"/>
        </w:trPr>
        <w:tc>
          <w:tcPr>
            <w:tcW w:w="2440" w:type="dxa"/>
            <w:vAlign w:val="bottom"/>
          </w:tcPr>
          <w:p>
            <w:pPr>
              <w:spacing w:after="0"/>
              <w:rPr>
                <w:sz w:val="24"/>
                <w:szCs w:val="24"/>
                <w:color w:val="auto"/>
              </w:rPr>
            </w:pPr>
          </w:p>
        </w:tc>
        <w:tc>
          <w:tcPr>
            <w:tcW w:w="8560" w:type="dxa"/>
            <w:vAlign w:val="bottom"/>
            <w:gridSpan w:val="4"/>
          </w:tcPr>
          <w:p>
            <w:pPr>
              <w:ind w:left="1300"/>
              <w:spacing w:after="0"/>
              <w:rPr>
                <w:sz w:val="20"/>
                <w:szCs w:val="20"/>
                <w:color w:val="auto"/>
              </w:rPr>
            </w:pPr>
            <w:r>
              <w:rPr>
                <w:rFonts w:ascii="Arial" w:cs="Arial" w:eastAsia="Arial" w:hAnsi="Arial"/>
                <w:sz w:val="18"/>
                <w:szCs w:val="18"/>
                <w:color w:val="auto"/>
                <w:w w:val="93"/>
              </w:rPr>
              <w:t>•  Annual Election. No later than December 31 of each calendar year, or such earlier deadline as</w:t>
            </w:r>
          </w:p>
        </w:tc>
      </w:tr>
      <w:tr>
        <w:trPr>
          <w:trHeight w:val="20"/>
        </w:trPr>
        <w:tc>
          <w:tcPr>
            <w:tcW w:w="2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2"/>
        </w:trPr>
        <w:tc>
          <w:tcPr>
            <w:tcW w:w="2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w w:val="91"/>
              </w:rPr>
              <w:t>may be established by the Board or the Compensation Committee, in its discretion (the “</w:t>
            </w:r>
            <w:r>
              <w:rPr>
                <w:rFonts w:ascii="Arial" w:cs="Arial" w:eastAsia="Arial" w:hAnsi="Arial"/>
                <w:sz w:val="18"/>
                <w:szCs w:val="18"/>
                <w:b w:val="1"/>
                <w:bCs w:val="1"/>
                <w:i w:val="1"/>
                <w:iCs w:val="1"/>
                <w:color w:val="auto"/>
                <w:w w:val="91"/>
              </w:rPr>
              <w:t>Annual</w:t>
            </w:r>
          </w:p>
        </w:tc>
      </w:tr>
      <w:tr>
        <w:trPr>
          <w:trHeight w:val="216"/>
        </w:trPr>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w w:val="94"/>
              </w:rPr>
              <w:t>Election Deadline</w:t>
            </w:r>
            <w:r>
              <w:rPr>
                <w:rFonts w:ascii="Arial" w:cs="Arial" w:eastAsia="Arial" w:hAnsi="Arial"/>
                <w:sz w:val="18"/>
                <w:szCs w:val="18"/>
                <w:color w:val="auto"/>
                <w:w w:val="94"/>
              </w:rPr>
              <w:t>”), each individual who is a Non-Employee Director as of immediately prior</w:t>
            </w:r>
          </w:p>
        </w:tc>
      </w:tr>
      <w:tr>
        <w:trPr>
          <w:trHeight w:val="216"/>
        </w:trPr>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w w:val="93"/>
              </w:rPr>
              <w:t>to the Annual Election Deadline may make a Retainer RSU Election with respect to the annual</w:t>
            </w:r>
          </w:p>
        </w:tc>
      </w:tr>
      <w:tr>
        <w:trPr>
          <w:trHeight w:val="216"/>
        </w:trPr>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rPr>
              <w:t>retainer relating to services to be performed in the following calendar year (the “</w:t>
            </w:r>
            <w:r>
              <w:rPr>
                <w:rFonts w:ascii="Arial" w:cs="Arial" w:eastAsia="Arial" w:hAnsi="Arial"/>
                <w:sz w:val="18"/>
                <w:szCs w:val="18"/>
                <w:b w:val="1"/>
                <w:bCs w:val="1"/>
                <w:i w:val="1"/>
                <w:iCs w:val="1"/>
                <w:color w:val="auto"/>
              </w:rPr>
              <w:t>Annual</w:t>
            </w:r>
          </w:p>
        </w:tc>
      </w:tr>
      <w:tr>
        <w:trPr>
          <w:trHeight w:val="216"/>
        </w:trPr>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w w:val="91"/>
              </w:rPr>
              <w:t>Election</w:t>
            </w:r>
            <w:r>
              <w:rPr>
                <w:rFonts w:ascii="Arial" w:cs="Arial" w:eastAsia="Arial" w:hAnsi="Arial"/>
                <w:sz w:val="18"/>
                <w:szCs w:val="18"/>
                <w:color w:val="auto"/>
                <w:w w:val="91"/>
              </w:rPr>
              <w:t>”). The Annual Election must be submitted to the Company on or prior to the applicable</w:t>
            </w:r>
          </w:p>
        </w:tc>
      </w:tr>
      <w:tr>
        <w:trPr>
          <w:trHeight w:val="216"/>
        </w:trPr>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w w:val="92"/>
              </w:rPr>
              <w:t>Annual Election Deadline and shall become effective and irrevocable as of the Annual Election</w:t>
            </w:r>
          </w:p>
        </w:tc>
      </w:tr>
      <w:tr>
        <w:trPr>
          <w:trHeight w:val="230"/>
        </w:trPr>
        <w:tc>
          <w:tcPr>
            <w:tcW w:w="2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020" w:type="dxa"/>
            <w:vAlign w:val="bottom"/>
            <w:gridSpan w:val="3"/>
          </w:tcPr>
          <w:p>
            <w:pPr>
              <w:ind w:left="20"/>
              <w:spacing w:after="0"/>
              <w:rPr>
                <w:sz w:val="20"/>
                <w:szCs w:val="20"/>
                <w:color w:val="auto"/>
              </w:rPr>
            </w:pPr>
            <w:r>
              <w:rPr>
                <w:rFonts w:ascii="Arial" w:cs="Arial" w:eastAsia="Arial" w:hAnsi="Arial"/>
                <w:sz w:val="18"/>
                <w:szCs w:val="18"/>
                <w:color w:val="auto"/>
              </w:rPr>
              <w:t>Deadline.</w:t>
            </w:r>
          </w:p>
        </w:tc>
      </w:tr>
    </w:tbl>
    <w:p>
      <w:pPr>
        <w:ind w:left="20"/>
        <w:spacing w:after="0"/>
        <w:rPr>
          <w:sz w:val="20"/>
          <w:szCs w:val="20"/>
          <w:color w:val="auto"/>
        </w:rPr>
        <w:sectPr>
          <w:pgSz w:w="11900" w:h="16838" w:orient="portrait"/>
          <w:cols w:equalWidth="0" w:num="1">
            <w:col w:w="11000"/>
          </w:cols>
          <w:pgMar w:left="440" w:top="382"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5" w:name="page366"/>
    <w:bookmarkEnd w:id="365"/>
    <w:p>
      <w:pPr>
        <w:ind w:left="3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w:t>
      </w:r>
      <w:r>
        <w:rPr>
          <w:rFonts w:ascii="Arial" w:cs="Arial" w:eastAsia="Arial" w:hAnsi="Arial"/>
          <w:sz w:val="16"/>
          <w:szCs w:val="16"/>
          <w:u w:val="single" w:color="auto"/>
          <w:color w:val="auto"/>
        </w:rPr>
        <w:t>Deferral of Settlment</w:t>
      </w:r>
      <w:r>
        <w:rPr>
          <w:rFonts w:ascii="Arial" w:cs="Arial" w:eastAsia="Arial" w:hAnsi="Arial"/>
          <w:sz w:val="16"/>
          <w:szCs w:val="16"/>
          <w:color w:val="auto"/>
        </w:rPr>
        <w:t>. The Board, the Compensation Committee or their respective authorized</w:t>
      </w:r>
    </w:p>
    <w:p>
      <w:pPr>
        <w:spacing w:after="0" w:line="46" w:lineRule="exact"/>
        <w:rPr>
          <w:sz w:val="20"/>
          <w:szCs w:val="20"/>
          <w:color w:val="auto"/>
        </w:rPr>
      </w:pPr>
    </w:p>
    <w:p>
      <w:pPr>
        <w:ind w:left="4000"/>
        <w:spacing w:after="0" w:line="286" w:lineRule="auto"/>
        <w:rPr>
          <w:sz w:val="20"/>
          <w:szCs w:val="20"/>
          <w:color w:val="auto"/>
        </w:rPr>
      </w:pPr>
      <w:r>
        <w:rPr>
          <w:rFonts w:ascii="Arial" w:cs="Arial" w:eastAsia="Arial" w:hAnsi="Arial"/>
          <w:sz w:val="16"/>
          <w:szCs w:val="16"/>
          <w:color w:val="auto"/>
        </w:rPr>
        <w:t>designee may, in its discretion, provide an individual who is a Non-Employee Director with the opportunity to defer the delivery of the shares underlying Retainer RSUs that would otherwise be delivered to the individual hereunder. Any such deferral election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Retainer RSUs in accordance herewith, settlement of the deferred Retainer RSUs shall be made in accordance with the terms of the Retainer RSU Election.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ectPr>
          <w:pgSz w:w="11900" w:h="16838" w:orient="portrait"/>
          <w:cols w:equalWidth="0" w:num="1">
            <w:col w:w="11000"/>
          </w:cols>
          <w:pgMar w:left="440" w:top="395" w:right="45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Initial Stock Option Grant: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Each Non-Employee Director who is initially elected or appointed to serve on the Board after the IPO shall be granted an Option under the Plan or any other applicable Company equity incentive plan then-maintained by the Company to purchase that number of shares of Common Stock calculated by dividing (i) $600,000 by (ii) the per share grant date fair value of the Option, calculated based on the closing trading price of the Common Stock as of the date of grant (or if the date of grant is not a trading day, the immediately preceding trading day) and using assumptions published in the Company’s most recent periodic report with such information as of the date of grant, rounded down to the nearest whole share (the “</w:t>
      </w:r>
      <w:r>
        <w:rPr>
          <w:rFonts w:ascii="Arial" w:cs="Arial" w:eastAsia="Arial" w:hAnsi="Arial"/>
          <w:sz w:val="17"/>
          <w:szCs w:val="17"/>
          <w:b w:val="1"/>
          <w:bCs w:val="1"/>
          <w:i w:val="1"/>
          <w:iCs w:val="1"/>
          <w:color w:val="auto"/>
        </w:rPr>
        <w:t>Initial Option</w:t>
      </w:r>
      <w:r>
        <w:rPr>
          <w:rFonts w:ascii="Arial" w:cs="Arial" w:eastAsia="Arial" w:hAnsi="Arial"/>
          <w:sz w:val="17"/>
          <w:szCs w:val="17"/>
          <w:color w:val="auto"/>
        </w:rPr>
        <w:t>”).</w:t>
      </w:r>
    </w:p>
    <w:p>
      <w:pPr>
        <w:spacing w:after="0" w:line="84" w:lineRule="exact"/>
        <w:rPr>
          <w:sz w:val="20"/>
          <w:szCs w:val="20"/>
          <w:color w:val="auto"/>
        </w:rPr>
      </w:pPr>
    </w:p>
    <w:p>
      <w:pPr>
        <w:sectPr>
          <w:pgSz w:w="11900" w:h="16838" w:orient="portrait"/>
          <w:cols w:equalWidth="0" w:num="2">
            <w:col w:w="2920" w:space="720"/>
            <w:col w:w="7360"/>
          </w:cols>
          <w:pgMar w:left="440" w:top="395" w:right="459" w:bottom="1440" w:gutter="0" w:footer="0" w:header="0"/>
          <w:type w:val="continuous"/>
        </w:sectPr>
      </w:pPr>
    </w:p>
    <w:p>
      <w:pPr>
        <w:ind w:left="3640" w:right="200"/>
        <w:spacing w:after="0" w:line="296" w:lineRule="auto"/>
        <w:rPr>
          <w:sz w:val="20"/>
          <w:szCs w:val="20"/>
          <w:color w:val="auto"/>
        </w:rPr>
      </w:pPr>
      <w:r>
        <w:rPr>
          <w:rFonts w:ascii="Arial" w:cs="Arial" w:eastAsia="Arial" w:hAnsi="Arial"/>
          <w:sz w:val="16"/>
          <w:szCs w:val="16"/>
          <w:color w:val="auto"/>
        </w:rPr>
        <w:t>The Initial Option will be automatically granted on the date on which such Non-Employee Director commences service on the Board, and will vest as to 1/36</w:t>
      </w:r>
      <w:r>
        <w:rPr>
          <w:rFonts w:ascii="Arial" w:cs="Arial" w:eastAsia="Arial" w:hAnsi="Arial"/>
          <w:sz w:val="11"/>
          <w:szCs w:val="11"/>
          <w:color w:val="auto"/>
        </w:rPr>
        <w:t>th</w:t>
      </w:r>
      <w:r>
        <w:rPr>
          <w:rFonts w:ascii="Arial" w:cs="Arial" w:eastAsia="Arial" w:hAnsi="Arial"/>
          <w:sz w:val="16"/>
          <w:szCs w:val="16"/>
          <w:color w:val="auto"/>
        </w:rPr>
        <w:t xml:space="preserve"> of the shares subject thereto on each monthly anniversary of the applicable date of grant such that the shares subject to the Initial Option are fully vested on the third anniversary of the date of grant, subject to the Non-Employee Director continuing in service on the Board through each such vesting date.</w:t>
      </w:r>
    </w:p>
    <w:p>
      <w:pPr>
        <w:sectPr>
          <w:pgSz w:w="11900" w:h="16838" w:orient="portrait"/>
          <w:cols w:equalWidth="0" w:num="1">
            <w:col w:w="11000"/>
          </w:cols>
          <w:pgMar w:left="440" w:top="395" w:right="459" w:bottom="1440" w:gutter="0" w:footer="0" w:header="0"/>
          <w:type w:val="continuous"/>
        </w:sectPr>
      </w:pPr>
    </w:p>
    <w:bookmarkStart w:id="366" w:name="page367"/>
    <w:bookmarkEnd w:id="366"/>
    <w:p>
      <w:pPr>
        <w:spacing w:after="0"/>
        <w:rPr>
          <w:sz w:val="20"/>
          <w:szCs w:val="20"/>
          <w:color w:val="auto"/>
        </w:rPr>
      </w:pPr>
      <w:r>
        <w:rPr>
          <w:rFonts w:ascii="Arial" w:cs="Arial" w:eastAsia="Arial" w:hAnsi="Arial"/>
          <w:sz w:val="16"/>
          <w:szCs w:val="16"/>
          <w:color w:val="auto"/>
        </w:rPr>
        <w:t>Annual Stock Option Grant:</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Each Non-Employee Director who (i) has been serving on the Board for at least four months as of each meeting of the Company’s stockholders after the IPO (each, an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and (ii) will continue to serve as a Non-Employee Director immediately following such meeting, shall be granted an Option under the Plan or any other applicable Company equity incentive plan then-maintained by the Company to purchase a number of shares of Common Stock calculated by dividing (i) $350,000 by (ii) the per share grant date fair value of the Option, calculated based on the closing trading price of the Common Stock as of the date of grant (or if the date of grant is not a trading day, the immediately preceding trading day) and using assumptions published in the Company’s most recent periodic report with such information as of the date of grant, rounded down to the nearest whole share (the “</w:t>
      </w:r>
      <w:r>
        <w:rPr>
          <w:rFonts w:ascii="Arial" w:cs="Arial" w:eastAsia="Arial" w:hAnsi="Arial"/>
          <w:sz w:val="17"/>
          <w:szCs w:val="17"/>
          <w:b w:val="1"/>
          <w:bCs w:val="1"/>
          <w:i w:val="1"/>
          <w:iCs w:val="1"/>
          <w:color w:val="auto"/>
        </w:rPr>
        <w:t>Annual Option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-1544320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2920" w:space="720"/>
            <w:col w:w="7340"/>
          </w:cols>
          <w:pgMar w:left="440" w:top="382" w:right="479" w:bottom="1440" w:gutter="0" w:footer="0" w:header="0"/>
        </w:sectPr>
      </w:pPr>
    </w:p>
    <w:p>
      <w:pPr>
        <w:ind w:left="3640" w:right="40"/>
        <w:spacing w:after="0" w:line="259" w:lineRule="auto"/>
        <w:rPr>
          <w:sz w:val="20"/>
          <w:szCs w:val="20"/>
          <w:color w:val="auto"/>
        </w:rPr>
      </w:pPr>
      <w:r>
        <w:rPr>
          <w:rFonts w:ascii="Arial" w:cs="Arial" w:eastAsia="Arial" w:hAnsi="Arial"/>
          <w:sz w:val="18"/>
          <w:szCs w:val="18"/>
          <w:color w:val="auto"/>
        </w:rPr>
        <w:t>The Annual Option will be automatically granted on the date of the applicable Annual Meeting, and will vest in full on the earlier of (i) the first anniversary of the date of grant and (ii) immediately prior to the Annual Meeting following the date of grant, subject to the Non-Employee Director continuing in service on the Board through such vesting date.</w:t>
      </w:r>
    </w:p>
    <w:p>
      <w:pPr>
        <w:sectPr>
          <w:pgSz w:w="11900" w:h="16838" w:orient="portrait"/>
          <w:cols w:equalWidth="0" w:num="1">
            <w:col w:w="10980"/>
          </w:cols>
          <w:pgMar w:left="440" w:top="382" w:right="479" w:bottom="1440" w:gutter="0" w:footer="0" w:header="0"/>
          <w:type w:val="continuous"/>
        </w:sectPr>
      </w:pP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per share exercise price of each Option granted to a Non-Employee Director shall equal the Fair Market Value of a share of Common Stock on the date the Option is granted.</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term of each Option granted to a Non-Employee Director shall be ten years from the date the Option is granted, subject to earlier termination in connection with cessation of Board service.</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Members of the Board who are employees of the Company or any parent or subsidiary of the Company who subsequently terminate their employment with the Company and any parent or subsidiary of the Company and remain on the Board will not receive an Initial Option, but to the extent that they are otherwise eligible, will be eligible to receive, after termination from employment with the Company and any parent or subsidiary of the Company, Annual Options as described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ectPr>
          <w:pgSz w:w="11900" w:h="16838" w:orient="portrait"/>
          <w:cols w:equalWidth="0" w:num="1">
            <w:col w:w="10980"/>
          </w:cols>
          <w:pgMar w:left="440" w:top="382" w:right="479" w:bottom="1440" w:gutter="0" w:footer="0" w:header="0"/>
          <w:type w:val="continuous"/>
        </w:sectPr>
      </w:pPr>
    </w:p>
    <w:bookmarkStart w:id="367" w:name="page368"/>
    <w:bookmarkEnd w:id="36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The grant of any Option under this Program shall be made solely by and subject to the terms set forth in a written agreement in a form to be approved by the Board and duly executed by an executive officer of the Company.</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 * * *</w:t>
      </w:r>
    </w:p>
    <w:p>
      <w:pPr>
        <w:sectPr>
          <w:pgSz w:w="11900" w:h="16838" w:orient="portrait"/>
          <w:cols w:equalWidth="0" w:num="1">
            <w:col w:w="10980"/>
          </w:cols>
          <w:pgMar w:left="440" w:top="274" w:right="47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May 2, 2023 (except for the effects of the reverse stock split described in Note 1 and Note 18, as to which the date is September 11, 2023), in the Registration Statement (Form S-1 No. 333-274229) and related Prospectus of Neumora Therapeutics, Inc. for the registration of shares of its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2023</w:t>
      </w:r>
    </w:p>
    <w:p>
      <w:pPr>
        <w:sectPr>
          <w:pgSz w:w="11900" w:h="16838" w:orient="portrait"/>
          <w:cols w:equalWidth="0" w:num="1">
            <w:col w:w="11020"/>
          </w:cols>
          <w:pgMar w:left="440" w:top="121" w:right="43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Neumora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4"/>
          <w:szCs w:val="14"/>
          <w:u w:val="single" w:color="auto"/>
          <w:color w:val="auto"/>
        </w:rPr>
        <w:t>Table 1: Newly Registered Securities</w:t>
      </w:r>
    </w:p>
    <w:p>
      <w:pPr>
        <w:spacing w:after="0" w:line="229"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2120" w:type="dxa"/>
            <w:vAlign w:val="bottom"/>
            <w:tcBorders>
              <w:top w:val="single" w:sz="8" w:color="auto"/>
              <w:left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Proposed</w:t>
            </w:r>
          </w:p>
        </w:tc>
        <w:tc>
          <w:tcPr>
            <w:tcW w:w="14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4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20" w:type="dxa"/>
            <w:vAlign w:val="bottom"/>
            <w:tcBorders>
              <w:left w:val="single" w:sz="8" w:color="auto"/>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9"/>
              </w:rPr>
              <w:t>Fee</w:t>
            </w:r>
          </w:p>
        </w:tc>
        <w:tc>
          <w:tcPr>
            <w:tcW w:w="6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94"/>
              </w:rPr>
              <w:t>Offering</w:t>
            </w:r>
          </w:p>
        </w:tc>
        <w:tc>
          <w:tcPr>
            <w:tcW w:w="1400" w:type="dxa"/>
            <w:vAlign w:val="bottom"/>
            <w:tcBorders>
              <w:right w:val="single" w:sz="8" w:color="auto"/>
            </w:tcBorders>
          </w:tcPr>
          <w:p>
            <w:pPr>
              <w:jc w:val="center"/>
              <w:ind w:left="4"/>
              <w:spacing w:after="0" w:line="140" w:lineRule="exact"/>
              <w:rPr>
                <w:sz w:val="20"/>
                <w:szCs w:val="20"/>
                <w:color w:val="auto"/>
              </w:rPr>
            </w:pPr>
            <w:r>
              <w:rPr>
                <w:rFonts w:ascii="Arial" w:cs="Arial" w:eastAsia="Arial" w:hAnsi="Arial"/>
                <w:sz w:val="13"/>
                <w:szCs w:val="13"/>
                <w:b w:val="1"/>
                <w:bCs w:val="1"/>
                <w:color w:val="auto"/>
                <w:w w:val="93"/>
              </w:rPr>
              <w:t>Maximum</w:t>
            </w:r>
          </w:p>
        </w:tc>
        <w:tc>
          <w:tcPr>
            <w:tcW w:w="10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14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ind w:left="6"/>
              <w:spacing w:after="0" w:line="135" w:lineRule="exact"/>
              <w:rPr>
                <w:sz w:val="20"/>
                <w:szCs w:val="20"/>
                <w:color w:val="auto"/>
              </w:rPr>
            </w:pPr>
            <w:r>
              <w:rPr>
                <w:rFonts w:ascii="Arial" w:cs="Arial" w:eastAsia="Arial" w:hAnsi="Arial"/>
                <w:sz w:val="13"/>
                <w:szCs w:val="13"/>
                <w:b w:val="1"/>
                <w:bCs w:val="1"/>
                <w:color w:val="auto"/>
                <w:w w:val="88"/>
              </w:rPr>
              <w:t>Calculation</w:t>
            </w:r>
          </w:p>
        </w:tc>
        <w:tc>
          <w:tcPr>
            <w:tcW w:w="60" w:type="dxa"/>
            <w:vAlign w:val="bottom"/>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14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76"/>
        </w:trPr>
        <w:tc>
          <w:tcPr>
            <w:tcW w:w="2120" w:type="dxa"/>
            <w:vAlign w:val="bottom"/>
            <w:tcBorders>
              <w:left w:val="single" w:sz="8" w:color="auto"/>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14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b w:val="1"/>
                <w:bCs w:val="1"/>
                <w:color w:val="auto"/>
                <w:w w:val="95"/>
              </w:rPr>
              <w:t>Security Class 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Unit</w:t>
            </w:r>
          </w:p>
        </w:tc>
        <w:tc>
          <w:tcPr>
            <w:tcW w:w="1400" w:type="dxa"/>
            <w:vAlign w:val="bottom"/>
            <w:tcBorders>
              <w:bottom w:val="single" w:sz="8" w:color="auto"/>
              <w:right w:val="single" w:sz="8" w:color="auto"/>
            </w:tcBorders>
          </w:tcPr>
          <w:p>
            <w:pPr>
              <w:jc w:val="center"/>
              <w:ind w:left="4"/>
              <w:spacing w:after="0" w:line="176" w:lineRule="exact"/>
              <w:rPr>
                <w:sz w:val="20"/>
                <w:szCs w:val="20"/>
                <w:color w:val="auto"/>
              </w:rPr>
            </w:pPr>
            <w:r>
              <w:rPr>
                <w:rFonts w:ascii="Arial" w:cs="Arial" w:eastAsia="Arial" w:hAnsi="Arial"/>
                <w:sz w:val="13"/>
                <w:szCs w:val="13"/>
                <w:b w:val="1"/>
                <w:bCs w:val="1"/>
                <w:color w:val="auto"/>
                <w:w w:val="87"/>
              </w:rPr>
              <w:t>Offering Price</w:t>
            </w:r>
            <w:r>
              <w:rPr>
                <w:rFonts w:ascii="Arial" w:cs="Arial" w:eastAsia="Arial" w:hAnsi="Arial"/>
                <w:sz w:val="18"/>
                <w:szCs w:val="18"/>
                <w:b w:val="1"/>
                <w:bCs w:val="1"/>
                <w:color w:val="auto"/>
                <w:w w:val="87"/>
                <w:vertAlign w:val="superscript"/>
              </w:rPr>
              <w:t>(1)</w:t>
            </w:r>
          </w:p>
        </w:tc>
        <w:tc>
          <w:tcPr>
            <w:tcW w:w="10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Fee Rate</w:t>
            </w:r>
          </w:p>
        </w:tc>
        <w:tc>
          <w:tcPr>
            <w:tcW w:w="12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5"/>
              </w:rPr>
              <w:t>Registration Fee</w:t>
            </w:r>
            <w:r>
              <w:rPr>
                <w:rFonts w:ascii="Arial" w:cs="Arial" w:eastAsia="Arial" w:hAnsi="Arial"/>
                <w:sz w:val="18"/>
                <w:szCs w:val="18"/>
                <w:b w:val="1"/>
                <w:bCs w:val="1"/>
                <w:color w:val="auto"/>
                <w:w w:val="85"/>
                <w:vertAlign w:val="superscript"/>
              </w:rPr>
              <w:t>(3)</w:t>
            </w: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w:t>
            </w:r>
          </w:p>
        </w:tc>
        <w:tc>
          <w:tcPr>
            <w:tcW w:w="10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$110.2 per</w:t>
            </w: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tcBorders>
              <w:left w:val="single" w:sz="8" w:color="auto"/>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$0.0001 par</w:t>
            </w:r>
          </w:p>
        </w:tc>
        <w:tc>
          <w:tcPr>
            <w:tcW w:w="10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1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 Paid</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value per share</w:t>
            </w:r>
          </w:p>
        </w:tc>
        <w:tc>
          <w:tcPr>
            <w:tcW w:w="1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Rule 457(a)</w:t>
            </w:r>
          </w:p>
        </w:tc>
        <w:tc>
          <w:tcPr>
            <w:tcW w:w="6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8"/>
                <w:szCs w:val="18"/>
                <w:color w:val="auto"/>
                <w:w w:val="97"/>
              </w:rPr>
              <w:t>16,916,500</w:t>
            </w:r>
          </w:p>
        </w:tc>
        <w:tc>
          <w:tcPr>
            <w:tcW w:w="860" w:type="dxa"/>
            <w:vAlign w:val="bottom"/>
            <w:tcBorders>
              <w:bottom w:val="single" w:sz="8" w:color="auto"/>
              <w:right w:val="single" w:sz="8" w:color="auto"/>
            </w:tcBorders>
          </w:tcPr>
          <w:p>
            <w:pPr>
              <w:jc w:val="right"/>
              <w:ind w:right="29"/>
              <w:spacing w:after="0" w:line="257" w:lineRule="exact"/>
              <w:rPr>
                <w:sz w:val="20"/>
                <w:szCs w:val="20"/>
                <w:color w:val="auto"/>
              </w:rPr>
            </w:pPr>
            <w:r>
              <w:rPr>
                <w:rFonts w:ascii="Arial" w:cs="Arial" w:eastAsia="Arial" w:hAnsi="Arial"/>
                <w:sz w:val="18"/>
                <w:szCs w:val="18"/>
                <w:color w:val="auto"/>
                <w:w w:val="97"/>
              </w:rPr>
              <w:t>$18.00</w:t>
            </w:r>
            <w:r>
              <w:rPr>
                <w:rFonts w:ascii="Arial" w:cs="Arial" w:eastAsia="Arial" w:hAnsi="Arial"/>
                <w:sz w:val="26"/>
                <w:szCs w:val="26"/>
                <w:color w:val="auto"/>
                <w:w w:val="97"/>
                <w:vertAlign w:val="superscript"/>
              </w:rPr>
              <w:t>(2)</w:t>
            </w:r>
          </w:p>
        </w:tc>
        <w:tc>
          <w:tcPr>
            <w:tcW w:w="140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$304,497,000</w:t>
            </w:r>
            <w:r>
              <w:rPr>
                <w:rFonts w:ascii="Arial" w:cs="Arial" w:eastAsia="Arial" w:hAnsi="Arial"/>
                <w:sz w:val="26"/>
                <w:szCs w:val="26"/>
                <w:color w:val="auto"/>
                <w:w w:val="86"/>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$33,555.57</w:t>
            </w: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w:t>
            </w:r>
          </w:p>
        </w:tc>
        <w:tc>
          <w:tcPr>
            <w:tcW w:w="10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$110.2 per</w:t>
            </w: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tcBorders>
              <w:left w:val="single" w:sz="8" w:color="auto"/>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$0.0001 par</w:t>
            </w:r>
          </w:p>
        </w:tc>
        <w:tc>
          <w:tcPr>
            <w:tcW w:w="10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1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Fees Previously Paid</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value per share</w:t>
            </w:r>
          </w:p>
        </w:tc>
        <w:tc>
          <w:tcPr>
            <w:tcW w:w="102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1"/>
              </w:rPr>
              <w:t>Rule 457(o)</w:t>
            </w:r>
          </w:p>
        </w:tc>
        <w:tc>
          <w:tcPr>
            <w:tcW w:w="6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$100,000,000</w:t>
            </w:r>
            <w:r>
              <w:rPr>
                <w:rFonts w:ascii="Arial" w:cs="Arial" w:eastAsia="Arial" w:hAnsi="Arial"/>
                <w:sz w:val="26"/>
                <w:szCs w:val="26"/>
                <w:color w:val="auto"/>
                <w:w w:val="86"/>
                <w:vertAlign w:val="superscript"/>
              </w:rPr>
              <w:t>(3)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$11,020.00</w:t>
            </w:r>
          </w:p>
        </w:tc>
        <w:tc>
          <w:tcPr>
            <w:tcW w:w="0" w:type="dxa"/>
            <w:vAlign w:val="bottom"/>
          </w:tcPr>
          <w:p>
            <w:pPr>
              <w:spacing w:after="0"/>
              <w:rPr>
                <w:sz w:val="1"/>
                <w:szCs w:val="1"/>
                <w:color w:val="auto"/>
              </w:rPr>
            </w:pPr>
          </w:p>
        </w:tc>
      </w:tr>
      <w:tr>
        <w:trPr>
          <w:trHeight w:val="232"/>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8"/>
                <w:szCs w:val="18"/>
                <w:b w:val="1"/>
                <w:bCs w:val="1"/>
                <w:color w:val="auto"/>
                <w:w w:val="91"/>
              </w:rPr>
              <w:t>Total Offering Amounts</w:t>
            </w:r>
          </w:p>
        </w:tc>
        <w:tc>
          <w:tcPr>
            <w:tcW w:w="10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$304,497,000</w:t>
            </w:r>
          </w:p>
        </w:tc>
        <w:tc>
          <w:tcPr>
            <w:tcW w:w="10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$33,555.57</w:t>
            </w:r>
          </w:p>
        </w:tc>
        <w:tc>
          <w:tcPr>
            <w:tcW w:w="0" w:type="dxa"/>
            <w:vAlign w:val="bottom"/>
          </w:tcPr>
          <w:p>
            <w:pPr>
              <w:spacing w:after="0"/>
              <w:rPr>
                <w:sz w:val="1"/>
                <w:szCs w:val="1"/>
                <w:color w:val="auto"/>
              </w:rPr>
            </w:pPr>
          </w:p>
        </w:tc>
      </w:tr>
      <w:tr>
        <w:trPr>
          <w:trHeight w:val="213"/>
        </w:trPr>
        <w:tc>
          <w:tcPr>
            <w:tcW w:w="212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480" w:type="dxa"/>
            <w:vAlign w:val="bottom"/>
            <w:gridSpan w:val="3"/>
          </w:tcPr>
          <w:p>
            <w:pPr>
              <w:jc w:val="center"/>
              <w:ind w:left="252"/>
              <w:spacing w:after="0"/>
              <w:rPr>
                <w:sz w:val="20"/>
                <w:szCs w:val="20"/>
                <w:color w:val="auto"/>
              </w:rPr>
            </w:pPr>
            <w:r>
              <w:rPr>
                <w:rFonts w:ascii="Arial" w:cs="Arial" w:eastAsia="Arial" w:hAnsi="Arial"/>
                <w:sz w:val="18"/>
                <w:szCs w:val="18"/>
                <w:b w:val="1"/>
                <w:bCs w:val="1"/>
                <w:color w:val="auto"/>
                <w:w w:val="88"/>
              </w:rPr>
              <w:t>Total Fees Previously Paid</w:t>
            </w:r>
          </w:p>
        </w:tc>
        <w:tc>
          <w:tcPr>
            <w:tcW w:w="10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$110.2 per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$11,020.00</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$1,000,000</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8"/>
                <w:szCs w:val="18"/>
                <w:b w:val="1"/>
                <w:bCs w:val="1"/>
                <w:color w:val="auto"/>
                <w:w w:val="87"/>
              </w:rPr>
              <w:t>Total Fee Offsets</w:t>
            </w:r>
          </w:p>
        </w:tc>
        <w:tc>
          <w:tcPr>
            <w:tcW w:w="10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center"/>
              <w:ind w:left="252"/>
              <w:spacing w:after="0"/>
              <w:rPr>
                <w:sz w:val="20"/>
                <w:szCs w:val="20"/>
                <w:color w:val="auto"/>
              </w:rPr>
            </w:pPr>
            <w:r>
              <w:rPr>
                <w:rFonts w:ascii="Arial" w:cs="Arial" w:eastAsia="Arial" w:hAnsi="Arial"/>
                <w:sz w:val="18"/>
                <w:szCs w:val="18"/>
                <w:b w:val="1"/>
                <w:bCs w:val="1"/>
                <w:color w:val="auto"/>
                <w:w w:val="90"/>
              </w:rPr>
              <w:t>Net Fee Due</w:t>
            </w:r>
          </w:p>
        </w:tc>
        <w:tc>
          <w:tcPr>
            <w:tcW w:w="10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$22,535.57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right="1040" w:hanging="424"/>
        <w:spacing w:after="0" w:line="291" w:lineRule="auto"/>
        <w:tabs>
          <w:tab w:leader="none" w:pos="42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457(a) of the Securities Act of 1933, as amended (the “Securities Act”). Includes 2,206,500 shares that the underwriters have the option to purchase. See “Underwriting.”</w:t>
      </w:r>
    </w:p>
    <w:p>
      <w:pPr>
        <w:ind w:left="424" w:hanging="424"/>
        <w:spacing w:after="0"/>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Calculated pursuant to Rule 457(a) of the Securities Act, based on an estimate of the proposed maximum aggregate offering price.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pursuant to Rule 457(o) under the Securities Act.</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1)"/>
      <w:numFmt w:val="decimal"/>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
      <w:numFmt w:val="bullet"/>
      <w:start w:val="1"/>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
      <w:numFmt w:val="bullet"/>
      <w:start w:val="1"/>
    </w:lvl>
  </w:abstractNum>
  <w:abstractNum w:abstractNumId="11">
    <w:nsid w:val="2157F6BC"/>
    <w:multiLevelType w:val="hybridMultilevel"/>
    <w:lvl w:ilvl="0">
      <w:lvlJc w:val="left"/>
      <w:lvlText w:val="(%1)"/>
      <w:numFmt w:val="decimal"/>
      <w:start w:val="1"/>
    </w:lvl>
  </w:abstractNum>
  <w:abstractNum w:abstractNumId="12">
    <w:nsid w:val="704E1DD5"/>
    <w:multiLevelType w:val="hybridMultilevel"/>
    <w:lvl w:ilvl="0">
      <w:lvlJc w:val="left"/>
      <w:lvlText w:val="(%1)"/>
      <w:numFmt w:val="decimal"/>
      <w:start w:val="1"/>
    </w:lvl>
  </w:abstractNum>
  <w:abstractNum w:abstractNumId="13">
    <w:nsid w:val="57D2F10E"/>
    <w:multiLevelType w:val="hybridMultilevel"/>
    <w:lvl w:ilvl="0">
      <w:lvlJc w:val="left"/>
      <w:lvlText w:val="•"/>
      <w:numFmt w:val="bullet"/>
      <w:start w:val="1"/>
    </w:lvl>
  </w:abstractNum>
  <w:abstractNum w:abstractNumId="14">
    <w:nsid w:val="BFFAE18"/>
    <w:multiLevelType w:val="hybridMultilevel"/>
    <w:lvl w:ilvl="0">
      <w:lvlJc w:val="left"/>
      <w:lvlText w:val="•"/>
      <w:numFmt w:val="bullet"/>
      <w:start w:val="1"/>
    </w:lvl>
  </w:abstractNum>
  <w:abstractNum w:abstractNumId="15">
    <w:nsid w:val="E3E47A8"/>
    <w:multiLevelType w:val="hybridMultilevel"/>
    <w:lvl w:ilvl="0">
      <w:lvlJc w:val="left"/>
      <w:lvlText w:val="•"/>
      <w:numFmt w:val="bullet"/>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
      <w:numFmt w:val="bullet"/>
      <w:start w:val="1"/>
    </w:lvl>
  </w:abstractNum>
  <w:abstractNum w:abstractNumId="19">
    <w:nsid w:val="5551B9F3"/>
    <w:multiLevelType w:val="hybridMultilevel"/>
    <w:lvl w:ilvl="0">
      <w:lvlJc w:val="left"/>
      <w:lvlText w:val="•"/>
      <w:numFmt w:val="bullet"/>
      <w:start w:val="1"/>
    </w:lvl>
  </w:abstractNum>
  <w:abstractNum w:abstractNumId="20">
    <w:nsid w:val="24F6AB8E"/>
    <w:multiLevelType w:val="hybridMultilevel"/>
    <w:lvl w:ilvl="0">
      <w:lvlJc w:val="left"/>
      <w:lvlText w:val="•"/>
      <w:numFmt w:val="bullet"/>
      <w:start w:val="1"/>
    </w:lvl>
  </w:abstractNum>
  <w:abstractNum w:abstractNumId="21">
    <w:nsid w:val="634C574C"/>
    <w:multiLevelType w:val="hybridMultilevel"/>
    <w:lvl w:ilvl="0">
      <w:lvlJc w:val="left"/>
      <w:lvlText w:val="•"/>
      <w:numFmt w:val="bullet"/>
      <w:start w:val="1"/>
    </w:lvl>
  </w:abstractNum>
  <w:abstractNum w:abstractNumId="22">
    <w:nsid w:val="24E99DD7"/>
    <w:multiLevelType w:val="hybridMultilevel"/>
    <w:lvl w:ilvl="0">
      <w:lvlJc w:val="left"/>
      <w:lvlText w:val="•"/>
      <w:numFmt w:val="bullet"/>
      <w:start w:val="1"/>
    </w:lvl>
  </w:abstractNum>
  <w:abstractNum w:abstractNumId="23">
    <w:nsid w:val="2A31B62D"/>
    <w:multiLevelType w:val="hybridMultilevel"/>
    <w:lvl w:ilvl="0">
      <w:lvlJc w:val="left"/>
      <w:lvlText w:val="•"/>
      <w:numFmt w:val="bullet"/>
      <w:start w:val="1"/>
    </w:lvl>
  </w:abstractNum>
  <w:abstractNum w:abstractNumId="24">
    <w:nsid w:val="1849C29B"/>
    <w:multiLevelType w:val="hybridMultilevel"/>
    <w:lvl w:ilvl="0">
      <w:lvlJc w:val="left"/>
      <w:lvlText w:val="•"/>
      <w:numFmt w:val="bullet"/>
      <w:start w:val="1"/>
    </w:lvl>
  </w:abstractNum>
  <w:abstractNum w:abstractNumId="25">
    <w:nsid w:val="7DFF9D09"/>
    <w:multiLevelType w:val="hybridMultilevel"/>
    <w:lvl w:ilvl="0">
      <w:lvlJc w:val="left"/>
      <w:lvlText w:val="•"/>
      <w:numFmt w:val="bullet"/>
      <w:start w:val="1"/>
    </w:lvl>
  </w:abstractNum>
  <w:abstractNum w:abstractNumId="26">
    <w:nsid w:val="754342"/>
    <w:multiLevelType w:val="hybridMultilevel"/>
    <w:lvl w:ilvl="0">
      <w:lvlJc w:val="left"/>
      <w:lvlText w:val="•"/>
      <w:numFmt w:val="bullet"/>
      <w:start w:val="1"/>
    </w:lvl>
  </w:abstractNum>
  <w:abstractNum w:abstractNumId="27">
    <w:nsid w:val="69E7F3E5"/>
    <w:multiLevelType w:val="hybridMultilevel"/>
    <w:lvl w:ilvl="0">
      <w:lvlJc w:val="left"/>
      <w:lvlText w:val="•"/>
      <w:numFmt w:val="bullet"/>
      <w:start w:val="1"/>
    </w:lvl>
  </w:abstractNum>
  <w:abstractNum w:abstractNumId="28">
    <w:nsid w:val="2A6DE806"/>
    <w:multiLevelType w:val="hybridMultilevel"/>
    <w:lvl w:ilvl="0">
      <w:lvlJc w:val="left"/>
      <w:lvlText w:val="•"/>
      <w:numFmt w:val="bullet"/>
      <w:start w:val="1"/>
    </w:lvl>
  </w:abstractNum>
  <w:abstractNum w:abstractNumId="29">
    <w:nsid w:val="1816F8C4"/>
    <w:multiLevelType w:val="hybridMultilevel"/>
    <w:lvl w:ilvl="0">
      <w:lvlJc w:val="left"/>
      <w:lvlText w:val="•"/>
      <w:numFmt w:val="bullet"/>
      <w:start w:val="1"/>
    </w:lvl>
  </w:abstractNum>
  <w:abstractNum w:abstractNumId="30">
    <w:nsid w:val="37DF2233"/>
    <w:multiLevelType w:val="hybridMultilevel"/>
    <w:lvl w:ilvl="0">
      <w:lvlJc w:val="left"/>
      <w:lvlText w:val="•"/>
      <w:numFmt w:val="bullet"/>
      <w:start w:val="1"/>
    </w:lvl>
  </w:abstractNum>
  <w:abstractNum w:abstractNumId="31">
    <w:nsid w:val="7AB49DAF"/>
    <w:multiLevelType w:val="hybridMultilevel"/>
    <w:lvl w:ilvl="0">
      <w:lvlJc w:val="left"/>
      <w:lvlText w:val="•"/>
      <w:numFmt w:val="bullet"/>
      <w:start w:val="1"/>
    </w:lvl>
  </w:abstractNum>
  <w:abstractNum w:abstractNumId="32">
    <w:nsid w:val="759F82CD"/>
    <w:multiLevelType w:val="hybridMultilevel"/>
    <w:lvl w:ilvl="0">
      <w:lvlJc w:val="left"/>
      <w:lvlText w:val="•"/>
      <w:numFmt w:val="bullet"/>
      <w:start w:val="1"/>
    </w:lvl>
  </w:abstractNum>
  <w:abstractNum w:abstractNumId="33">
    <w:nsid w:val="61E74EA3"/>
    <w:multiLevelType w:val="hybridMultilevel"/>
    <w:lvl w:ilvl="0">
      <w:lvlJc w:val="left"/>
      <w:lvlText w:val="•"/>
      <w:numFmt w:val="bullet"/>
      <w:start w:val="1"/>
    </w:lvl>
  </w:abstractNum>
  <w:abstractNum w:abstractNumId="34">
    <w:nsid w:val="597B4D84"/>
    <w:multiLevelType w:val="hybridMultilevel"/>
    <w:lvl w:ilvl="0">
      <w:lvlJc w:val="left"/>
      <w:lvlText w:val="•"/>
      <w:numFmt w:val="bullet"/>
      <w:start w:val="1"/>
    </w:lvl>
  </w:abstractNum>
  <w:abstractNum w:abstractNumId="35">
    <w:nsid w:val="F819E7F"/>
    <w:multiLevelType w:val="hybridMultilevel"/>
    <w:lvl w:ilvl="0">
      <w:lvlJc w:val="left"/>
      <w:lvlText w:val="•"/>
      <w:numFmt w:val="bullet"/>
      <w:start w:val="1"/>
    </w:lvl>
  </w:abstractNum>
  <w:abstractNum w:abstractNumId="36">
    <w:nsid w:val="57C7D42D"/>
    <w:multiLevelType w:val="hybridMultilevel"/>
    <w:lvl w:ilvl="0">
      <w:lvlJc w:val="left"/>
      <w:lvlText w:val="•"/>
      <w:numFmt w:val="bullet"/>
      <w:start w:val="1"/>
    </w:lvl>
  </w:abstractNum>
  <w:abstractNum w:abstractNumId="37">
    <w:nsid w:val="312167AD"/>
    <w:multiLevelType w:val="hybridMultilevel"/>
    <w:lvl w:ilvl="0">
      <w:lvlJc w:val="left"/>
      <w:lvlText w:val="•"/>
      <w:numFmt w:val="bullet"/>
      <w:start w:val="1"/>
    </w:lvl>
  </w:abstractNum>
  <w:abstractNum w:abstractNumId="38">
    <w:nsid w:val="631B64D4"/>
    <w:multiLevelType w:val="hybridMultilevel"/>
    <w:lvl w:ilvl="0">
      <w:lvlJc w:val="left"/>
      <w:lvlText w:val="•"/>
      <w:numFmt w:val="bullet"/>
      <w:start w:val="1"/>
    </w:lvl>
  </w:abstractNum>
  <w:abstractNum w:abstractNumId="39">
    <w:nsid w:val="78B5E776"/>
    <w:multiLevelType w:val="hybridMultilevel"/>
    <w:lvl w:ilvl="0">
      <w:lvlJc w:val="left"/>
      <w:lvlText w:val="•"/>
      <w:numFmt w:val="bullet"/>
      <w:start w:val="1"/>
    </w:lvl>
  </w:abstractNum>
  <w:abstractNum w:abstractNumId="40">
    <w:nsid w:val="75486E47"/>
    <w:multiLevelType w:val="hybridMultilevel"/>
    <w:lvl w:ilvl="0">
      <w:lvlJc w:val="left"/>
      <w:lvlText w:val="•"/>
      <w:numFmt w:val="bullet"/>
      <w:start w:val="1"/>
    </w:lvl>
  </w:abstractNum>
  <w:abstractNum w:abstractNumId="41">
    <w:nsid w:val="6E534CDE"/>
    <w:multiLevelType w:val="hybridMultilevel"/>
    <w:lvl w:ilvl="0">
      <w:lvlJc w:val="left"/>
      <w:lvlText w:val="•"/>
      <w:numFmt w:val="bullet"/>
      <w:start w:val="1"/>
    </w:lvl>
  </w:abstractNum>
  <w:abstractNum w:abstractNumId="42">
    <w:nsid w:val="1A0DDE32"/>
    <w:multiLevelType w:val="hybridMultilevel"/>
    <w:lvl w:ilvl="0">
      <w:lvlJc w:val="left"/>
      <w:lvlText w:val="•"/>
      <w:numFmt w:val="bullet"/>
      <w:start w:val="1"/>
    </w:lvl>
  </w:abstractNum>
  <w:abstractNum w:abstractNumId="43">
    <w:nsid w:val="65968C1C"/>
    <w:multiLevelType w:val="hybridMultilevel"/>
    <w:lvl w:ilvl="0">
      <w:lvlJc w:val="left"/>
      <w:lvlText w:val="•"/>
      <w:numFmt w:val="bullet"/>
      <w:start w:val="1"/>
    </w:lvl>
  </w:abstractNum>
  <w:abstractNum w:abstractNumId="44">
    <w:nsid w:val="46263DEC"/>
    <w:multiLevelType w:val="hybridMultilevel"/>
    <w:lvl w:ilvl="0">
      <w:lvlJc w:val="left"/>
      <w:lvlText w:val="•"/>
      <w:numFmt w:val="bullet"/>
      <w:start w:val="1"/>
    </w:lvl>
  </w:abstractNum>
  <w:abstractNum w:abstractNumId="45">
    <w:nsid w:val="260D8C4A"/>
    <w:multiLevelType w:val="hybridMultilevel"/>
    <w:lvl w:ilvl="0">
      <w:lvlJc w:val="left"/>
      <w:lvlText w:val="•"/>
      <w:numFmt w:val="bullet"/>
      <w:start w:val="1"/>
    </w:lvl>
  </w:abstractNum>
  <w:abstractNum w:abstractNumId="46">
    <w:nsid w:val="73D4D3C4"/>
    <w:multiLevelType w:val="hybridMultilevel"/>
    <w:lvl w:ilvl="0">
      <w:lvlJc w:val="left"/>
      <w:lvlText w:val="•"/>
      <w:numFmt w:val="bullet"/>
      <w:start w:val="1"/>
    </w:lvl>
  </w:abstractNum>
  <w:abstractNum w:abstractNumId="47">
    <w:nsid w:val="746F2E30"/>
    <w:multiLevelType w:val="hybridMultilevel"/>
    <w:lvl w:ilvl="0">
      <w:lvlJc w:val="left"/>
      <w:lvlText w:val="•"/>
      <w:numFmt w:val="bullet"/>
      <w:start w:val="1"/>
    </w:lvl>
  </w:abstractNum>
  <w:abstractNum w:abstractNumId="48">
    <w:nsid w:val="6FDE8AF6"/>
    <w:multiLevelType w:val="hybridMultilevel"/>
    <w:lvl w:ilvl="0">
      <w:lvlJc w:val="left"/>
      <w:lvlText w:val="•"/>
      <w:numFmt w:val="bullet"/>
      <w:start w:val="1"/>
    </w:lvl>
  </w:abstractNum>
  <w:abstractNum w:abstractNumId="49">
    <w:nsid w:val="3FC32E20"/>
    <w:multiLevelType w:val="hybridMultilevel"/>
    <w:lvl w:ilvl="0">
      <w:lvlJc w:val="left"/>
      <w:lvlText w:val="•"/>
      <w:numFmt w:val="bullet"/>
      <w:start w:val="1"/>
    </w:lvl>
  </w:abstractNum>
  <w:abstractNum w:abstractNumId="50">
    <w:nsid w:val="49C0E823"/>
    <w:multiLevelType w:val="hybridMultilevel"/>
    <w:lvl w:ilvl="0">
      <w:lvlJc w:val="left"/>
      <w:lvlText w:val="•"/>
      <w:numFmt w:val="bullet"/>
      <w:start w:val="1"/>
    </w:lvl>
  </w:abstractNum>
  <w:abstractNum w:abstractNumId="51">
    <w:nsid w:val="14D53685"/>
    <w:multiLevelType w:val="hybridMultilevel"/>
    <w:lvl w:ilvl="0">
      <w:lvlJc w:val="left"/>
      <w:lvlText w:val="•"/>
      <w:numFmt w:val="bullet"/>
      <w:start w:val="1"/>
    </w:lvl>
  </w:abstractNum>
  <w:abstractNum w:abstractNumId="52">
    <w:nsid w:val="230F856C"/>
    <w:multiLevelType w:val="hybridMultilevel"/>
    <w:lvl w:ilvl="0">
      <w:lvlJc w:val="left"/>
      <w:lvlText w:val="•"/>
      <w:numFmt w:val="bullet"/>
      <w:start w:val="1"/>
    </w:lvl>
  </w:abstractNum>
  <w:abstractNum w:abstractNumId="53">
    <w:nsid w:val="6EAA85FB"/>
    <w:multiLevelType w:val="hybridMultilevel"/>
    <w:lvl w:ilvl="0">
      <w:lvlJc w:val="left"/>
      <w:lvlText w:val="•"/>
      <w:numFmt w:val="bullet"/>
      <w:start w:val="1"/>
    </w:lvl>
  </w:abstractNum>
  <w:abstractNum w:abstractNumId="54">
    <w:nsid w:val="3F06ECB2"/>
    <w:multiLevelType w:val="hybridMultilevel"/>
    <w:lvl w:ilvl="0">
      <w:lvlJc w:val="left"/>
      <w:lvlText w:val="•"/>
      <w:numFmt w:val="bullet"/>
      <w:start w:val="1"/>
    </w:lvl>
  </w:abstractNum>
  <w:abstractNum w:abstractNumId="55">
    <w:nsid w:val="3B594807"/>
    <w:multiLevelType w:val="hybridMultilevel"/>
    <w:lvl w:ilvl="0">
      <w:lvlJc w:val="left"/>
      <w:lvlText w:val="(%1)"/>
      <w:numFmt w:val="decimal"/>
      <w:start w:val="1"/>
    </w:lvl>
  </w:abstractNum>
  <w:abstractNum w:abstractNumId="56">
    <w:nsid w:val="6CAA2304"/>
    <w:multiLevelType w:val="hybridMultilevel"/>
    <w:lvl w:ilvl="0">
      <w:lvlJc w:val="left"/>
      <w:lvlText w:val="•"/>
      <w:numFmt w:val="bullet"/>
      <w:start w:val="1"/>
    </w:lvl>
  </w:abstractNum>
  <w:abstractNum w:abstractNumId="57">
    <w:nsid w:val="3F7C2FF4"/>
    <w:multiLevelType w:val="hybridMultilevel"/>
    <w:lvl w:ilvl="0">
      <w:lvlJc w:val="left"/>
      <w:lvlText w:val="•"/>
      <w:numFmt w:val="bullet"/>
      <w:start w:val="1"/>
    </w:lvl>
  </w:abstractNum>
  <w:abstractNum w:abstractNumId="58">
    <w:nsid w:val="25413BEC"/>
    <w:multiLevelType w:val="hybridMultilevel"/>
    <w:lvl w:ilvl="0">
      <w:lvlJc w:val="left"/>
      <w:lvlText w:val="•"/>
      <w:numFmt w:val="bullet"/>
      <w:start w:val="1"/>
    </w:lvl>
  </w:abstractNum>
  <w:abstractNum w:abstractNumId="59">
    <w:nsid w:val="17180B0B"/>
    <w:multiLevelType w:val="hybridMultilevel"/>
    <w:lvl w:ilvl="0">
      <w:lvlJc w:val="left"/>
      <w:lvlText w:val="•"/>
      <w:numFmt w:val="bullet"/>
      <w:start w:val="1"/>
    </w:lvl>
  </w:abstractNum>
  <w:abstractNum w:abstractNumId="60">
    <w:nsid w:val="579328B9"/>
    <w:multiLevelType w:val="hybridMultilevel"/>
    <w:lvl w:ilvl="0">
      <w:lvlJc w:val="left"/>
      <w:lvlText w:val="•"/>
      <w:numFmt w:val="bullet"/>
      <w:start w:val="1"/>
    </w:lvl>
  </w:abstractNum>
  <w:abstractNum w:abstractNumId="61">
    <w:nsid w:val="5D205E20"/>
    <w:multiLevelType w:val="hybridMultilevel"/>
    <w:lvl w:ilvl="0">
      <w:lvlJc w:val="left"/>
      <w:lvlText w:val="•"/>
      <w:numFmt w:val="bullet"/>
      <w:start w:val="1"/>
    </w:lvl>
  </w:abstractNum>
  <w:abstractNum w:abstractNumId="62">
    <w:nsid w:val="11CCA8BA"/>
    <w:multiLevelType w:val="hybridMultilevel"/>
    <w:lvl w:ilvl="0">
      <w:lvlJc w:val="left"/>
      <w:lvlText w:val="•"/>
      <w:numFmt w:val="bullet"/>
      <w:start w:val="1"/>
    </w:lvl>
  </w:abstractNum>
  <w:abstractNum w:abstractNumId="63">
    <w:nsid w:val="4D32AB86"/>
    <w:multiLevelType w:val="hybridMultilevel"/>
    <w:lvl w:ilvl="0">
      <w:lvlJc w:val="left"/>
      <w:lvlText w:val="•"/>
      <w:numFmt w:val="bullet"/>
      <w:start w:val="1"/>
    </w:lvl>
  </w:abstractNum>
  <w:abstractNum w:abstractNumId="64">
    <w:nsid w:val="3F07ACC3"/>
    <w:multiLevelType w:val="hybridMultilevel"/>
    <w:lvl w:ilvl="0">
      <w:lvlJc w:val="left"/>
      <w:lvlText w:val="•"/>
      <w:numFmt w:val="bullet"/>
      <w:start w:val="1"/>
    </w:lvl>
  </w:abstractNum>
  <w:abstractNum w:abstractNumId="65">
    <w:nsid w:val="6B47F63E"/>
    <w:multiLevelType w:val="hybridMultilevel"/>
    <w:lvl w:ilvl="0">
      <w:lvlJc w:val="left"/>
      <w:lvlText w:val="•"/>
      <w:numFmt w:val="bullet"/>
      <w:start w:val="1"/>
    </w:lvl>
  </w:abstractNum>
  <w:abstractNum w:abstractNumId="66">
    <w:nsid w:val="5CB44A05"/>
    <w:multiLevelType w:val="hybridMultilevel"/>
    <w:lvl w:ilvl="0">
      <w:lvlJc w:val="left"/>
      <w:lvlText w:val="•"/>
      <w:numFmt w:val="bullet"/>
      <w:start w:val="1"/>
    </w:lvl>
  </w:abstractNum>
  <w:abstractNum w:abstractNumId="67">
    <w:nsid w:val="16CF80F1"/>
    <w:multiLevelType w:val="hybridMultilevel"/>
    <w:lvl w:ilvl="0">
      <w:lvlJc w:val="left"/>
      <w:lvlText w:val="•"/>
      <w:numFmt w:val="bullet"/>
      <w:start w:val="1"/>
    </w:lvl>
  </w:abstractNum>
  <w:abstractNum w:abstractNumId="68">
    <w:nsid w:val="1C695DEC"/>
    <w:multiLevelType w:val="hybridMultilevel"/>
    <w:lvl w:ilvl="0">
      <w:lvlJc w:val="left"/>
      <w:lvlText w:val="•"/>
      <w:numFmt w:val="bullet"/>
      <w:start w:val="1"/>
    </w:lvl>
  </w:abstractNum>
  <w:abstractNum w:abstractNumId="69">
    <w:nsid w:val="3FCFAED9"/>
    <w:multiLevelType w:val="hybridMultilevel"/>
    <w:lvl w:ilvl="0">
      <w:lvlJc w:val="left"/>
      <w:lvlText w:val="•"/>
      <w:numFmt w:val="bullet"/>
      <w:start w:val="1"/>
    </w:lvl>
  </w:abstractNum>
  <w:abstractNum w:abstractNumId="70">
    <w:nsid w:val="F856867"/>
    <w:multiLevelType w:val="hybridMultilevel"/>
    <w:lvl w:ilvl="0">
      <w:lvlJc w:val="left"/>
      <w:lvlText w:val="•"/>
      <w:numFmt w:val="bullet"/>
      <w:start w:val="1"/>
    </w:lvl>
  </w:abstractNum>
  <w:abstractNum w:abstractNumId="71">
    <w:nsid w:val="11B1CC33"/>
    <w:multiLevelType w:val="hybridMultilevel"/>
    <w:lvl w:ilvl="0">
      <w:lvlJc w:val="left"/>
      <w:lvlText w:val="•"/>
      <w:numFmt w:val="bullet"/>
      <w:start w:val="1"/>
    </w:lvl>
  </w:abstractNum>
  <w:abstractNum w:abstractNumId="72">
    <w:nsid w:val="2E22FBB7"/>
    <w:multiLevelType w:val="hybridMultilevel"/>
    <w:lvl w:ilvl="0">
      <w:lvlJc w:val="left"/>
      <w:lvlText w:val="•"/>
      <w:numFmt w:val="bullet"/>
      <w:start w:val="1"/>
    </w:lvl>
  </w:abstractNum>
  <w:abstractNum w:abstractNumId="73">
    <w:nsid w:val="29934699"/>
    <w:multiLevelType w:val="hybridMultilevel"/>
    <w:lvl w:ilvl="0">
      <w:lvlJc w:val="left"/>
      <w:lvlText w:val="(%1)"/>
      <w:numFmt w:val="lowerRoman"/>
      <w:start w:val="3"/>
    </w:lvl>
  </w:abstractNum>
  <w:abstractNum w:abstractNumId="74">
    <w:nsid w:val="77485850"/>
    <w:multiLevelType w:val="hybridMultilevel"/>
    <w:lvl w:ilvl="0">
      <w:lvlJc w:val="left"/>
      <w:lvlText w:val="•"/>
      <w:numFmt w:val="bullet"/>
      <w:start w:val="1"/>
    </w:lvl>
  </w:abstractNum>
  <w:abstractNum w:abstractNumId="75">
    <w:nsid w:val="744939A3"/>
    <w:multiLevelType w:val="hybridMultilevel"/>
    <w:lvl w:ilvl="0">
      <w:lvlJc w:val="left"/>
      <w:lvlText w:val="•"/>
      <w:numFmt w:val="bullet"/>
      <w:start w:val="1"/>
    </w:lvl>
  </w:abstractNum>
  <w:abstractNum w:abstractNumId="76">
    <w:nsid w:val="4FA0D2E3"/>
    <w:multiLevelType w:val="hybridMultilevel"/>
    <w:lvl w:ilvl="0">
      <w:lvlJc w:val="left"/>
      <w:lvlText w:val="•"/>
      <w:numFmt w:val="bullet"/>
      <w:start w:val="1"/>
    </w:lvl>
  </w:abstractNum>
  <w:abstractNum w:abstractNumId="77">
    <w:nsid w:val="6B1D2C14"/>
    <w:multiLevelType w:val="hybridMultilevel"/>
    <w:lvl w:ilvl="0">
      <w:lvlJc w:val="left"/>
      <w:lvlText w:val="•"/>
      <w:numFmt w:val="bullet"/>
      <w:start w:val="1"/>
    </w:lvl>
  </w:abstractNum>
  <w:abstractNum w:abstractNumId="78">
    <w:nsid w:val="68B867D3"/>
    <w:multiLevelType w:val="hybridMultilevel"/>
    <w:lvl w:ilvl="0">
      <w:lvlJc w:val="left"/>
      <w:lvlText w:val="(%1)"/>
      <w:numFmt w:val="decimal"/>
      <w:start w:val="1"/>
    </w:lvl>
  </w:abstractNum>
  <w:abstractNum w:abstractNumId="79">
    <w:nsid w:val="3F7F5DD9"/>
    <w:multiLevelType w:val="hybridMultilevel"/>
    <w:lvl w:ilvl="0">
      <w:lvlJc w:val="left"/>
      <w:lvlText w:val="•"/>
      <w:numFmt w:val="bullet"/>
      <w:start w:val="1"/>
    </w:lvl>
  </w:abstractNum>
  <w:abstractNum w:abstractNumId="80">
    <w:nsid w:val="2AE05A34"/>
    <w:multiLevelType w:val="hybridMultilevel"/>
    <w:lvl w:ilvl="0">
      <w:lvlJc w:val="left"/>
      <w:lvlText w:val="•"/>
      <w:numFmt w:val="bullet"/>
      <w:start w:val="1"/>
    </w:lvl>
  </w:abstractNum>
  <w:abstractNum w:abstractNumId="81">
    <w:nsid w:val="32794FF7"/>
    <w:multiLevelType w:val="hybridMultilevel"/>
    <w:lvl w:ilvl="0">
      <w:lvlJc w:val="left"/>
      <w:lvlText w:val="•"/>
      <w:numFmt w:val="bullet"/>
      <w:start w:val="1"/>
    </w:lvl>
  </w:abstractNum>
  <w:abstractNum w:abstractNumId="82">
    <w:nsid w:val="5454945E"/>
    <w:multiLevelType w:val="hybridMultilevel"/>
    <w:lvl w:ilvl="0">
      <w:lvlJc w:val="left"/>
      <w:lvlText w:val="•"/>
      <w:numFmt w:val="bullet"/>
      <w:start w:val="1"/>
    </w:lvl>
  </w:abstractNum>
  <w:abstractNum w:abstractNumId="83">
    <w:nsid w:val="4DEFDFA0"/>
    <w:multiLevelType w:val="hybridMultilevel"/>
    <w:lvl w:ilvl="0">
      <w:lvlJc w:val="left"/>
      <w:lvlText w:val="•"/>
      <w:numFmt w:val="bullet"/>
      <w:start w:val="1"/>
    </w:lvl>
  </w:abstractNum>
  <w:abstractNum w:abstractNumId="84">
    <w:nsid w:val="2123D5F2"/>
    <w:multiLevelType w:val="hybridMultilevel"/>
    <w:lvl w:ilvl="0">
      <w:lvlJc w:val="left"/>
      <w:lvlText w:val="•"/>
      <w:numFmt w:val="bullet"/>
      <w:start w:val="1"/>
    </w:lvl>
  </w:abstractNum>
  <w:abstractNum w:abstractNumId="85">
    <w:nsid w:val="135B8110"/>
    <w:multiLevelType w:val="hybridMultilevel"/>
    <w:lvl w:ilvl="0">
      <w:lvlJc w:val="left"/>
      <w:lvlText w:val="(%1)"/>
      <w:numFmt w:val="decimal"/>
      <w:start w:val="1"/>
    </w:lvl>
  </w:abstractNum>
  <w:abstractNum w:abstractNumId="86">
    <w:nsid w:val="94927A8"/>
    <w:multiLevelType w:val="hybridMultilevel"/>
    <w:lvl w:ilvl="0">
      <w:lvlJc w:val="left"/>
      <w:lvlText w:val="•"/>
      <w:numFmt w:val="bullet"/>
      <w:start w:val="1"/>
    </w:lvl>
  </w:abstractNum>
  <w:abstractNum w:abstractNumId="87">
    <w:nsid w:val="DCDF8F6"/>
    <w:multiLevelType w:val="hybridMultilevel"/>
    <w:lvl w:ilvl="0">
      <w:lvlJc w:val="left"/>
      <w:lvlText w:val="•"/>
      <w:numFmt w:val="bullet"/>
      <w:start w:val="1"/>
    </w:lvl>
  </w:abstractNum>
  <w:abstractNum w:abstractNumId="88">
    <w:nsid w:val="52D7B105"/>
    <w:multiLevelType w:val="hybridMultilevel"/>
    <w:lvl w:ilvl="0">
      <w:lvlJc w:val="left"/>
      <w:lvlText w:val="•"/>
      <w:numFmt w:val="bullet"/>
      <w:start w:val="1"/>
    </w:lvl>
  </w:abstractNum>
  <w:abstractNum w:abstractNumId="89">
    <w:nsid w:val="2E8A6394"/>
    <w:multiLevelType w:val="hybridMultilevel"/>
    <w:lvl w:ilvl="0">
      <w:lvlJc w:val="left"/>
      <w:lvlText w:val="(%1)"/>
      <w:numFmt w:val="decimal"/>
      <w:start w:val="1"/>
    </w:lvl>
  </w:abstractNum>
  <w:abstractNum w:abstractNumId="90">
    <w:nsid w:val="24E60401"/>
    <w:multiLevelType w:val="hybridMultilevel"/>
    <w:lvl w:ilvl="0">
      <w:lvlJc w:val="left"/>
      <w:lvlText w:val="(%1)"/>
      <w:numFmt w:val="decimal"/>
      <w:start w:val="1"/>
    </w:lvl>
  </w:abstractNum>
  <w:abstractNum w:abstractNumId="91">
    <w:nsid w:val="2A6AD9BE"/>
    <w:multiLevelType w:val="hybridMultilevel"/>
    <w:lvl w:ilvl="0">
      <w:lvlJc w:val="left"/>
      <w:lvlText w:val="(%1)"/>
      <w:numFmt w:val="lowerRoman"/>
      <w:start w:val="1"/>
    </w:lvl>
  </w:abstractNum>
  <w:abstractNum w:abstractNumId="92">
    <w:nsid w:val="BAAC1B4"/>
    <w:multiLevelType w:val="hybridMultilevel"/>
    <w:lvl w:ilvl="0">
      <w:lvlJc w:val="left"/>
      <w:lvlText w:val="•"/>
      <w:numFmt w:val="bullet"/>
      <w:start w:val="1"/>
    </w:lvl>
  </w:abstractNum>
  <w:abstractNum w:abstractNumId="93">
    <w:nsid w:val="36B2ACBC"/>
    <w:multiLevelType w:val="hybridMultilevel"/>
    <w:lvl w:ilvl="0">
      <w:lvlJc w:val="left"/>
      <w:lvlText w:val="•"/>
      <w:numFmt w:val="bullet"/>
      <w:start w:val="1"/>
    </w:lvl>
  </w:abstractNum>
  <w:abstractNum w:abstractNumId="94">
    <w:nsid w:val="779D8544"/>
    <w:multiLevelType w:val="hybridMultilevel"/>
    <w:lvl w:ilvl="0">
      <w:lvlJc w:val="left"/>
      <w:lvlText w:val="•"/>
      <w:numFmt w:val="bullet"/>
      <w:start w:val="1"/>
    </w:lvl>
  </w:abstractNum>
  <w:abstractNum w:abstractNumId="95">
    <w:nsid w:val="4AB26E78"/>
    <w:multiLevelType w:val="hybridMultilevel"/>
    <w:lvl w:ilvl="0">
      <w:lvlJc w:val="left"/>
      <w:lvlText w:val="•"/>
      <w:numFmt w:val="bullet"/>
      <w:start w:val="1"/>
    </w:lvl>
  </w:abstractNum>
  <w:abstractNum w:abstractNumId="96">
    <w:nsid w:val="21FAA2FA"/>
    <w:multiLevelType w:val="hybridMultilevel"/>
    <w:lvl w:ilvl="0">
      <w:lvlJc w:val="left"/>
      <w:lvlText w:val="•"/>
      <w:numFmt w:val="bullet"/>
      <w:start w:val="1"/>
    </w:lvl>
  </w:abstractNum>
  <w:abstractNum w:abstractNumId="97">
    <w:nsid w:val="5451CF49"/>
    <w:multiLevelType w:val="hybridMultilevel"/>
    <w:lvl w:ilvl="0">
      <w:lvlJc w:val="left"/>
      <w:lvlText w:val="(%1)"/>
      <w:numFmt w:val="decimal"/>
      <w:start w:val="1"/>
    </w:lvl>
  </w:abstractNum>
  <w:abstractNum w:abstractNumId="98">
    <w:nsid w:val="6181EF69"/>
    <w:multiLevelType w:val="hybridMultilevel"/>
    <w:lvl w:ilvl="0">
      <w:lvlJc w:val="left"/>
      <w:lvlText w:val="(%1)"/>
      <w:numFmt w:val="decimal"/>
      <w:start w:val="1"/>
    </w:lvl>
  </w:abstractNum>
  <w:abstractNum w:abstractNumId="99">
    <w:nsid w:val="3E6400E6"/>
    <w:multiLevelType w:val="hybridMultilevel"/>
    <w:lvl w:ilvl="0">
      <w:lvlJc w:val="left"/>
      <w:lvlText w:val="•"/>
      <w:numFmt w:val="bullet"/>
      <w:start w:val="1"/>
    </w:lvl>
  </w:abstractNum>
  <w:abstractNum w:abstractNumId="100">
    <w:nsid w:val="14217E23"/>
    <w:multiLevelType w:val="hybridMultilevel"/>
    <w:lvl w:ilvl="0">
      <w:lvlJc w:val="left"/>
      <w:lvlText w:val="(%1)"/>
      <w:numFmt w:val="decimal"/>
      <w:start w:val="1"/>
    </w:lvl>
  </w:abstractNum>
  <w:abstractNum w:abstractNumId="101">
    <w:nsid w:val="710757D0"/>
    <w:multiLevelType w:val="hybridMultilevel"/>
    <w:lvl w:ilvl="0">
      <w:lvlJc w:val="left"/>
      <w:lvlText w:val="(%1)"/>
      <w:numFmt w:val="decimal"/>
      <w:start w:val="5"/>
    </w:lvl>
  </w:abstractNum>
  <w:abstractNum w:abstractNumId="102">
    <w:nsid w:val="5015CD1A"/>
    <w:multiLevelType w:val="hybridMultilevel"/>
    <w:lvl w:ilvl="0">
      <w:lvlJc w:val="left"/>
      <w:lvlText w:val="(%1)"/>
      <w:numFmt w:val="lowerRoman"/>
      <w:start w:val="1"/>
    </w:lvl>
  </w:abstractNum>
  <w:abstractNum w:abstractNumId="103">
    <w:nsid w:val="424479DA"/>
    <w:multiLevelType w:val="hybridMultilevel"/>
    <w:lvl w:ilvl="0">
      <w:lvlJc w:val="left"/>
      <w:lvlText w:val="•"/>
      <w:numFmt w:val="bullet"/>
      <w:start w:val="1"/>
    </w:lvl>
  </w:abstractNum>
  <w:abstractNum w:abstractNumId="104">
    <w:nsid w:val="1A9A9E69"/>
    <w:multiLevelType w:val="hybridMultilevel"/>
    <w:lvl w:ilvl="0">
      <w:lvlJc w:val="left"/>
      <w:lvlText w:val="•"/>
      <w:numFmt w:val="bullet"/>
      <w:start w:val="1"/>
    </w:lvl>
  </w:abstractNum>
  <w:abstractNum w:abstractNumId="105">
    <w:nsid w:val="475E256A"/>
    <w:multiLevelType w:val="hybridMultilevel"/>
    <w:lvl w:ilvl="0">
      <w:lvlJc w:val="left"/>
      <w:lvlText w:val="•"/>
      <w:numFmt w:val="bullet"/>
      <w:start w:val="1"/>
    </w:lvl>
  </w:abstractNum>
  <w:abstractNum w:abstractNumId="106">
    <w:nsid w:val="368DB37E"/>
    <w:multiLevelType w:val="hybridMultilevel"/>
    <w:lvl w:ilvl="0">
      <w:lvlJc w:val="left"/>
      <w:lvlText w:val="•"/>
      <w:numFmt w:val="bullet"/>
      <w:start w:val="1"/>
    </w:lvl>
  </w:abstractNum>
  <w:abstractNum w:abstractNumId="107">
    <w:nsid w:val="6A3B714C"/>
    <w:multiLevelType w:val="hybridMultilevel"/>
    <w:lvl w:ilvl="0">
      <w:lvlJc w:val="left"/>
      <w:lvlText w:val="•"/>
      <w:numFmt w:val="bullet"/>
      <w:start w:val="1"/>
    </w:lvl>
  </w:abstractNum>
  <w:abstractNum w:abstractNumId="108">
    <w:nsid w:val="327B517E"/>
    <w:multiLevelType w:val="hybridMultilevel"/>
    <w:lvl w:ilvl="0">
      <w:lvlJc w:val="left"/>
      <w:lvlText w:val="•"/>
      <w:numFmt w:val="bullet"/>
      <w:start w:val="1"/>
    </w:lvl>
  </w:abstractNum>
  <w:abstractNum w:abstractNumId="109">
    <w:nsid w:val="1F461B51"/>
    <w:multiLevelType w:val="hybridMultilevel"/>
    <w:lvl w:ilvl="0">
      <w:lvlJc w:val="left"/>
      <w:lvlText w:val="•"/>
      <w:numFmt w:val="bullet"/>
      <w:start w:val="1"/>
    </w:lvl>
  </w:abstractNum>
  <w:abstractNum w:abstractNumId="110">
    <w:nsid w:val="29BACF25"/>
    <w:multiLevelType w:val="hybridMultilevel"/>
    <w:lvl w:ilvl="0">
      <w:lvlJc w:val="left"/>
      <w:lvlText w:val="•"/>
      <w:numFmt w:val="bullet"/>
      <w:start w:val="1"/>
    </w:lvl>
  </w:abstractNum>
  <w:abstractNum w:abstractNumId="111">
    <w:nsid w:val="5D5BABB3"/>
    <w:multiLevelType w:val="hybridMultilevel"/>
    <w:lvl w:ilvl="0">
      <w:lvlJc w:val="left"/>
      <w:lvlText w:val="•"/>
      <w:numFmt w:val="bullet"/>
      <w:start w:val="1"/>
    </w:lvl>
  </w:abstractNum>
  <w:abstractNum w:abstractNumId="112">
    <w:nsid w:val="51BF6B48"/>
    <w:multiLevelType w:val="hybridMultilevel"/>
    <w:lvl w:ilvl="0">
      <w:lvlJc w:val="left"/>
      <w:lvlText w:val="•"/>
      <w:numFmt w:val="bullet"/>
      <w:start w:val="1"/>
    </w:lvl>
  </w:abstractNum>
  <w:abstractNum w:abstractNumId="113">
    <w:nsid w:val="7E0F6384"/>
    <w:multiLevelType w:val="hybridMultilevel"/>
    <w:lvl w:ilvl="0">
      <w:lvlJc w:val="left"/>
      <w:lvlText w:val="(%1)"/>
      <w:numFmt w:val="lowerRoman"/>
      <w:start w:val="1"/>
    </w:lvl>
  </w:abstractNum>
  <w:abstractNum w:abstractNumId="114">
    <w:nsid w:val="2B4B8B53"/>
    <w:multiLevelType w:val="hybridMultilevel"/>
    <w:lvl w:ilvl="0">
      <w:lvlJc w:val="left"/>
      <w:lvlText w:val="•"/>
      <w:numFmt w:val="bullet"/>
      <w:start w:val="1"/>
    </w:lvl>
  </w:abstractNum>
  <w:abstractNum w:abstractNumId="115">
    <w:nsid w:val="72E3413A"/>
    <w:multiLevelType w:val="hybridMultilevel"/>
    <w:lvl w:ilvl="0">
      <w:lvlJc w:val="left"/>
      <w:lvlText w:val="•"/>
      <w:numFmt w:val="bullet"/>
      <w:start w:val="1"/>
    </w:lvl>
  </w:abstractNum>
  <w:abstractNum w:abstractNumId="116">
    <w:nsid w:val="116AE494"/>
    <w:multiLevelType w:val="hybridMultilevel"/>
    <w:lvl w:ilvl="0">
      <w:lvlJc w:val="left"/>
      <w:lvlText w:val="(%1)"/>
      <w:numFmt w:val="lowerRoman"/>
      <w:start w:val="1"/>
    </w:lvl>
  </w:abstractNum>
  <w:abstractNum w:abstractNumId="117">
    <w:nsid w:val="3494B2FB"/>
    <w:multiLevelType w:val="hybridMultilevel"/>
    <w:lvl w:ilvl="0">
      <w:lvlJc w:val="left"/>
      <w:lvlText w:val="(%1)"/>
      <w:numFmt w:val="lowerRoman"/>
      <w:start w:val="1"/>
    </w:lvl>
  </w:abstractNum>
  <w:abstractNum w:abstractNumId="118">
    <w:nsid w:val="B13A31"/>
    <w:multiLevelType w:val="hybridMultilevel"/>
    <w:lvl w:ilvl="0">
      <w:lvlJc w:val="left"/>
      <w:lvlText w:val="(%1)"/>
      <w:numFmt w:val="lowerRoman"/>
      <w:start w:val="2"/>
    </w:lvl>
  </w:abstractNum>
  <w:abstractNum w:abstractNumId="119">
    <w:nsid w:val="64429599"/>
    <w:multiLevelType w:val="hybridMultilevel"/>
    <w:lvl w:ilvl="0">
      <w:lvlJc w:val="left"/>
      <w:lvlText w:val="•"/>
      <w:numFmt w:val="bullet"/>
      <w:start w:val="1"/>
    </w:lvl>
  </w:abstractNum>
  <w:abstractNum w:abstractNumId="120">
    <w:nsid w:val="631F1690"/>
    <w:multiLevelType w:val="hybridMultilevel"/>
    <w:lvl w:ilvl="0">
      <w:lvlJc w:val="left"/>
      <w:lvlText w:val="(%1)"/>
      <w:numFmt w:val="lowerRoman"/>
      <w:start w:val="1"/>
    </w:lvl>
  </w:abstractNum>
  <w:abstractNum w:abstractNumId="121">
    <w:nsid w:val="25973E32"/>
    <w:multiLevelType w:val="hybridMultilevel"/>
    <w:lvl w:ilvl="0">
      <w:lvlJc w:val="left"/>
      <w:lvlText w:val="(%1)"/>
      <w:numFmt w:val="lowerRoman"/>
      <w:start w:val="1"/>
    </w:lvl>
  </w:abstractNum>
  <w:abstractNum w:abstractNumId="122">
    <w:nsid w:val="EAD6F57"/>
    <w:multiLevelType w:val="hybridMultilevel"/>
    <w:lvl w:ilvl="0">
      <w:lvlJc w:val="left"/>
      <w:lvlText w:val="(%1)"/>
      <w:numFmt w:val="lowerRoman"/>
      <w:start w:val="2"/>
    </w:lvl>
  </w:abstractNum>
  <w:abstractNum w:abstractNumId="123">
    <w:nsid w:val="6EC9D844"/>
    <w:multiLevelType w:val="hybridMultilevel"/>
    <w:lvl w:ilvl="0">
      <w:lvlJc w:val="left"/>
      <w:lvlText w:val="(%1)"/>
      <w:numFmt w:val="decimal"/>
      <w:start w:val="1"/>
    </w:lvl>
  </w:abstractNum>
  <w:abstractNum w:abstractNumId="124">
    <w:nsid w:val="5C49EAEE"/>
    <w:multiLevelType w:val="hybridMultilevel"/>
    <w:lvl w:ilvl="0">
      <w:lvlJc w:val="left"/>
      <w:lvlText w:val="(%1)"/>
      <w:numFmt w:val="lowerRoman"/>
      <w:start w:val="1"/>
    </w:lvl>
  </w:abstractNum>
  <w:abstractNum w:abstractNumId="125">
    <w:nsid w:val="64AF49B"/>
    <w:multiLevelType w:val="hybridMultilevel"/>
    <w:lvl w:ilvl="0">
      <w:lvlJc w:val="left"/>
      <w:lvlText w:val="%1."/>
      <w:numFmt w:val="decimal"/>
      <w:start w:val="1"/>
    </w:lvl>
  </w:abstractNum>
  <w:abstractNum w:abstractNumId="126">
    <w:nsid w:val="397C46BC"/>
    <w:multiLevelType w:val="hybridMultilevel"/>
    <w:lvl w:ilvl="0">
      <w:lvlJc w:val="left"/>
      <w:lvlText w:val="%1."/>
      <w:numFmt w:val="decimal"/>
      <w:start w:val="2"/>
    </w:lvl>
  </w:abstractNum>
  <w:abstractNum w:abstractNumId="127">
    <w:nsid w:val="7E448DE9"/>
    <w:multiLevelType w:val="hybridMultilevel"/>
    <w:lvl w:ilvl="0">
      <w:lvlJc w:val="left"/>
      <w:lvlText w:val="%1."/>
      <w:numFmt w:val="decimal"/>
      <w:start w:val="3"/>
    </w:lvl>
  </w:abstractNum>
  <w:abstractNum w:abstractNumId="128">
    <w:nsid w:val="5A9CC3E5"/>
    <w:multiLevelType w:val="hybridMultilevel"/>
    <w:lvl w:ilvl="0">
      <w:lvlJc w:val="left"/>
      <w:lvlText w:val="%1."/>
      <w:numFmt w:val="decimal"/>
      <w:start w:val="4"/>
    </w:lvl>
  </w:abstractNum>
  <w:abstractNum w:abstractNumId="129">
    <w:nsid w:val="1AFE3625"/>
    <w:multiLevelType w:val="hybridMultilevel"/>
    <w:lvl w:ilvl="0">
      <w:lvlJc w:val="left"/>
      <w:lvlText w:val="%1."/>
      <w:numFmt w:val="decimal"/>
      <w:start w:val="7"/>
    </w:lvl>
  </w:abstractNum>
  <w:abstractNum w:abstractNumId="130">
    <w:nsid w:val="3CA88ECF"/>
    <w:multiLevelType w:val="hybridMultilevel"/>
    <w:lvl w:ilvl="0">
      <w:lvlJc w:val="left"/>
      <w:lvlText w:val="%1)"/>
      <w:numFmt w:val="decimal"/>
      <w:start w:val="10"/>
    </w:lvl>
  </w:abstractNum>
  <w:abstractNum w:abstractNumId="131">
    <w:nsid w:val="6EBE4208"/>
    <w:multiLevelType w:val="hybridMultilevel"/>
    <w:lvl w:ilvl="0">
      <w:lvlJc w:val="left"/>
      <w:lvlText w:val="%1."/>
      <w:numFmt w:val="decimal"/>
      <w:start w:val="8"/>
    </w:lvl>
  </w:abstractNum>
  <w:abstractNum w:abstractNumId="132">
    <w:nsid w:val="C058DF5"/>
    <w:multiLevelType w:val="hybridMultilevel"/>
    <w:lvl w:ilvl="0">
      <w:lvlJc w:val="left"/>
      <w:lvlText w:val="%1."/>
      <w:numFmt w:val="decimal"/>
      <w:start w:val="9"/>
    </w:lvl>
  </w:abstractNum>
  <w:abstractNum w:abstractNumId="133">
    <w:nsid w:val="CBE5BE9"/>
    <w:multiLevelType w:val="hybridMultilevel"/>
    <w:lvl w:ilvl="0">
      <w:lvlJc w:val="left"/>
      <w:lvlText w:val="%1."/>
      <w:numFmt w:val="decimal"/>
      <w:start w:val="10"/>
    </w:lvl>
  </w:abstractNum>
  <w:abstractNum w:abstractNumId="134">
    <w:nsid w:val="3102BBE2"/>
    <w:multiLevelType w:val="hybridMultilevel"/>
    <w:lvl w:ilvl="0">
      <w:lvlJc w:val="left"/>
      <w:lvlText w:val="(%1)"/>
      <w:numFmt w:val="lowerRoman"/>
      <w:start w:val="2"/>
    </w:lvl>
  </w:abstractNum>
  <w:abstractNum w:abstractNumId="135">
    <w:nsid w:val="26A02C5E"/>
    <w:multiLevelType w:val="hybridMultilevel"/>
    <w:lvl w:ilvl="0">
      <w:lvlJc w:val="left"/>
      <w:lvlText w:val="%1."/>
      <w:numFmt w:val="decimal"/>
      <w:start w:val="11"/>
    </w:lvl>
  </w:abstractNum>
  <w:abstractNum w:abstractNumId="136">
    <w:nsid w:val="541C8153"/>
    <w:multiLevelType w:val="hybridMultilevel"/>
    <w:lvl w:ilvl="0">
      <w:lvlJc w:val="left"/>
      <w:lvlText w:val="(%1)"/>
      <w:numFmt w:val="lowerRoman"/>
      <w:start w:val="2"/>
    </w:lvl>
  </w:abstractNum>
  <w:abstractNum w:abstractNumId="137">
    <w:nsid w:val="67906F60"/>
    <w:multiLevelType w:val="hybridMultilevel"/>
    <w:lvl w:ilvl="0">
      <w:lvlJc w:val="left"/>
      <w:lvlText w:val="%1."/>
      <w:numFmt w:val="decimal"/>
      <w:start w:val="12"/>
    </w:lvl>
  </w:abstractNum>
  <w:abstractNum w:abstractNumId="138">
    <w:nsid w:val="10DB9DAA"/>
    <w:multiLevelType w:val="hybridMultilevel"/>
    <w:lvl w:ilvl="0">
      <w:lvlJc w:val="left"/>
      <w:lvlText w:val="%1."/>
      <w:numFmt w:val="decimal"/>
      <w:start w:val="13"/>
    </w:lvl>
  </w:abstractNum>
  <w:abstractNum w:abstractNumId="139">
    <w:nsid w:val="697D2D2"/>
    <w:multiLevelType w:val="hybridMultilevel"/>
    <w:lvl w:ilvl="0">
      <w:lvlJc w:val="left"/>
      <w:lvlText w:val="%1."/>
      <w:numFmt w:val="decimal"/>
      <w:start w:val="14"/>
    </w:lvl>
  </w:abstractNum>
  <w:abstractNum w:abstractNumId="140">
    <w:nsid w:val="6D68AB2"/>
    <w:multiLevelType w:val="hybridMultilevel"/>
    <w:lvl w:ilvl="0">
      <w:lvlJc w:val="left"/>
      <w:lvlText w:val="(%1)"/>
      <w:numFmt w:val="decimal"/>
      <w:start w:val="1"/>
    </w:lvl>
  </w:abstractNum>
  <w:abstractNum w:abstractNumId="141">
    <w:nsid w:val="3A966CD0"/>
    <w:multiLevelType w:val="hybridMultilevel"/>
    <w:lvl w:ilvl="0">
      <w:lvlJc w:val="left"/>
      <w:lvlText w:val="%1."/>
      <w:numFmt w:val="decimal"/>
      <w:start w:val="15"/>
    </w:lvl>
  </w:abstractNum>
  <w:abstractNum w:abstractNumId="142">
    <w:nsid w:val="63F37E85"/>
    <w:multiLevelType w:val="hybridMultilevel"/>
    <w:lvl w:ilvl="0">
      <w:lvlJc w:val="left"/>
      <w:lvlText w:val="%1."/>
      <w:numFmt w:val="decimal"/>
      <w:start w:val="16"/>
    </w:lvl>
  </w:abstractNum>
  <w:abstractNum w:abstractNumId="143">
    <w:nsid w:val="5895F5FA"/>
    <w:multiLevelType w:val="hybridMultilevel"/>
    <w:lvl w:ilvl="0">
      <w:lvlJc w:val="left"/>
      <w:lvlText w:val="%1."/>
      <w:numFmt w:val="decimal"/>
      <w:start w:val="17"/>
    </w:lvl>
  </w:abstractNum>
  <w:abstractNum w:abstractNumId="144">
    <w:nsid w:val="38A5D054"/>
    <w:multiLevelType w:val="hybridMultilevel"/>
    <w:lvl w:ilvl="0">
      <w:lvlJc w:val="left"/>
      <w:lvlText w:val="%1."/>
      <w:numFmt w:val="decimal"/>
      <w:start w:val="18"/>
    </w:lvl>
  </w:abstractNum>
  <w:abstractNum w:abstractNumId="145">
    <w:nsid w:val="F3F09D8"/>
    <w:multiLevelType w:val="hybridMultilevel"/>
    <w:lvl w:ilvl="0">
      <w:lvlJc w:val="left"/>
      <w:lvlText w:val="%1."/>
      <w:numFmt w:val="decimal"/>
      <w:start w:val="1"/>
    </w:lvl>
  </w:abstractNum>
  <w:abstractNum w:abstractNumId="146">
    <w:nsid w:val="4B793735"/>
    <w:multiLevelType w:val="hybridMultilevel"/>
    <w:lvl w:ilvl="0">
      <w:lvlJc w:val="left"/>
      <w:lvlText w:val="%1."/>
      <w:numFmt w:val="decimal"/>
      <w:start w:val="2"/>
    </w:lvl>
  </w:abstractNum>
  <w:abstractNum w:abstractNumId="147">
    <w:nsid w:val="4A10B4E8"/>
    <w:multiLevelType w:val="hybridMultilevel"/>
    <w:lvl w:ilvl="0">
      <w:lvlJc w:val="left"/>
      <w:lvlText w:val="%1."/>
      <w:numFmt w:val="decimal"/>
      <w:start w:val="3"/>
    </w:lvl>
  </w:abstractNum>
  <w:abstractNum w:abstractNumId="148">
    <w:nsid w:val="43D3BCD4"/>
    <w:multiLevelType w:val="hybridMultilevel"/>
    <w:lvl w:ilvl="0">
      <w:lvlJc w:val="left"/>
      <w:lvlText w:val="%1."/>
      <w:numFmt w:val="decimal"/>
      <w:start w:val="4"/>
    </w:lvl>
  </w:abstractNum>
  <w:abstractNum w:abstractNumId="149">
    <w:nsid w:val="4C2A7166"/>
    <w:multiLevelType w:val="hybridMultilevel"/>
    <w:lvl w:ilvl="0">
      <w:lvlJc w:val="left"/>
      <w:lvlText w:val="%1."/>
      <w:numFmt w:val="decimal"/>
      <w:start w:val="6"/>
    </w:lvl>
  </w:abstractNum>
  <w:abstractNum w:abstractNumId="150">
    <w:nsid w:val="2E534A82"/>
    <w:multiLevelType w:val="hybridMultilevel"/>
    <w:lvl w:ilvl="0">
      <w:lvlJc w:val="left"/>
      <w:lvlText w:val="%1."/>
      <w:numFmt w:val="decimal"/>
      <w:start w:val="7"/>
    </w:lvl>
  </w:abstractNum>
  <w:abstractNum w:abstractNumId="151">
    <w:nsid w:val="26F2D364"/>
    <w:multiLevelType w:val="hybridMultilevel"/>
    <w:lvl w:ilvl="0">
      <w:lvlJc w:val="left"/>
      <w:lvlText w:val="%1."/>
      <w:numFmt w:val="decimal"/>
      <w:start w:val="8"/>
    </w:lvl>
  </w:abstractNum>
  <w:abstractNum w:abstractNumId="152">
    <w:nsid w:val="71C1AF98"/>
    <w:multiLevelType w:val="hybridMultilevel"/>
    <w:lvl w:ilvl="0">
      <w:lvlJc w:val="left"/>
      <w:lvlText w:val="(%1)"/>
      <w:numFmt w:val="lowerRoman"/>
      <w:start w:val="2"/>
    </w:lvl>
  </w:abstractNum>
  <w:abstractNum w:abstractNumId="153">
    <w:nsid w:val="3D00B9D9"/>
    <w:multiLevelType w:val="hybridMultilevel"/>
    <w:lvl w:ilvl="0">
      <w:lvlJc w:val="left"/>
      <w:lvlText w:val="(%1)"/>
      <w:numFmt w:val="lowerRoman"/>
      <w:start w:val="2"/>
    </w:lvl>
  </w:abstractNum>
  <w:abstractNum w:abstractNumId="154">
    <w:nsid w:val="15BCABA8"/>
    <w:multiLevelType w:val="hybridMultilevel"/>
    <w:lvl w:ilvl="0">
      <w:lvlJc w:val="left"/>
      <w:lvlText w:val="%1."/>
      <w:numFmt w:val="decimal"/>
      <w:start w:val="9"/>
    </w:lvl>
  </w:abstractNum>
  <w:abstractNum w:abstractNumId="155">
    <w:nsid w:val="4E0B9A87"/>
    <w:multiLevelType w:val="hybridMultilevel"/>
    <w:lvl w:ilvl="0">
      <w:lvlJc w:val="left"/>
      <w:lvlText w:val="%1."/>
      <w:numFmt w:val="decimal"/>
      <w:start w:val="10"/>
    </w:lvl>
  </w:abstractNum>
  <w:abstractNum w:abstractNumId="156">
    <w:nsid w:val="434BAE75"/>
    <w:multiLevelType w:val="hybridMultilevel"/>
    <w:lvl w:ilvl="0">
      <w:lvlJc w:val="left"/>
      <w:lvlText w:val="%1."/>
      <w:numFmt w:val="decimal"/>
      <w:start w:val="11"/>
    </w:lvl>
  </w:abstractNum>
  <w:abstractNum w:abstractNumId="157">
    <w:nsid w:val="4F38F265"/>
    <w:multiLevelType w:val="hybridMultilevel"/>
    <w:lvl w:ilvl="0">
      <w:lvlJc w:val="left"/>
      <w:lvlText w:val="%1."/>
      <w:numFmt w:val="decimal"/>
      <w:start w:val="12"/>
    </w:lvl>
  </w:abstractNum>
  <w:abstractNum w:abstractNumId="158">
    <w:nsid w:val="4C502870"/>
    <w:multiLevelType w:val="hybridMultilevel"/>
    <w:lvl w:ilvl="0">
      <w:lvlJc w:val="left"/>
      <w:lvlText w:val="%1."/>
      <w:numFmt w:val="decimal"/>
      <w:start w:val="13"/>
    </w:lvl>
  </w:abstractNum>
  <w:abstractNum w:abstractNumId="159">
    <w:nsid w:val="1DE8725A"/>
    <w:multiLevelType w:val="hybridMultilevel"/>
    <w:lvl w:ilvl="0">
      <w:lvlJc w:val="left"/>
      <w:lvlText w:val="%1."/>
      <w:numFmt w:val="decimal"/>
      <w:start w:val="14"/>
    </w:lvl>
  </w:abstractNum>
  <w:abstractNum w:abstractNumId="160">
    <w:nsid w:val="6A37288A"/>
    <w:multiLevelType w:val="hybridMultilevel"/>
    <w:lvl w:ilvl="0">
      <w:lvlJc w:val="left"/>
      <w:lvlText w:val="(%1)"/>
      <w:numFmt w:val="lowerLetter"/>
      <w:start w:val="1"/>
    </w:lvl>
  </w:abstractNum>
  <w:abstractNum w:abstractNumId="161">
    <w:nsid w:val="8F8B73F"/>
    <w:multiLevelType w:val="hybridMultilevel"/>
    <w:lvl w:ilvl="0">
      <w:lvlJc w:val="left"/>
      <w:lvlText w:val="(%1)"/>
      <w:numFmt w:val="lowerLetter"/>
      <w:start w:val="14"/>
    </w:lvl>
  </w:abstractNum>
  <w:abstractNum w:abstractNumId="162">
    <w:nsid w:val="CA6B462"/>
    <w:multiLevelType w:val="hybridMultilevel"/>
    <w:lvl w:ilvl="0">
      <w:lvlJc w:val="left"/>
      <w:lvlText w:val="(%1)"/>
      <w:numFmt w:val="lowerLetter"/>
      <w:start w:val="1"/>
    </w:lvl>
    <w:lvl w:ilvl="1">
      <w:lvlJc w:val="left"/>
      <w:lvlText w:val="(%2)"/>
      <w:numFmt w:val="decimal"/>
      <w:start w:val="1"/>
    </w:lvl>
  </w:abstractNum>
  <w:abstractNum w:abstractNumId="163">
    <w:nsid w:val="763CB680"/>
    <w:multiLevelType w:val="hybridMultilevel"/>
    <w:lvl w:ilvl="0">
      <w:lvlJc w:val="left"/>
      <w:lvlText w:val="%1"/>
      <w:numFmt w:val="decimal"/>
      <w:start w:val="107"/>
    </w:lvl>
  </w:abstractNum>
  <w:abstractNum w:abstractNumId="164">
    <w:nsid w:val="15B71329"/>
    <w:multiLevelType w:val="hybridMultilevel"/>
    <w:lvl w:ilvl="0">
      <w:lvlJc w:val="left"/>
      <w:lvlText w:val="*"/>
      <w:numFmt w:val="bullet"/>
      <w:start w:val="1"/>
    </w:lvl>
  </w:abstractNum>
  <w:abstractNum w:abstractNumId="165">
    <w:nsid w:val="3DA97044"/>
    <w:multiLevelType w:val="hybridMultilevel"/>
    <w:lvl w:ilvl="0">
      <w:lvlJc w:val="left"/>
      <w:lvlText w:val="[●]"/>
      <w:numFmt w:val="bullet"/>
      <w:start w:val="1"/>
    </w:lvl>
  </w:abstractNum>
  <w:abstractNum w:abstractNumId="166">
    <w:nsid w:val="1CDCE2DE"/>
    <w:multiLevelType w:val="hybridMultilevel"/>
    <w:lvl w:ilvl="0">
      <w:lvlJc w:val="left"/>
      <w:lvlText w:val="%1."/>
      <w:numFmt w:val="decimal"/>
      <w:start w:val="1"/>
    </w:lvl>
  </w:abstractNum>
  <w:abstractNum w:abstractNumId="167">
    <w:nsid w:val="69D3947C"/>
    <w:multiLevelType w:val="hybridMultilevel"/>
    <w:lvl w:ilvl="0">
      <w:lvlJc w:val="left"/>
      <w:lvlText w:val="%1."/>
      <w:numFmt w:val="decimal"/>
      <w:start w:val="2"/>
    </w:lvl>
    <w:lvl w:ilvl="1">
      <w:lvlJc w:val="left"/>
      <w:lvlText w:val="(%2)"/>
      <w:numFmt w:val="lowerLetter"/>
      <w:start w:val="1"/>
    </w:lvl>
  </w:abstractNum>
  <w:abstractNum w:abstractNumId="168">
    <w:nsid w:val="2539DFA5"/>
    <w:multiLevelType w:val="hybridMultilevel"/>
    <w:lvl w:ilvl="0">
      <w:lvlJc w:val="left"/>
      <w:lvlText w:val="(%1)"/>
      <w:numFmt w:val="lowerLetter"/>
      <w:start w:val="2"/>
    </w:lvl>
  </w:abstractNum>
  <w:abstractNum w:abstractNumId="169">
    <w:nsid w:val="2DB88089"/>
    <w:multiLevelType w:val="hybridMultilevel"/>
    <w:lvl w:ilvl="0">
      <w:lvlJc w:val="left"/>
      <w:lvlText w:val="%1"/>
      <w:numFmt w:val="decimal"/>
      <w:start w:val="1"/>
    </w:lvl>
    <w:lvl w:ilvl="1">
      <w:lvlJc w:val="left"/>
      <w:lvlText w:val="(%2)"/>
      <w:numFmt w:val="lowerLetter"/>
      <w:start w:val="3"/>
    </w:lvl>
  </w:abstractNum>
  <w:abstractNum w:abstractNumId="170">
    <w:nsid w:val="706B674E"/>
    <w:multiLevelType w:val="hybridMultilevel"/>
    <w:lvl w:ilvl="0">
      <w:lvlJc w:val="left"/>
      <w:lvlText w:val="%1."/>
      <w:numFmt w:val="decimal"/>
      <w:start w:val="3"/>
    </w:lvl>
    <w:lvl w:ilvl="1">
      <w:lvlJc w:val="left"/>
      <w:lvlText w:val="(%2)"/>
      <w:numFmt w:val="lowerLetter"/>
      <w:start w:val="1"/>
    </w:lvl>
  </w:abstractNum>
  <w:abstractNum w:abstractNumId="171">
    <w:nsid w:val="2C106A57"/>
    <w:multiLevelType w:val="hybridMultilevel"/>
    <w:lvl w:ilvl="0">
      <w:lvlJc w:val="left"/>
      <w:lvlText w:val="(%1)"/>
      <w:numFmt w:val="lowerLetter"/>
      <w:start w:val="3"/>
    </w:lvl>
  </w:abstractNum>
  <w:abstractNum w:abstractNumId="172">
    <w:nsid w:val="684EED59"/>
    <w:multiLevelType w:val="hybridMultilevel"/>
    <w:lvl w:ilvl="0">
      <w:lvlJc w:val="left"/>
      <w:lvlText w:val="(%1)"/>
      <w:numFmt w:val="lowerRoman"/>
      <w:start w:val="2"/>
    </w:lvl>
  </w:abstractNum>
  <w:abstractNum w:abstractNumId="173">
    <w:nsid w:val="545EE5D3"/>
    <w:multiLevelType w:val="hybridMultilevel"/>
    <w:lvl w:ilvl="0">
      <w:lvlJc w:val="left"/>
      <w:lvlText w:val="(%1)"/>
      <w:numFmt w:val="lowerLetter"/>
      <w:start w:val="6"/>
    </w:lvl>
  </w:abstractNum>
  <w:abstractNum w:abstractNumId="174">
    <w:nsid w:val="4A66051"/>
    <w:multiLevelType w:val="hybridMultilevel"/>
    <w:lvl w:ilvl="0">
      <w:lvlJc w:val="left"/>
      <w:lvlText w:val="(%1)"/>
      <w:numFmt w:val="lowerLetter"/>
      <w:start w:val="9"/>
    </w:lvl>
  </w:abstractNum>
  <w:abstractNum w:abstractNumId="175">
    <w:nsid w:val="20F4BDAD"/>
    <w:multiLevelType w:val="hybridMultilevel"/>
    <w:lvl w:ilvl="0">
      <w:lvlJc w:val="left"/>
      <w:lvlText w:val="%1"/>
      <w:numFmt w:val="lowerLetter"/>
      <w:start w:val="1"/>
    </w:lvl>
    <w:lvl w:ilvl="1">
      <w:lvlJc w:val="left"/>
      <w:lvlText w:val="(%2)"/>
      <w:numFmt w:val="lowerLetter"/>
      <w:start w:val="12"/>
    </w:lvl>
  </w:abstractNum>
  <w:abstractNum w:abstractNumId="176">
    <w:nsid w:val="639DEFAC"/>
    <w:multiLevelType w:val="hybridMultilevel"/>
    <w:lvl w:ilvl="0">
      <w:lvlJc w:val="left"/>
      <w:lvlText w:val="(%1)"/>
      <w:numFmt w:val="lowerLetter"/>
      <w:start w:val="9"/>
    </w:lvl>
    <w:lvl w:ilvl="1">
      <w:lvlJc w:val="left"/>
      <w:lvlText w:val="%2"/>
      <w:numFmt w:val="lowerLetter"/>
      <w:start w:val="1"/>
    </w:lvl>
  </w:abstractNum>
  <w:abstractNum w:abstractNumId="177">
    <w:nsid w:val="501F9786"/>
    <w:multiLevelType w:val="hybridMultilevel"/>
    <w:lvl w:ilvl="0">
      <w:lvlJc w:val="left"/>
      <w:lvlText w:val="(%1)"/>
      <w:numFmt w:val="lowerLetter"/>
      <w:start w:val="19"/>
    </w:lvl>
  </w:abstractNum>
  <w:abstractNum w:abstractNumId="178">
    <w:nsid w:val="6B057295"/>
    <w:multiLevelType w:val="hybridMultilevel"/>
    <w:lvl w:ilvl="0">
      <w:lvlJc w:val="left"/>
      <w:lvlText w:val="%1"/>
      <w:numFmt w:val="lowerLetter"/>
      <w:start w:val="1"/>
    </w:lvl>
    <w:lvl w:ilvl="1">
      <w:lvlJc w:val="left"/>
      <w:lvlText w:val="(%2)"/>
      <w:numFmt w:val="lowerLetter"/>
      <w:start w:val="24"/>
    </w:lvl>
  </w:abstractNum>
  <w:abstractNum w:abstractNumId="179">
    <w:nsid w:val="2771AC80"/>
    <w:multiLevelType w:val="hybridMultilevel"/>
    <w:lvl w:ilvl="0">
      <w:lvlJc w:val="left"/>
      <w:lvlText w:val="(%1)"/>
      <w:numFmt w:val="lowerLetter"/>
      <w:start w:val="61"/>
    </w:lvl>
    <w:lvl w:ilvl="1">
      <w:lvlJc w:val="left"/>
      <w:lvlText w:val="%2"/>
      <w:numFmt w:val="lowerLetter"/>
      <w:start w:val="1"/>
    </w:lvl>
  </w:abstractNum>
  <w:abstractNum w:abstractNumId="180">
    <w:nsid w:val="1C4A08EC"/>
    <w:multiLevelType w:val="hybridMultilevel"/>
    <w:lvl w:ilvl="0">
      <w:lvlJc w:val="left"/>
      <w:lvlText w:val="(%1)"/>
      <w:numFmt w:val="lowerLetter"/>
      <w:start w:val="27"/>
    </w:lvl>
  </w:abstractNum>
  <w:abstractNum w:abstractNumId="181">
    <w:nsid w:val="1958BD17"/>
    <w:multiLevelType w:val="hybridMultilevel"/>
    <w:lvl w:ilvl="0">
      <w:lvlJc w:val="left"/>
      <w:lvlText w:val="(%1)"/>
      <w:numFmt w:val="lowerLetter"/>
      <w:start w:val="31"/>
    </w:lvl>
  </w:abstractNum>
  <w:abstractNum w:abstractNumId="182">
    <w:nsid w:val="4E647FE4"/>
    <w:multiLevelType w:val="hybridMultilevel"/>
    <w:lvl w:ilvl="0">
      <w:lvlJc w:val="left"/>
      <w:lvlText w:val="(%1)"/>
      <w:numFmt w:val="lowerLetter"/>
      <w:start w:val="34"/>
    </w:lvl>
  </w:abstractNum>
  <w:abstractNum w:abstractNumId="183">
    <w:nsid w:val="E0BB885"/>
    <w:multiLevelType w:val="hybridMultilevel"/>
    <w:lvl w:ilvl="0">
      <w:lvlJc w:val="left"/>
      <w:lvlText w:val="(%1)"/>
      <w:numFmt w:val="lowerLetter"/>
      <w:start w:val="37"/>
    </w:lvl>
  </w:abstractNum>
  <w:abstractNum w:abstractNumId="184">
    <w:nsid w:val="565976F1"/>
    <w:multiLevelType w:val="hybridMultilevel"/>
    <w:lvl w:ilvl="0">
      <w:lvlJc w:val="left"/>
      <w:lvlText w:val="%1"/>
      <w:numFmt w:val="lowerLetter"/>
      <w:start w:val="1"/>
    </w:lvl>
    <w:lvl w:ilvl="1">
      <w:lvlJc w:val="left"/>
      <w:lvlText w:val="(%2)"/>
      <w:numFmt w:val="lowerLetter"/>
      <w:start w:val="39"/>
    </w:lvl>
  </w:abstractNum>
  <w:abstractNum w:abstractNumId="185">
    <w:nsid w:val="64212B8C"/>
    <w:multiLevelType w:val="hybridMultilevel"/>
    <w:lvl w:ilvl="0">
      <w:lvlJc w:val="left"/>
      <w:lvlText w:val="(%1)"/>
      <w:numFmt w:val="lowerLetter"/>
      <w:start w:val="9"/>
    </w:lvl>
    <w:lvl w:ilvl="1">
      <w:lvlJc w:val="left"/>
      <w:lvlText w:val="(%2)"/>
      <w:numFmt w:val="lowerLetter"/>
      <w:start w:val="40"/>
    </w:lvl>
  </w:abstractNum>
  <w:abstractNum w:abstractNumId="186">
    <w:nsid w:val="5C17530C"/>
    <w:multiLevelType w:val="hybridMultilevel"/>
    <w:lvl w:ilvl="0">
      <w:lvlJc w:val="left"/>
      <w:lvlText w:val="(%1)"/>
      <w:numFmt w:val="lowerLetter"/>
      <w:start w:val="35"/>
    </w:lvl>
    <w:lvl w:ilvl="1">
      <w:lvlJc w:val="left"/>
      <w:lvlText w:val="%2"/>
      <w:numFmt w:val="lowerLetter"/>
      <w:start w:val="1"/>
    </w:lvl>
  </w:abstractNum>
  <w:abstractNum w:abstractNumId="187">
    <w:nsid w:val="19A52566"/>
    <w:multiLevelType w:val="hybridMultilevel"/>
    <w:lvl w:ilvl="0">
      <w:lvlJc w:val="left"/>
      <w:lvlText w:val="(%1)"/>
      <w:numFmt w:val="lowerLetter"/>
      <w:start w:val="42"/>
    </w:lvl>
  </w:abstractNum>
  <w:abstractNum w:abstractNumId="188">
    <w:nsid w:val="335A1DF1"/>
    <w:multiLevelType w:val="hybridMultilevel"/>
    <w:lvl w:ilvl="0">
      <w:lvlJc w:val="left"/>
      <w:lvlText w:val="(%1)"/>
      <w:numFmt w:val="lowerLetter"/>
      <w:start w:val="47"/>
    </w:lvl>
  </w:abstractNum>
  <w:abstractNum w:abstractNumId="189">
    <w:nsid w:val="28677B7C"/>
    <w:multiLevelType w:val="hybridMultilevel"/>
    <w:lvl w:ilvl="0">
      <w:lvlJc w:val="left"/>
      <w:lvlText w:val="%1"/>
      <w:numFmt w:val="decimal"/>
      <w:start w:val="1"/>
    </w:lvl>
    <w:lvl w:ilvl="1">
      <w:lvlJc w:val="left"/>
      <w:lvlText w:val="(%2)"/>
      <w:numFmt w:val="lowerLetter"/>
      <w:start w:val="53"/>
    </w:lvl>
  </w:abstractNum>
  <w:abstractNum w:abstractNumId="190">
    <w:nsid w:val="378D97C0"/>
    <w:multiLevelType w:val="hybridMultilevel"/>
    <w:lvl w:ilvl="0">
      <w:lvlJc w:val="left"/>
      <w:lvlText w:val="%1."/>
      <w:numFmt w:val="decimal"/>
      <w:start w:val="4"/>
    </w:lvl>
    <w:lvl w:ilvl="1">
      <w:lvlJc w:val="left"/>
      <w:lvlText w:val="(%2)"/>
      <w:numFmt w:val="lowerLetter"/>
      <w:start w:val="1"/>
    </w:lvl>
  </w:abstractNum>
  <w:abstractNum w:abstractNumId="191">
    <w:nsid w:val="1D91467C"/>
    <w:multiLevelType w:val="hybridMultilevel"/>
    <w:lvl w:ilvl="0">
      <w:lvlJc w:val="left"/>
      <w:lvlText w:val="(%1)"/>
      <w:numFmt w:val="lowerLetter"/>
      <w:start w:val="2"/>
    </w:lvl>
  </w:abstractNum>
  <w:abstractNum w:abstractNumId="192">
    <w:nsid w:val="316032BB"/>
    <w:multiLevelType w:val="hybridMultilevel"/>
    <w:lvl w:ilvl="0">
      <w:lvlJc w:val="left"/>
      <w:lvlText w:val="%1"/>
      <w:numFmt w:val="lowerLetter"/>
      <w:start w:val="1"/>
    </w:lvl>
    <w:lvl w:ilvl="1">
      <w:lvlJc w:val="left"/>
      <w:lvlText w:val="(%2)"/>
      <w:numFmt w:val="lowerLetter"/>
      <w:start w:val="5"/>
    </w:lvl>
  </w:abstractNum>
  <w:abstractNum w:abstractNumId="193">
    <w:nsid w:val="44344C22"/>
    <w:multiLevelType w:val="hybridMultilevel"/>
    <w:lvl w:ilvl="0">
      <w:lvlJc w:val="left"/>
      <w:lvlText w:val="(%1)"/>
      <w:numFmt w:val="lowerLetter"/>
      <w:start w:val="61"/>
    </w:lvl>
    <w:lvl w:ilvl="1">
      <w:lvlJc w:val="left"/>
      <w:lvlText w:val="(%2)"/>
      <w:numFmt w:val="lowerLetter"/>
      <w:start w:val="7"/>
    </w:lvl>
  </w:abstractNum>
  <w:abstractNum w:abstractNumId="194">
    <w:nsid w:val="13CDFCFC"/>
    <w:multiLevelType w:val="hybridMultilevel"/>
    <w:lvl w:ilvl="0">
      <w:lvlJc w:val="left"/>
      <w:lvlText w:val="(%1)"/>
      <w:numFmt w:val="lowerLetter"/>
      <w:start w:val="9"/>
    </w:lvl>
  </w:abstractNum>
  <w:abstractNum w:abstractNumId="195">
    <w:nsid w:val="471745E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6"/>
    </w:lvl>
  </w:abstractNum>
  <w:abstractNum w:abstractNumId="196">
    <w:nsid w:val="1DDBC66"/>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197">
    <w:nsid w:val="30AADFDA"/>
    <w:multiLevelType w:val="hybridMultilevel"/>
    <w:lvl w:ilvl="0">
      <w:lvlJc w:val="left"/>
      <w:lvlText w:val="%1"/>
      <w:numFmt w:val="lowerLetter"/>
      <w:start w:val="1"/>
    </w:lvl>
    <w:lvl w:ilvl="1">
      <w:lvlJc w:val="left"/>
      <w:lvlText w:val="(%2)"/>
      <w:numFmt w:val="lowerLetter"/>
      <w:start w:val="3"/>
    </w:lvl>
  </w:abstractNum>
  <w:abstractNum w:abstractNumId="198">
    <w:nsid w:val="30EADA61"/>
    <w:multiLevelType w:val="hybridMultilevel"/>
    <w:lvl w:ilvl="0">
      <w:lvlJc w:val="left"/>
      <w:lvlText w:val="(%1)"/>
      <w:numFmt w:val="lowerLetter"/>
      <w:start w:val="61"/>
    </w:lvl>
    <w:lvl w:ilvl="1">
      <w:lvlJc w:val="left"/>
      <w:lvlText w:val="(%2)"/>
      <w:numFmt w:val="lowerLetter"/>
      <w:start w:val="5"/>
    </w:lvl>
  </w:abstractNum>
  <w:abstractNum w:abstractNumId="199">
    <w:nsid w:val="27179C0B"/>
    <w:multiLevelType w:val="hybridMultilevel"/>
    <w:lvl w:ilvl="0">
      <w:lvlJc w:val="left"/>
      <w:lvlText w:val="(%1)"/>
      <w:numFmt w:val="lowerLetter"/>
      <w:start w:val="9"/>
    </w:lvl>
  </w:abstractNum>
  <w:abstractNum w:abstractNumId="200">
    <w:nsid w:val="5E636063"/>
    <w:multiLevelType w:val="hybridMultilevel"/>
    <w:lvl w:ilvl="0">
      <w:lvlJc w:val="left"/>
      <w:lvlText w:val="%1."/>
      <w:numFmt w:val="decimal"/>
      <w:start w:val="7"/>
    </w:lvl>
    <w:lvl w:ilvl="1">
      <w:lvlJc w:val="left"/>
      <w:lvlText w:val="(%2)"/>
      <w:numFmt w:val="lowerLetter"/>
      <w:start w:val="1"/>
    </w:lvl>
  </w:abstractNum>
  <w:abstractNum w:abstractNumId="201">
    <w:nsid w:val="215641AF"/>
    <w:multiLevelType w:val="hybridMultilevel"/>
    <w:lvl w:ilvl="0">
      <w:lvlJc w:val="left"/>
      <w:lvlText w:val="(%1)"/>
      <w:numFmt w:val="lowerLetter"/>
      <w:start w:val="2"/>
    </w:lvl>
  </w:abstractNum>
  <w:abstractNum w:abstractNumId="202">
    <w:nsid w:val="53280662"/>
    <w:multiLevelType w:val="hybridMultilevel"/>
    <w:lvl w:ilvl="0">
      <w:lvlJc w:val="left"/>
      <w:lvlText w:val="(%1)"/>
      <w:numFmt w:val="lowerLetter"/>
      <w:start w:val="4"/>
    </w:lvl>
  </w:abstractNum>
  <w:abstractNum w:abstractNumId="203">
    <w:nsid w:val="46B24DB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abstractNum>
  <w:abstractNum w:abstractNumId="204">
    <w:nsid w:val="75B52783"/>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205">
    <w:nsid w:val="57CE66B4"/>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206">
    <w:nsid w:val="67A70B69"/>
    <w:multiLevelType w:val="hybridMultilevel"/>
    <w:lvl w:ilvl="0">
      <w:lvlJc w:val="left"/>
      <w:lvlText w:val="(%1)"/>
      <w:numFmt w:val="lowerLetter"/>
      <w:start w:val="2"/>
    </w:lvl>
  </w:abstractNum>
  <w:abstractNum w:abstractNumId="207">
    <w:nsid w:val="5953172F"/>
    <w:multiLevelType w:val="hybridMultilevel"/>
    <w:lvl w:ilvl="0">
      <w:lvlJc w:val="left"/>
      <w:lvlText w:val="%1"/>
      <w:numFmt w:val="decimal"/>
      <w:start w:val="1"/>
    </w:lvl>
    <w:lvl w:ilvl="1">
      <w:lvlJc w:val="left"/>
      <w:lvlText w:val="(%2)"/>
      <w:numFmt w:val="lowerLetter"/>
      <w:start w:val="4"/>
    </w:lvl>
  </w:abstractNum>
  <w:abstractNum w:abstractNumId="208">
    <w:nsid w:val="27EDFE3A"/>
    <w:multiLevelType w:val="hybridMultilevel"/>
    <w:lvl w:ilvl="0">
      <w:lvlJc w:val="left"/>
      <w:lvlText w:val="%1."/>
      <w:numFmt w:val="decimal"/>
      <w:start w:val="11"/>
    </w:lvl>
    <w:lvl w:ilvl="1">
      <w:lvlJc w:val="left"/>
      <w:lvlText w:val="(%2)"/>
      <w:numFmt w:val="lowerLetter"/>
      <w:start w:val="1"/>
    </w:lvl>
  </w:abstractNum>
  <w:abstractNum w:abstractNumId="209">
    <w:nsid w:val="52AC7DFF"/>
    <w:multiLevelType w:val="hybridMultilevel"/>
    <w:lvl w:ilvl="0">
      <w:lvlJc w:val="left"/>
      <w:lvlText w:val="%1."/>
      <w:numFmt w:val="decimal"/>
      <w:start w:val="12"/>
    </w:lvl>
    <w:lvl w:ilvl="1">
      <w:lvlJc w:val="left"/>
      <w:lvlText w:val="(%2)"/>
      <w:numFmt w:val="lowerLetter"/>
      <w:start w:val="1"/>
    </w:lvl>
  </w:abstractNum>
  <w:abstractNum w:abstractNumId="210">
    <w:nsid w:val="C4C3AF"/>
    <w:multiLevelType w:val="hybridMultilevel"/>
    <w:lvl w:ilvl="0">
      <w:lvlJc w:val="left"/>
      <w:lvlText w:val="(%1)"/>
      <w:numFmt w:val="lowerLetter"/>
      <w:start w:val="3"/>
    </w:lvl>
    <w:lvl w:ilvl="1">
      <w:lvlJc w:val="left"/>
      <w:lvlText w:val="(%2)"/>
      <w:numFmt w:val="lowerRoman"/>
      <w:start w:val="1"/>
    </w:lvl>
  </w:abstractNum>
  <w:abstractNum w:abstractNumId="211">
    <w:nsid w:val="44380727"/>
    <w:multiLevelType w:val="hybridMultilevel"/>
    <w:lvl w:ilvl="0">
      <w:lvlJc w:val="left"/>
      <w:lvlText w:val="(%1)"/>
      <w:numFmt w:val="lowerRoman"/>
      <w:start w:val="1"/>
    </w:lvl>
  </w:abstractNum>
  <w:abstractNum w:abstractNumId="212">
    <w:nsid w:val="6C053B16"/>
    <w:multiLevelType w:val="hybridMultilevel"/>
    <w:lvl w:ilvl="0">
      <w:lvlJc w:val="left"/>
      <w:lvlText w:val="(%1)"/>
      <w:numFmt w:val="lowerLetter"/>
      <w:start w:val="6"/>
    </w:lvl>
  </w:abstractNum>
  <w:abstractNum w:abstractNumId="213">
    <w:nsid w:val="4F294393"/>
    <w:multiLevelType w:val="hybridMultilevel"/>
    <w:lvl w:ilvl="0">
      <w:lvlJc w:val="left"/>
      <w:lvlText w:val="(%1)"/>
      <w:numFmt w:val="lowerLetter"/>
      <w:start w:val="7"/>
    </w:lvl>
  </w:abstractNum>
  <w:abstractNum w:abstractNumId="214">
    <w:nsid w:val="5243BFAC"/>
    <w:multiLevelType w:val="hybridMultilevel"/>
    <w:lvl w:ilvl="0">
      <w:lvlJc w:val="left"/>
      <w:lvlText w:val="%1."/>
      <w:numFmt w:val="lowerLetter"/>
      <w:start w:val="1"/>
    </w:lvl>
  </w:abstractNum>
  <w:abstractNum w:abstractNumId="215">
    <w:nsid w:val="425EB207"/>
    <w:multiLevelType w:val="hybridMultilevel"/>
    <w:lvl w:ilvl="0">
      <w:lvlJc w:val="left"/>
      <w:lvlText w:val="•"/>
      <w:numFmt w:val="bullet"/>
      <w:start w:val="1"/>
    </w:lvl>
  </w:abstractNum>
  <w:abstractNum w:abstractNumId="216">
    <w:nsid w:val="334A6F1F"/>
    <w:multiLevelType w:val="hybridMultilevel"/>
    <w:lvl w:ilvl="0">
      <w:lvlJc w:val="left"/>
      <w:lvlText w:val="(%1)"/>
      <w:numFmt w:val="lowerLetter"/>
      <w:start w:val="1"/>
    </w:lvl>
  </w:abstractNum>
  <w:abstractNum w:abstractNumId="217">
    <w:nsid w:val="2E5B12B8"/>
    <w:multiLevelType w:val="hybridMultilevel"/>
    <w:lvl w:ilvl="0">
      <w:lvlJc w:val="left"/>
      <w:lvlText w:val="(%1)"/>
      <w:numFmt w:val="lowerLetter"/>
      <w:start w:val="9"/>
    </w:lvl>
  </w:abstractNum>
  <w:abstractNum w:abstractNumId="218">
    <w:nsid w:val="5C03D76D"/>
    <w:multiLevelType w:val="hybridMultilevel"/>
    <w:lvl w:ilvl="0">
      <w:lvlJc w:val="left"/>
      <w:lvlText w:val="(%1)"/>
      <w:numFmt w:val="lowerLetter"/>
      <w:start w:val="35"/>
    </w:lvl>
  </w:abstractNum>
  <w:abstractNum w:abstractNumId="219">
    <w:nsid w:val="66A48D11"/>
    <w:multiLevelType w:val="hybridMultilevel"/>
    <w:lvl w:ilvl="0">
      <w:lvlJc w:val="left"/>
      <w:lvlText w:val="(%1)"/>
      <w:numFmt w:val="lowerRoman"/>
      <w:start w:val="3"/>
    </w:lvl>
  </w:abstractNum>
  <w:abstractNum w:abstractNumId="220">
    <w:nsid w:val="56C28E34"/>
    <w:multiLevelType w:val="hybridMultilevel"/>
    <w:lvl w:ilvl="0">
      <w:lvlJc w:val="left"/>
      <w:lvlText w:val="(%1)"/>
      <w:numFmt w:val="lowerRoman"/>
      <w:start w:val="9"/>
    </w:lvl>
  </w:abstractNum>
  <w:abstractNum w:abstractNumId="221">
    <w:nsid w:val="13916F2D"/>
    <w:multiLevelType w:val="hybridMultilevel"/>
    <w:lvl w:ilvl="0">
      <w:lvlJc w:val="left"/>
      <w:lvlText w:val="(%1)"/>
      <w:numFmt w:val="lowerLetter"/>
      <w:start w:val="2"/>
    </w:lvl>
  </w:abstractNum>
  <w:abstractNum w:abstractNumId="222">
    <w:nsid w:val="435D38D"/>
    <w:multiLevelType w:val="hybridMultilevel"/>
    <w:lvl w:ilvl="0">
      <w:lvlJc w:val="left"/>
      <w:lvlText w:val="(%1)"/>
      <w:numFmt w:val="lowerLetter"/>
      <w:start w:val="4"/>
    </w:lvl>
  </w:abstractNum>
  <w:abstractNum w:abstractNumId="223">
    <w:nsid w:val="822C0EF"/>
    <w:multiLevelType w:val="hybridMultilevel"/>
    <w:lvl w:ilvl="0">
      <w:lvlJc w:val="left"/>
      <w:lvlText w:val="1"/>
      <w:numFmt w:val="bullet"/>
      <w:start w:val="1"/>
    </w:lvl>
  </w:abstractNum>
  <w:abstractNum w:abstractNumId="224">
    <w:nsid w:val="57C5BB4F"/>
    <w:multiLevelType w:val="hybridMultilevel"/>
    <w:lvl w:ilvl="0">
      <w:lvlJc w:val="left"/>
      <w:lvlText w:val="(%1)"/>
      <w:numFmt w:val="decimal"/>
      <w:start w:val="5"/>
    </w:lvl>
  </w:abstractNum>
  <w:abstractNum w:abstractNumId="225">
    <w:nsid w:val="1803D089"/>
    <w:multiLevelType w:val="hybridMultilevel"/>
    <w:lvl w:ilvl="0">
      <w:lvlJc w:val="left"/>
      <w:lvlText w:val="%1."/>
      <w:numFmt w:val="decimal"/>
      <w:start w:val="1"/>
    </w:lvl>
  </w:abstractNum>
  <w:abstractNum w:abstractNumId="226">
    <w:nsid w:val="4F3A06D4"/>
    <w:multiLevelType w:val="hybridMultilevel"/>
    <w:lvl w:ilvl="0">
      <w:lvlJc w:val="left"/>
      <w:lvlText w:val="%1."/>
      <w:numFmt w:val="decimal"/>
      <w:start w:val="5"/>
    </w:lvl>
  </w:abstractNum>
  <w:abstractNum w:abstractNumId="227">
    <w:nsid w:val="59A377B6"/>
    <w:multiLevelType w:val="hybridMultilevel"/>
    <w:lvl w:ilvl="0">
      <w:lvlJc w:val="left"/>
      <w:lvlText w:val="(%1)"/>
      <w:numFmt w:val="lowerLetter"/>
      <w:start w:val="1"/>
    </w:lvl>
    <w:lvl w:ilvl="1">
      <w:lvlJc w:val="left"/>
      <w:lvlText w:val="%2."/>
      <w:numFmt w:val="lowerRoman"/>
      <w:start w:val="1"/>
    </w:lvl>
  </w:abstractNum>
  <w:abstractNum w:abstractNumId="228">
    <w:nsid w:val="48AEB063"/>
    <w:multiLevelType w:val="hybridMultilevel"/>
    <w:lvl w:ilvl="0">
      <w:lvlJc w:val="left"/>
      <w:lvlText w:val="%1."/>
      <w:numFmt w:val="lowerRoman"/>
      <w:start w:val="3"/>
    </w:lvl>
  </w:abstractNum>
  <w:abstractNum w:abstractNumId="229">
    <w:nsid w:val="24E135"/>
    <w:multiLevelType w:val="hybridMultilevel"/>
    <w:lvl w:ilvl="0">
      <w:lvlJc w:val="left"/>
      <w:lvlText w:val="1"/>
      <w:numFmt w:val="bullet"/>
      <w:start w:val="1"/>
    </w:lvl>
  </w:abstractNum>
  <w:abstractNum w:abstractNumId="230">
    <w:nsid w:val="BB13C1"/>
    <w:multiLevelType w:val="hybridMultilevel"/>
    <w:lvl w:ilvl="0">
      <w:lvlJc w:val="left"/>
      <w:lvlText w:val="2"/>
      <w:numFmt w:val="bullet"/>
      <w:start w:val="1"/>
    </w:lvl>
  </w:abstractNum>
  <w:abstractNum w:abstractNumId="231">
    <w:nsid w:val="271210C7"/>
    <w:multiLevelType w:val="hybridMultilevel"/>
    <w:lvl w:ilvl="0">
      <w:lvlJc w:val="left"/>
      <w:lvlText w:val="(%1)"/>
      <w:numFmt w:val="lowerLetter"/>
      <w:start w:val="2"/>
    </w:lvl>
    <w:lvl w:ilvl="1">
      <w:lvlJc w:val="left"/>
      <w:lvlText w:val="3"/>
      <w:numFmt w:val="bullet"/>
      <w:start w:val="1"/>
    </w:lvl>
  </w:abstractNum>
  <w:abstractNum w:abstractNumId="232">
    <w:nsid w:val="217B22E4"/>
    <w:multiLevelType w:val="hybridMultilevel"/>
    <w:lvl w:ilvl="0">
      <w:lvlJc w:val="left"/>
      <w:lvlText w:val="%1"/>
      <w:numFmt w:val="lowerLetter"/>
      <w:start w:val="1"/>
    </w:lvl>
    <w:lvl w:ilvl="1">
      <w:lvlJc w:val="left"/>
      <w:lvlText w:val="(%2)"/>
      <w:numFmt w:val="lowerLetter"/>
      <w:start w:val="5"/>
    </w:lvl>
  </w:abstractNum>
  <w:abstractNum w:abstractNumId="233">
    <w:nsid w:val="53E31A24"/>
    <w:multiLevelType w:val="hybridMultilevel"/>
    <w:lvl w:ilvl="0">
      <w:lvlJc w:val="left"/>
      <w:lvlText w:val="(%1)"/>
      <w:numFmt w:val="lowerLetter"/>
      <w:start w:val="35"/>
    </w:lvl>
    <w:lvl w:ilvl="1">
      <w:lvlJc w:val="left"/>
      <w:lvlText w:val="(%2)"/>
      <w:numFmt w:val="lowerLetter"/>
      <w:start w:val="8"/>
    </w:lvl>
  </w:abstractNum>
  <w:abstractNum w:abstractNumId="234">
    <w:nsid w:val="6DC45E83"/>
    <w:multiLevelType w:val="hybridMultilevel"/>
    <w:lvl w:ilvl="0">
      <w:lvlJc w:val="left"/>
      <w:lvlText w:val="(%1)"/>
      <w:numFmt w:val="lowerLetter"/>
      <w:start w:val="1"/>
    </w:lvl>
  </w:abstractNum>
  <w:abstractNum w:abstractNumId="235">
    <w:nsid w:val="17304A67"/>
    <w:multiLevelType w:val="hybridMultilevel"/>
    <w:lvl w:ilvl="0">
      <w:lvlJc w:val="left"/>
      <w:lvlText w:val="(%1)"/>
      <w:numFmt w:val="lowerLetter"/>
      <w:start w:val="3"/>
    </w:lvl>
  </w:abstractNum>
  <w:abstractNum w:abstractNumId="236">
    <w:nsid w:val="2BB180D8"/>
    <w:multiLevelType w:val="hybridMultilevel"/>
    <w:lvl w:ilvl="0">
      <w:lvlJc w:val="left"/>
      <w:lvlText w:val="(%1)"/>
      <w:numFmt w:val="lowerLetter"/>
      <w:start w:val="1"/>
    </w:lvl>
  </w:abstractNum>
  <w:abstractNum w:abstractNumId="237">
    <w:nsid w:val="556B69ED"/>
    <w:multiLevelType w:val="hybridMultilevel"/>
    <w:lvl w:ilvl="0">
      <w:lvlJc w:val="left"/>
      <w:lvlText w:val="(%1)"/>
      <w:numFmt w:val="lowerLetter"/>
      <w:start w:val="1"/>
    </w:lvl>
  </w:abstractNum>
  <w:abstractNum w:abstractNumId="238">
    <w:nsid w:val="70836196"/>
    <w:multiLevelType w:val="hybridMultilevel"/>
    <w:lvl w:ilvl="0">
      <w:lvlJc w:val="left"/>
      <w:lvlText w:val="(%1)"/>
      <w:numFmt w:val="lowerLetter"/>
      <w:start w:val="2"/>
    </w:lvl>
  </w:abstractNum>
  <w:abstractNum w:abstractNumId="239">
    <w:nsid w:val="539F7F12"/>
    <w:multiLevelType w:val="hybridMultilevel"/>
    <w:lvl w:ilvl="0">
      <w:lvlJc w:val="left"/>
      <w:lvlText w:val="(%1)"/>
      <w:numFmt w:val="lowerLetter"/>
      <w:start w:val="1"/>
    </w:lvl>
    <w:lvl w:ilvl="1">
      <w:lvlJc w:val="left"/>
      <w:lvlText w:val="%2."/>
      <w:numFmt w:val="lowerRoman"/>
      <w:start w:val="1"/>
    </w:lvl>
  </w:abstractNum>
  <w:abstractNum w:abstractNumId="240">
    <w:nsid w:val="2817E7EC"/>
    <w:multiLevelType w:val="hybridMultilevel"/>
    <w:lvl w:ilvl="0">
      <w:lvlJc w:val="left"/>
      <w:lvlText w:val="%1"/>
      <w:numFmt w:val="decimal"/>
      <w:start w:val="1"/>
    </w:lvl>
    <w:lvl w:ilvl="1">
      <w:lvlJc w:val="left"/>
      <w:lvlText w:val="(%2)"/>
      <w:numFmt w:val="lowerLetter"/>
      <w:start w:val="5"/>
    </w:lvl>
  </w:abstractNum>
  <w:abstractNum w:abstractNumId="241">
    <w:nsid w:val="71482545"/>
    <w:multiLevelType w:val="hybridMultilevel"/>
    <w:lvl w:ilvl="0">
      <w:lvlJc w:val="left"/>
      <w:lvlText w:val="(%1)"/>
      <w:numFmt w:val="decimal"/>
      <w:start w:val="30"/>
    </w:lvl>
    <w:lvl w:ilvl="1">
      <w:lvlJc w:val="left"/>
      <w:lvlText w:val="%2"/>
      <w:numFmt w:val="lowerLetter"/>
      <w:start w:val="1"/>
    </w:lvl>
  </w:abstractNum>
  <w:abstractNum w:abstractNumId="242">
    <w:nsid w:val="17D78639"/>
    <w:multiLevelType w:val="hybridMultilevel"/>
    <w:lvl w:ilvl="0">
      <w:lvlJc w:val="left"/>
      <w:lvlText w:val="(%1)"/>
      <w:numFmt w:val="lowerLetter"/>
      <w:start w:val="1"/>
    </w:lvl>
  </w:abstractNum>
  <w:abstractNum w:abstractNumId="243">
    <w:nsid w:val="141D2302"/>
    <w:multiLevelType w:val="hybridMultilevel"/>
    <w:lvl w:ilvl="0">
      <w:lvlJc w:val="left"/>
      <w:lvlText w:val="(%1)"/>
      <w:numFmt w:val="lowerLetter"/>
      <w:start w:val="3"/>
    </w:lvl>
  </w:abstractNum>
  <w:abstractNum w:abstractNumId="244">
    <w:nsid w:val="407168D8"/>
    <w:multiLevelType w:val="hybridMultilevel"/>
    <w:lvl w:ilvl="0">
      <w:lvlJc w:val="left"/>
      <w:lvlText w:val="(%1)"/>
      <w:numFmt w:val="lowerLetter"/>
      <w:start w:val="1"/>
    </w:lvl>
  </w:abstractNum>
  <w:abstractNum w:abstractNumId="245">
    <w:nsid w:val="6A1B45E5"/>
    <w:multiLevelType w:val="hybridMultilevel"/>
    <w:lvl w:ilvl="0">
      <w:lvlJc w:val="left"/>
      <w:lvlText w:val="(%1)"/>
      <w:numFmt w:val="lowerLetter"/>
      <w:start w:val="2"/>
    </w:lvl>
  </w:abstractNum>
  <w:abstractNum w:abstractNumId="246">
    <w:nsid w:val="567BD50A"/>
    <w:multiLevelType w:val="hybridMultilevel"/>
    <w:lvl w:ilvl="0">
      <w:lvlJc w:val="left"/>
      <w:lvlText w:val="(%1)"/>
      <w:numFmt w:val="lowerLetter"/>
      <w:start w:val="1"/>
    </w:lvl>
  </w:abstractNum>
  <w:abstractNum w:abstractNumId="247">
    <w:nsid w:val="73BBD7F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8">
    <w:nsid w:val="1876589D"/>
    <w:multiLevelType w:val="hybridMultilevel"/>
    <w:lvl w:ilvl="0">
      <w:lvlJc w:val="left"/>
      <w:lvlText w:val="%1"/>
      <w:numFmt w:val="lowerLetter"/>
      <w:start w:val="1"/>
    </w:lvl>
    <w:lvl w:ilvl="1">
      <w:lvlJc w:val="left"/>
      <w:lvlText w:val="%2."/>
      <w:numFmt w:val="lowerRoman"/>
      <w:start w:val="3"/>
    </w:lvl>
  </w:abstractNum>
  <w:abstractNum w:abstractNumId="249">
    <w:nsid w:val="327FAC77"/>
    <w:multiLevelType w:val="hybridMultilevel"/>
    <w:lvl w:ilvl="0">
      <w:lvlJc w:val="left"/>
      <w:lvlText w:val="(%1)"/>
      <w:numFmt w:val="lowerLetter"/>
      <w:start w:val="3"/>
    </w:lvl>
    <w:lvl w:ilvl="1">
      <w:lvlJc w:val="left"/>
      <w:lvlText w:val="%2"/>
      <w:numFmt w:val="lowerRoman"/>
      <w:start w:val="1"/>
    </w:lvl>
  </w:abstractNum>
  <w:abstractNum w:abstractNumId="250">
    <w:nsid w:val="5A606509"/>
    <w:multiLevelType w:val="hybridMultilevel"/>
    <w:lvl w:ilvl="0">
      <w:lvlJc w:val="left"/>
      <w:lvlText w:val="(%1)"/>
      <w:numFmt w:val="lowerLetter"/>
      <w:start w:val="4"/>
    </w:lvl>
  </w:abstractNum>
  <w:abstractNum w:abstractNumId="251">
    <w:nsid w:val="6F38E6D1"/>
    <w:multiLevelType w:val="hybridMultilevel"/>
    <w:lvl w:ilvl="0">
      <w:lvlJc w:val="left"/>
      <w:lvlText w:val="(%1)"/>
      <w:numFmt w:val="lowerLetter"/>
      <w:start w:val="3"/>
    </w:lvl>
  </w:abstractNum>
  <w:abstractNum w:abstractNumId="252">
    <w:nsid w:val="46111BA5"/>
    <w:multiLevelType w:val="hybridMultilevel"/>
    <w:lvl w:ilvl="0">
      <w:lvlJc w:val="left"/>
      <w:lvlText w:val="(%1)"/>
      <w:numFmt w:val="lowerLetter"/>
      <w:start w:val="1"/>
    </w:lvl>
  </w:abstractNum>
  <w:abstractNum w:abstractNumId="253">
    <w:nsid w:val="5E963896"/>
    <w:multiLevelType w:val="hybridMultilevel"/>
    <w:lvl w:ilvl="0">
      <w:lvlJc w:val="left"/>
      <w:lvlText w:val="(%1)"/>
      <w:numFmt w:val="lowerLetter"/>
      <w:start w:val="2"/>
    </w:lvl>
  </w:abstractNum>
  <w:abstractNum w:abstractNumId="254">
    <w:nsid w:val="775BA7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61" Type="http://schemas.openxmlformats.org/officeDocument/2006/relationships/image" Target="media/image338.png"/><Relationship Id="rId362"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400" Type="http://schemas.openxmlformats.org/officeDocument/2006/relationships/image" Target="media/image359.png"/><Relationship Id="rId401" Type="http://schemas.openxmlformats.org/officeDocument/2006/relationships/image" Target="media/image360.png"/><Relationship Id="rId402" Type="http://schemas.openxmlformats.org/officeDocument/2006/relationships/image" Target="media/image361.png"/><Relationship Id="rId403" Type="http://schemas.openxmlformats.org/officeDocument/2006/relationships/image" Target="media/image362.png"/><Relationship Id="rId404" Type="http://schemas.openxmlformats.org/officeDocument/2006/relationships/image" Target="media/image363.png"/><Relationship Id="rId405" Type="http://schemas.openxmlformats.org/officeDocument/2006/relationships/image" Target="media/image364.png"/><Relationship Id="rId406" Type="http://schemas.openxmlformats.org/officeDocument/2006/relationships/image" Target="media/image365.png"/><Relationship Id="rId407" Type="http://schemas.openxmlformats.org/officeDocument/2006/relationships/image" Target="media/image366.png"/><Relationship Id="rId408" Type="http://schemas.openxmlformats.org/officeDocument/2006/relationships/image" Target="media/image367.png"/><Relationship Id="rId409" Type="http://schemas.openxmlformats.org/officeDocument/2006/relationships/image" Target="media/image368.png"/><Relationship Id="rId410" Type="http://schemas.openxmlformats.org/officeDocument/2006/relationships/image" Target="media/image369.png"/><Relationship Id="rId411" Type="http://schemas.openxmlformats.org/officeDocument/2006/relationships/image" Target="media/image370.png"/><Relationship Id="rId412" Type="http://schemas.openxmlformats.org/officeDocument/2006/relationships/image" Target="media/image371.png"/><Relationship Id="rId413" Type="http://schemas.openxmlformats.org/officeDocument/2006/relationships/image" Target="media/image372.png"/><Relationship Id="rId414" Type="http://schemas.openxmlformats.org/officeDocument/2006/relationships/image" Target="media/image373.png"/><Relationship Id="rId415" Type="http://schemas.openxmlformats.org/officeDocument/2006/relationships/image" Target="media/image374.png"/><Relationship Id="rId416" Type="http://schemas.openxmlformats.org/officeDocument/2006/relationships/image" Target="media/image375.png"/><Relationship Id="rId417" Type="http://schemas.openxmlformats.org/officeDocument/2006/relationships/image" Target="media/image376.png"/><Relationship Id="rId418" Type="http://schemas.openxmlformats.org/officeDocument/2006/relationships/image" Target="media/image377.png"/><Relationship Id="rId419" Type="http://schemas.openxmlformats.org/officeDocument/2006/relationships/image" Target="media/image378.png"/><Relationship Id="rId420" Type="http://schemas.openxmlformats.org/officeDocument/2006/relationships/image" Target="media/image379.png"/><Relationship Id="rId421" Type="http://schemas.openxmlformats.org/officeDocument/2006/relationships/image" Target="media/image380.png"/><Relationship Id="rId422" Type="http://schemas.openxmlformats.org/officeDocument/2006/relationships/image" Target="media/image381.png"/><Relationship Id="rId423" Type="http://schemas.openxmlformats.org/officeDocument/2006/relationships/image" Target="media/image382.png"/><Relationship Id="rId424" Type="http://schemas.openxmlformats.org/officeDocument/2006/relationships/image" Target="media/image383.png"/><Relationship Id="rId425" Type="http://schemas.openxmlformats.org/officeDocument/2006/relationships/image" Target="media/image384.png"/><Relationship Id="rId426" Type="http://schemas.openxmlformats.org/officeDocument/2006/relationships/image" Target="media/image385.png"/><Relationship Id="rId427" Type="http://schemas.openxmlformats.org/officeDocument/2006/relationships/image" Target="media/image386.png"/><Relationship Id="rId428" Type="http://schemas.openxmlformats.org/officeDocument/2006/relationships/image" Target="media/image387.png"/><Relationship Id="rId429" Type="http://schemas.openxmlformats.org/officeDocument/2006/relationships/image" Target="media/image388.png"/><Relationship Id="rId430" Type="http://schemas.openxmlformats.org/officeDocument/2006/relationships/image" Target="media/image389.png"/><Relationship Id="rId431" Type="http://schemas.openxmlformats.org/officeDocument/2006/relationships/image" Target="media/image390.png"/><Relationship Id="rId432" Type="http://schemas.openxmlformats.org/officeDocument/2006/relationships/image" Target="media/image391.png"/><Relationship Id="rId433" Type="http://schemas.openxmlformats.org/officeDocument/2006/relationships/image" Target="media/image392.png"/><Relationship Id="rId434" Type="http://schemas.openxmlformats.org/officeDocument/2006/relationships/image" Target="media/image393.png"/><Relationship Id="rId435" Type="http://schemas.openxmlformats.org/officeDocument/2006/relationships/image" Target="media/image394.png"/><Relationship Id="rId436" Type="http://schemas.openxmlformats.org/officeDocument/2006/relationships/image" Target="media/image395.png"/><Relationship Id="rId437" Type="http://schemas.openxmlformats.org/officeDocument/2006/relationships/image" Target="media/image396.png"/><Relationship Id="rId438" Type="http://schemas.openxmlformats.org/officeDocument/2006/relationships/image" Target="media/image397.png"/><Relationship Id="rId439" Type="http://schemas.openxmlformats.org/officeDocument/2006/relationships/image" Target="media/image398.png"/><Relationship Id="rId440" Type="http://schemas.openxmlformats.org/officeDocument/2006/relationships/image" Target="media/image399.png"/><Relationship Id="rId441" Type="http://schemas.openxmlformats.org/officeDocument/2006/relationships/image" Target="media/image400.png"/><Relationship Id="rId442" Type="http://schemas.openxmlformats.org/officeDocument/2006/relationships/image" Target="media/image401.png"/><Relationship Id="rId443" Type="http://schemas.openxmlformats.org/officeDocument/2006/relationships/image" Target="media/image402.png"/><Relationship Id="rId444" Type="http://schemas.openxmlformats.org/officeDocument/2006/relationships/image" Target="media/image403.png"/><Relationship Id="rId445" Type="http://schemas.openxmlformats.org/officeDocument/2006/relationships/image" Target="media/image404.png"/><Relationship Id="rId446" Type="http://schemas.openxmlformats.org/officeDocument/2006/relationships/image" Target="media/image405.png"/><Relationship Id="rId447" Type="http://schemas.openxmlformats.org/officeDocument/2006/relationships/image" Target="media/image406.png"/><Relationship Id="rId448" Type="http://schemas.openxmlformats.org/officeDocument/2006/relationships/image" Target="media/image407.png"/><Relationship Id="rId449" Type="http://schemas.openxmlformats.org/officeDocument/2006/relationships/image" Target="media/image408.png"/><Relationship Id="rId450" Type="http://schemas.openxmlformats.org/officeDocument/2006/relationships/image" Target="media/image409.png"/><Relationship Id="rId451" Type="http://schemas.openxmlformats.org/officeDocument/2006/relationships/image" Target="media/image410.png"/><Relationship Id="rId452" Type="http://schemas.openxmlformats.org/officeDocument/2006/relationships/image" Target="media/image411.png"/><Relationship Id="rId453" Type="http://schemas.openxmlformats.org/officeDocument/2006/relationships/image" Target="media/image412.png"/><Relationship Id="rId454" Type="http://schemas.openxmlformats.org/officeDocument/2006/relationships/image" Target="media/image413.jpeg"/><Relationship Id="rId455" Type="http://schemas.openxmlformats.org/officeDocument/2006/relationships/image" Target="media/image414.png"/><Relationship Id="rId456" Type="http://schemas.openxmlformats.org/officeDocument/2006/relationships/image" Target="media/image415.jpeg"/><Relationship Id="rId457" Type="http://schemas.openxmlformats.org/officeDocument/2006/relationships/image" Target="media/image416.png"/><Relationship Id="rId458" Type="http://schemas.openxmlformats.org/officeDocument/2006/relationships/image" Target="media/image417.jpeg"/><Relationship Id="rId459" Type="http://schemas.openxmlformats.org/officeDocument/2006/relationships/image" Target="media/image418.png"/><Relationship Id="rId460" Type="http://schemas.openxmlformats.org/officeDocument/2006/relationships/image" Target="media/image419.png"/><Relationship Id="rId461" Type="http://schemas.openxmlformats.org/officeDocument/2006/relationships/image" Target="media/image420.png"/><Relationship Id="rId462" Type="http://schemas.openxmlformats.org/officeDocument/2006/relationships/image" Target="media/image421.png"/><Relationship Id="rId463" Type="http://schemas.openxmlformats.org/officeDocument/2006/relationships/image" Target="media/image422.png"/><Relationship Id="rId464" Type="http://schemas.openxmlformats.org/officeDocument/2006/relationships/image" Target="media/image423.png"/><Relationship Id="rId465" Type="http://schemas.openxmlformats.org/officeDocument/2006/relationships/image" Target="media/image424.png"/><Relationship Id="rId466" Type="http://schemas.openxmlformats.org/officeDocument/2006/relationships/image" Target="media/image425.png"/><Relationship Id="rId467" Type="http://schemas.openxmlformats.org/officeDocument/2006/relationships/image" Target="media/image426.png"/><Relationship Id="rId468" Type="http://schemas.openxmlformats.org/officeDocument/2006/relationships/image" Target="media/image427.png"/><Relationship Id="rId469" Type="http://schemas.openxmlformats.org/officeDocument/2006/relationships/image" Target="media/image428.png"/><Relationship Id="rId470" Type="http://schemas.openxmlformats.org/officeDocument/2006/relationships/image" Target="media/image429.png"/><Relationship Id="rId471" Type="http://schemas.openxmlformats.org/officeDocument/2006/relationships/image" Target="media/image430.png"/><Relationship Id="rId472" Type="http://schemas.openxmlformats.org/officeDocument/2006/relationships/image" Target="media/image431.png"/><Relationship Id="rId473" Type="http://schemas.openxmlformats.org/officeDocument/2006/relationships/image" Target="media/image432.png"/><Relationship Id="rId474" Type="http://schemas.openxmlformats.org/officeDocument/2006/relationships/image" Target="media/image433.png"/><Relationship Id="rId475" Type="http://schemas.openxmlformats.org/officeDocument/2006/relationships/image" Target="media/image434.png"/><Relationship Id="rId476" Type="http://schemas.openxmlformats.org/officeDocument/2006/relationships/image" Target="media/image435.png"/><Relationship Id="rId477" Type="http://schemas.openxmlformats.org/officeDocument/2006/relationships/image" Target="media/image436.png"/><Relationship Id="rId478" Type="http://schemas.openxmlformats.org/officeDocument/2006/relationships/image" Target="media/image437.png"/><Relationship Id="rId479" Type="http://schemas.openxmlformats.org/officeDocument/2006/relationships/image" Target="media/image438.png"/><Relationship Id="rId480" Type="http://schemas.openxmlformats.org/officeDocument/2006/relationships/image" Target="media/image439.png"/><Relationship Id="rId481" Type="http://schemas.openxmlformats.org/officeDocument/2006/relationships/image" Target="media/image440.png"/><Relationship Id="rId345" Type="http://schemas.openxmlformats.org/officeDocument/2006/relationships/hyperlink" Target="http://www.sec.gov/Archives/edgar/data/0001885522/000119312523221589/d241143dex21.htm" TargetMode="External"/><Relationship Id="rId346" Type="http://schemas.openxmlformats.org/officeDocument/2006/relationships/hyperlink" Target="http://www.sec.gov/Archives/edgar/data/0001885522/000119312523221589/d241143dex22.htm" TargetMode="External"/><Relationship Id="rId347" Type="http://schemas.openxmlformats.org/officeDocument/2006/relationships/hyperlink" Target="http://www.sec.gov/Archives/edgar/data/1885522/000119312523221589/d241143dex31.htm" TargetMode="External"/><Relationship Id="rId348" Type="http://schemas.openxmlformats.org/officeDocument/2006/relationships/hyperlink" Target="http://www.sec.gov/Archives/edgar/data/0001885522/000119312523221589/d241143dex32.htm" TargetMode="External"/><Relationship Id="rId349" Type="http://schemas.openxmlformats.org/officeDocument/2006/relationships/hyperlink" Target="http://www.sec.gov/Archives/edgar/data/0001885522/000119312523221589/d241143dex33.htm" TargetMode="External"/><Relationship Id="rId350" Type="http://schemas.openxmlformats.org/officeDocument/2006/relationships/hyperlink" Target="http://www.sec.gov/Archives/edgar/data/0001885522/000119312523221589/d241143dex34.htm" TargetMode="External"/><Relationship Id="rId351" Type="http://schemas.openxmlformats.org/officeDocument/2006/relationships/hyperlink" Target="http://www.sec.gov/Archives/edgar/data/0001885522/000119312523221589/d241143dex31.htm" TargetMode="External"/><Relationship Id="rId352" Type="http://schemas.openxmlformats.org/officeDocument/2006/relationships/hyperlink" Target="http://www.sec.gov/Archives/edgar/data/0001885522/000119312523221589/d241143dex101.htm" TargetMode="External"/><Relationship Id="rId353" Type="http://schemas.openxmlformats.org/officeDocument/2006/relationships/hyperlink" Target="http://www.sec.gov/Archives/edgar/data/0001885522/000119312523221589/d241143dex102.htm" TargetMode="External"/><Relationship Id="rId354" Type="http://schemas.openxmlformats.org/officeDocument/2006/relationships/hyperlink" Target="http://www.sec.gov/Archives/edgar/data/0001885522/000119312523221589/d241143dex103.htm" TargetMode="External"/><Relationship Id="rId355" Type="http://schemas.openxmlformats.org/officeDocument/2006/relationships/hyperlink" Target="http://www.sec.gov/Archives/edgar/data/0001885522/000119312523221589/d241143dex104a.htm" TargetMode="External"/><Relationship Id="rId356" Type="http://schemas.openxmlformats.org/officeDocument/2006/relationships/hyperlink" Target="http://www.sec.gov/Archives/edgar/data/0001885522/000119312523221589/d241143dex105a.htm" TargetMode="External"/><Relationship Id="rId357" Type="http://schemas.openxmlformats.org/officeDocument/2006/relationships/hyperlink" Target="http://www.sec.gov/Archives/edgar/data/0001885522/000119312523221589/d241143dex105b.htm" TargetMode="External"/><Relationship Id="rId358" Type="http://schemas.openxmlformats.org/officeDocument/2006/relationships/hyperlink" Target="http://www.sec.gov/Archives/edgar/data/0001885522/000119312523221589/d241143dex105c.htm" TargetMode="External"/><Relationship Id="rId359" Type="http://schemas.openxmlformats.org/officeDocument/2006/relationships/hyperlink" Target="http://www.sec.gov/Archives/edgar/data/0001885522/000119312523221589/d241143dex106a.htm" TargetMode="External"/><Relationship Id="rId360" Type="http://schemas.openxmlformats.org/officeDocument/2006/relationships/hyperlink" Target="http://www.sec.gov/Archives/edgar/data/0001885522/000119312523221589/d241143dex106b.htm" TargetMode="External"/><Relationship Id="rId363" Type="http://schemas.openxmlformats.org/officeDocument/2006/relationships/hyperlink" Target="http://www.sec.gov/Archives/edgar/data/0001885522/000119312523221589/d241143dex106c.htm" TargetMode="External"/><Relationship Id="rId364" Type="http://schemas.openxmlformats.org/officeDocument/2006/relationships/hyperlink" Target="http://www.sec.gov/Archives/edgar/data/0001885522/000119312523221589/d241143dex107a.htm" TargetMode="External"/><Relationship Id="rId365" Type="http://schemas.openxmlformats.org/officeDocument/2006/relationships/hyperlink" Target="http://www.sec.gov/Archives/edgar/data/0001885522/000119312523221589/d241143dex107b.htm" TargetMode="External"/><Relationship Id="rId366" Type="http://schemas.openxmlformats.org/officeDocument/2006/relationships/hyperlink" Target="http://www.sec.gov/Archives/edgar/data/0001885522/000119312523221589/d241143dex107c.htm" TargetMode="External"/><Relationship Id="rId367" Type="http://schemas.openxmlformats.org/officeDocument/2006/relationships/hyperlink" Target="http://www.sec.gov/Archives/edgar/data/0001885522/000119312523221589/d241143dex108.htm" TargetMode="External"/><Relationship Id="rId368" Type="http://schemas.openxmlformats.org/officeDocument/2006/relationships/hyperlink" Target="http://www.sec.gov/Archives/edgar/data/0001885522/000119312523221589/d241143dex109.htm" TargetMode="External"/><Relationship Id="rId369" Type="http://schemas.openxmlformats.org/officeDocument/2006/relationships/hyperlink" Target="http://www.sec.gov/Archives/edgar/data/0001885522/000119312523221589/d241143dex1010.htm" TargetMode="External"/><Relationship Id="rId370" Type="http://schemas.openxmlformats.org/officeDocument/2006/relationships/hyperlink" Target="http://www.sec.gov/Archives/edgar/data/0001885522/000119312523221589/d241143dex1011.htm" TargetMode="External"/><Relationship Id="rId371" Type="http://schemas.openxmlformats.org/officeDocument/2006/relationships/hyperlink" Target="http://www.sec.gov/Archives/edgar/data/0001885522/000119312523221589/d241143dex1012.htm" TargetMode="External"/><Relationship Id="rId372" Type="http://schemas.openxmlformats.org/officeDocument/2006/relationships/hyperlink" Target="http://www.sec.gov/Archives/edgar/data/0001885522/000119312523221589/d241143dex1014a.htm" TargetMode="External"/><Relationship Id="rId373" Type="http://schemas.openxmlformats.org/officeDocument/2006/relationships/hyperlink" Target="http://www.sec.gov/Archives/edgar/data/0001885522/000119312523221589/d241143dex1014b.htm" TargetMode="External"/><Relationship Id="rId374" Type="http://schemas.openxmlformats.org/officeDocument/2006/relationships/hyperlink" Target="http://www.sec.gov/Archives/edgar/data/0001885522/000119312523221589/d241143dex1015.htm" TargetMode="External"/><Relationship Id="rId375" Type="http://schemas.openxmlformats.org/officeDocument/2006/relationships/hyperlink" Target="http://www.sec.gov/Archives/edgar/data/0001885522/000119312523221589/d241143dex1016.htm" TargetMode="External"/><Relationship Id="rId376" Type="http://schemas.openxmlformats.org/officeDocument/2006/relationships/hyperlink" Target="http://www.sec.gov/Archives/edgar/data/0001885522/000119312523221589/d241143dex1017.htm" TargetMode="External"/><Relationship Id="rId377" Type="http://schemas.openxmlformats.org/officeDocument/2006/relationships/hyperlink" Target="http://www.sec.gov/Archives/edgar/data/0001885522/000119312523221589/d241143dex1018.htm" TargetMode="External"/><Relationship Id="rId378" Type="http://schemas.openxmlformats.org/officeDocument/2006/relationships/hyperlink" Target="http://www.sec.gov/Archives/edgar/data/0001885522/000119312523221589/d241143dex1019.htm" TargetMode="External"/><Relationship Id="rId379" Type="http://schemas.openxmlformats.org/officeDocument/2006/relationships/hyperlink" Target="http://www.sec.gov/Archives/edgar/data/0001885522/000119312523221589/d241143dex1020.htm" TargetMode="External"/><Relationship Id="rId380" Type="http://schemas.openxmlformats.org/officeDocument/2006/relationships/hyperlink" Target="http://www.sec.gov/Archives/edgar/data/1885522/000119312523221589/d241143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2023-09-11T05:38:10Z</dcterms:created>
  <dcterms:modified xsi:type="dcterms:W3CDTF">2023-09-11T05:38:10Z</dcterms:modified>
</cp:coreProperties>
</file>