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749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49681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Burow Kristina</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8755 W. HIGGINS ROAD,SUITE 1025</w:t>
            </w: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Neumora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NMRA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60" w:type="dxa"/>
            <w:vAlign w:val="bottom"/>
            <w:gridSpan w:val="3"/>
          </w:tcPr>
          <w:p>
            <w:pPr>
              <w:ind w:left="80"/>
              <w:spacing w:after="0"/>
              <w:rPr>
                <w:sz w:val="20"/>
                <w:szCs w:val="20"/>
                <w:color w:val="auto"/>
              </w:rPr>
            </w:pPr>
            <w:r>
              <w:rPr>
                <w:rFonts w:ascii="Arial" w:cs="Arial" w:eastAsia="Arial" w:hAnsi="Arial"/>
                <w:sz w:val="17"/>
                <w:szCs w:val="17"/>
                <w:color w:val="0000FF"/>
              </w:rPr>
              <w:t>09/22/2023</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ARCH</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0"/>
                <w:szCs w:val="20"/>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09/22/2023</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w w:val="91"/>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40,000</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jc w:val="center"/>
              <w:spacing w:after="0" w:line="234"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11.14</w:t>
            </w:r>
            <w:r>
              <w:rPr>
                <w:rFonts w:ascii="Arial" w:cs="Arial" w:eastAsia="Arial" w:hAnsi="Arial"/>
                <w:sz w:val="22"/>
                <w:szCs w:val="22"/>
                <w:color w:val="008000"/>
                <w:w w:val="85"/>
                <w:vertAlign w:val="superscript"/>
              </w:rPr>
              <w:t>(1)</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3,664,143</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gridSpan w:val="3"/>
          </w:tcPr>
          <w:p>
            <w:pPr>
              <w:spacing w:after="0" w:line="192" w:lineRule="exact"/>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XII, L.P.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008000"/>
              </w:rPr>
              <w:t>(4)(5)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ARCH</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0"/>
                <w:szCs w:val="20"/>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09/25/2023</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w w:val="91"/>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30,773</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jc w:val="center"/>
              <w:spacing w:after="0" w:line="234"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10.8</w:t>
            </w:r>
            <w:r>
              <w:rPr>
                <w:rFonts w:ascii="Arial" w:cs="Arial" w:eastAsia="Arial" w:hAnsi="Arial"/>
                <w:sz w:val="22"/>
                <w:szCs w:val="22"/>
                <w:color w:val="008000"/>
                <w:w w:val="85"/>
                <w:vertAlign w:val="superscript"/>
              </w:rPr>
              <w:t>(2)</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3,694,916</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gridSpan w:val="3"/>
          </w:tcPr>
          <w:p>
            <w:pPr>
              <w:spacing w:after="0" w:line="192" w:lineRule="exact"/>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XII, L.P.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008000"/>
              </w:rPr>
              <w:t>(4)(5)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ARCH</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0"/>
                <w:szCs w:val="20"/>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09/25/2023</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w w:val="91"/>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29,967</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jc w:val="center"/>
              <w:spacing w:after="0" w:line="234" w:lineRule="exact"/>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11.65</w:t>
            </w:r>
            <w:r>
              <w:rPr>
                <w:rFonts w:ascii="Arial" w:cs="Arial" w:eastAsia="Arial" w:hAnsi="Arial"/>
                <w:sz w:val="22"/>
                <w:szCs w:val="22"/>
                <w:color w:val="008000"/>
                <w:w w:val="85"/>
                <w:vertAlign w:val="superscript"/>
              </w:rPr>
              <w:t>(3)</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3,724,883</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gridSpan w:val="3"/>
          </w:tcPr>
          <w:p>
            <w:pPr>
              <w:spacing w:after="0" w:line="192" w:lineRule="exact"/>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XII, L.P.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008000"/>
              </w:rPr>
              <w:t>(4)(5)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13,620</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$10.50 to $11.48, inclusive. The reporting person undertakes to provide to NMRA, any security holder of NMRA, or the staff of the Securities and Exchange Commission, upon request, full information regarding the number of shares sold at each separate price within the ranges set forth in footnotes (1),(2),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$10.50 to $11.49,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$11.50 to $12.14, inclusive.</w:t>
      </w:r>
    </w:p>
    <w:p>
      <w:pPr>
        <w:spacing w:after="0" w:line="50" w:lineRule="exact"/>
        <w:rPr>
          <w:rFonts w:ascii="Arial" w:cs="Arial" w:eastAsia="Arial" w:hAnsi="Arial"/>
          <w:sz w:val="13"/>
          <w:szCs w:val="13"/>
          <w:color w:val="008000"/>
        </w:rPr>
      </w:pPr>
    </w:p>
    <w:p>
      <w:pPr>
        <w:ind w:left="40" w:right="26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Beneficial ownership consists of 3,724,883 shares of common stock held directly by ARCH Venture Fund XII, L.P. (ARCH XII). ARCH Venture Partners XII, L.P. (AVP XII LP) is the general partner of ARCH XII. ARCH Venture Partners XII, LLC (AVP XII LLC) is the general partner of AVP XII LP. Kristina Burow is a member of the investment committee of AVP XII LLC (the AVP XII LLC Committee Member). Each of AVP XII LP and AVP XII LLC may be deemed to beneficially own the shares held by ARCH XII, and the AVP XII LLC Committee Member may be deemed to share the power to direct the disposition and vote of the shares held by ARCH XII. Each of AVP XII LP, AVP XII LLC and the AVP XII LLC Committee Member disclaims beneficial ownership except to the extent of their pecuniary interest therein, if any.</w:t>
      </w:r>
    </w:p>
    <w:p>
      <w:pPr>
        <w:spacing w:after="0" w:line="29"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hereof, in addition to securities owned by AVF XII, the reporting person continues to have a direct pecuniary interest and indirect pecuniary interest in securities of the issuer as reported on a Form 4 filed by the reporting person with respect to the issuer on September 20, 2023.</w:t>
      </w:r>
    </w:p>
    <w:p>
      <w:pPr>
        <w:sectPr>
          <w:pgSz w:w="11900" w:h="16838" w:orient="portrait"/>
          <w:cols w:equalWidth="0" w:num="1">
            <w:col w:w="11080"/>
          </w:cols>
          <w:pgMar w:left="460" w:top="225" w:right="359" w:bottom="0" w:gutter="0" w:footer="0" w:header="0"/>
          <w:type w:val="continuous"/>
        </w:sectPr>
      </w:pP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Kristina Burow, Managing</w:t>
            </w:r>
          </w:p>
        </w:tc>
        <w:tc>
          <w:tcPr>
            <w:tcW w:w="960" w:type="dxa"/>
            <w:vAlign w:val="bottom"/>
            <w:gridSpan w:val="2"/>
          </w:tcPr>
          <w:p>
            <w:pPr>
              <w:jc w:val="right"/>
              <w:spacing w:after="0"/>
              <w:rPr>
                <w:sz w:val="20"/>
                <w:szCs w:val="20"/>
                <w:color w:val="auto"/>
              </w:rPr>
            </w:pPr>
            <w:r>
              <w:rPr>
                <w:rFonts w:ascii="Arial" w:cs="Arial" w:eastAsia="Arial" w:hAnsi="Arial"/>
                <w:sz w:val="17"/>
                <w:szCs w:val="17"/>
                <w:color w:val="0000FF"/>
              </w:rPr>
              <w:t>09/25/2023</w:t>
            </w:r>
          </w:p>
        </w:tc>
      </w:tr>
      <w:tr>
        <w:trPr>
          <w:trHeight w:val="193"/>
        </w:trPr>
        <w:tc>
          <w:tcPr>
            <w:tcW w:w="186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0000FF"/>
              </w:rPr>
              <w:t>Director, By: /s/ Mark</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McDonnell,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4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248" TargetMode="External"/><Relationship Id="rId13" Type="http://schemas.openxmlformats.org/officeDocument/2006/relationships/hyperlink" Target="http://www.sec.gov/cgi-bin/browse-edgar?action=getcompany&amp;CIK=00018855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2023-09-25T20:53:43Z</dcterms:created>
  <dcterms:modified xsi:type="dcterms:W3CDTF">2023-09-25T20:53:43Z</dcterms:modified>
</cp:coreProperties>
</file>