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1" w:lineRule="exact"/>
        <w:rPr>
          <w:sz w:val="24"/>
          <w:szCs w:val="24"/>
          <w:color w:val="auto"/>
        </w:rPr>
      </w:pPr>
    </w:p>
    <w:p>
      <w:pPr>
        <w:jc w:val="center"/>
        <w:ind w:left="520" w:right="1940"/>
        <w:spacing w:after="0" w:line="229" w:lineRule="auto"/>
        <w:rPr>
          <w:sz w:val="20"/>
          <w:szCs w:val="20"/>
          <w:color w:val="auto"/>
        </w:rPr>
      </w:pPr>
      <w:r>
        <w:rPr>
          <w:rFonts w:ascii="Arial" w:cs="Arial" w:eastAsia="Arial" w:hAnsi="Arial"/>
          <w:sz w:val="14"/>
          <w:szCs w:val="14"/>
          <w:b w:val="1"/>
          <w:bCs w:val="1"/>
          <w:color w:val="auto"/>
        </w:rPr>
        <w:t>Confidential Draft Submission No. 3 submitted to the Securities and Exchange Commission on February 11, 2022.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2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9"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4"/>
          <w:szCs w:val="34"/>
          <w:b w:val="1"/>
          <w:bCs w:val="1"/>
          <w:color w:val="auto"/>
        </w:rPr>
        <w:t>NEUMORA THERAPEUTICS, INC.</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7"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560" w:type="dxa"/>
            <w:vAlign w:val="bottom"/>
          </w:tcPr>
          <w:p>
            <w:pPr>
              <w:jc w:val="center"/>
              <w:ind w:right="551"/>
              <w:spacing w:after="0"/>
              <w:rPr>
                <w:sz w:val="20"/>
                <w:szCs w:val="20"/>
                <w:color w:val="auto"/>
              </w:rPr>
            </w:pPr>
            <w:r>
              <w:rPr>
                <w:rFonts w:ascii="Arial" w:cs="Arial" w:eastAsia="Arial" w:hAnsi="Arial"/>
                <w:sz w:val="14"/>
                <w:szCs w:val="14"/>
                <w:b w:val="1"/>
                <w:bCs w:val="1"/>
                <w:color w:val="auto"/>
                <w:w w:val="94"/>
              </w:rPr>
              <w:t>Delaware</w:t>
            </w:r>
          </w:p>
        </w:tc>
        <w:tc>
          <w:tcPr>
            <w:tcW w:w="3200" w:type="dxa"/>
            <w:vAlign w:val="bottom"/>
            <w:gridSpan w:val="2"/>
          </w:tcPr>
          <w:p>
            <w:pPr>
              <w:jc w:val="center"/>
              <w:ind w:left="1048"/>
              <w:spacing w:after="0"/>
              <w:rPr>
                <w:sz w:val="20"/>
                <w:szCs w:val="20"/>
                <w:color w:val="auto"/>
              </w:rPr>
            </w:pPr>
            <w:r>
              <w:rPr>
                <w:rFonts w:ascii="Arial" w:cs="Arial" w:eastAsia="Arial" w:hAnsi="Arial"/>
                <w:sz w:val="14"/>
                <w:szCs w:val="14"/>
                <w:b w:val="1"/>
                <w:bCs w:val="1"/>
                <w:color w:val="auto"/>
                <w:w w:val="89"/>
              </w:rPr>
              <w:t>2834</w:t>
            </w:r>
          </w:p>
        </w:tc>
        <w:tc>
          <w:tcPr>
            <w:tcW w:w="1820" w:type="dxa"/>
            <w:vAlign w:val="bottom"/>
          </w:tcPr>
          <w:p>
            <w:pPr>
              <w:spacing w:after="0"/>
              <w:rPr>
                <w:sz w:val="14"/>
                <w:szCs w:val="14"/>
                <w:color w:val="auto"/>
              </w:rPr>
            </w:pPr>
          </w:p>
        </w:tc>
        <w:tc>
          <w:tcPr>
            <w:tcW w:w="1400" w:type="dxa"/>
            <w:vAlign w:val="bottom"/>
          </w:tcPr>
          <w:p>
            <w:pPr>
              <w:jc w:val="center"/>
              <w:ind w:left="70"/>
              <w:spacing w:after="0"/>
              <w:rPr>
                <w:sz w:val="20"/>
                <w:szCs w:val="20"/>
                <w:color w:val="auto"/>
              </w:rPr>
            </w:pPr>
            <w:r>
              <w:rPr>
                <w:rFonts w:ascii="Arial" w:cs="Arial" w:eastAsia="Arial" w:hAnsi="Arial"/>
                <w:sz w:val="14"/>
                <w:szCs w:val="14"/>
                <w:b w:val="1"/>
                <w:bCs w:val="1"/>
                <w:color w:val="auto"/>
                <w:w w:val="93"/>
              </w:rPr>
              <w:t>84-4367680</w:t>
            </w:r>
          </w:p>
        </w:tc>
      </w:tr>
      <w:tr>
        <w:trPr>
          <w:trHeight w:val="135"/>
        </w:trPr>
        <w:tc>
          <w:tcPr>
            <w:tcW w:w="2560" w:type="dxa"/>
            <w:vAlign w:val="bottom"/>
          </w:tcPr>
          <w:p>
            <w:pPr>
              <w:jc w:val="center"/>
              <w:ind w:right="551"/>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880" w:type="dxa"/>
            <w:vAlign w:val="bottom"/>
          </w:tcPr>
          <w:p>
            <w:pPr>
              <w:spacing w:after="0"/>
              <w:rPr>
                <w:sz w:val="11"/>
                <w:szCs w:val="11"/>
                <w:color w:val="auto"/>
              </w:rPr>
            </w:pPr>
          </w:p>
        </w:tc>
        <w:tc>
          <w:tcPr>
            <w:tcW w:w="4140" w:type="dxa"/>
            <w:vAlign w:val="bottom"/>
            <w:gridSpan w:val="2"/>
          </w:tcPr>
          <w:p>
            <w:pPr>
              <w:jc w:val="center"/>
              <w:ind w:right="1580"/>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1400" w:type="dxa"/>
            <w:vAlign w:val="bottom"/>
          </w:tcPr>
          <w:p>
            <w:pPr>
              <w:jc w:val="center"/>
              <w:ind w:left="7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560" w:type="dxa"/>
            <w:vAlign w:val="bottom"/>
          </w:tcPr>
          <w:p>
            <w:pPr>
              <w:jc w:val="center"/>
              <w:ind w:right="551"/>
              <w:spacing w:after="0"/>
              <w:rPr>
                <w:sz w:val="20"/>
                <w:szCs w:val="20"/>
                <w:color w:val="auto"/>
              </w:rPr>
            </w:pPr>
            <w:r>
              <w:rPr>
                <w:rFonts w:ascii="Arial" w:cs="Arial" w:eastAsia="Arial" w:hAnsi="Arial"/>
                <w:sz w:val="13"/>
                <w:szCs w:val="13"/>
                <w:b w:val="1"/>
                <w:bCs w:val="1"/>
                <w:color w:val="auto"/>
                <w:w w:val="90"/>
              </w:rPr>
              <w:t>Incorporation or Organization)</w:t>
            </w:r>
          </w:p>
        </w:tc>
        <w:tc>
          <w:tcPr>
            <w:tcW w:w="880" w:type="dxa"/>
            <w:vAlign w:val="bottom"/>
          </w:tcPr>
          <w:p>
            <w:pPr>
              <w:spacing w:after="0"/>
              <w:rPr>
                <w:sz w:val="14"/>
                <w:szCs w:val="14"/>
                <w:color w:val="auto"/>
              </w:rPr>
            </w:pPr>
          </w:p>
        </w:tc>
        <w:tc>
          <w:tcPr>
            <w:tcW w:w="4140" w:type="dxa"/>
            <w:vAlign w:val="bottom"/>
            <w:gridSpan w:val="2"/>
          </w:tcPr>
          <w:p>
            <w:pPr>
              <w:jc w:val="center"/>
              <w:ind w:right="1580"/>
              <w:spacing w:after="0"/>
              <w:rPr>
                <w:sz w:val="20"/>
                <w:szCs w:val="20"/>
                <w:color w:val="auto"/>
              </w:rPr>
            </w:pPr>
            <w:r>
              <w:rPr>
                <w:rFonts w:ascii="Arial" w:cs="Arial" w:eastAsia="Arial" w:hAnsi="Arial"/>
                <w:sz w:val="13"/>
                <w:szCs w:val="13"/>
                <w:b w:val="1"/>
                <w:bCs w:val="1"/>
                <w:color w:val="auto"/>
                <w:w w:val="87"/>
              </w:rPr>
              <w:t>Classification Code Number)</w:t>
            </w:r>
          </w:p>
        </w:tc>
        <w:tc>
          <w:tcPr>
            <w:tcW w:w="1400" w:type="dxa"/>
            <w:vAlign w:val="bottom"/>
          </w:tcPr>
          <w:p>
            <w:pPr>
              <w:jc w:val="center"/>
              <w:ind w:left="70"/>
              <w:spacing w:after="0"/>
              <w:rPr>
                <w:sz w:val="20"/>
                <w:szCs w:val="20"/>
                <w:color w:val="auto"/>
              </w:rPr>
            </w:pPr>
            <w:r>
              <w:rPr>
                <w:rFonts w:ascii="Arial" w:cs="Arial" w:eastAsia="Arial" w:hAnsi="Arial"/>
                <w:sz w:val="13"/>
                <w:szCs w:val="13"/>
                <w:b w:val="1"/>
                <w:bCs w:val="1"/>
                <w:color w:val="auto"/>
                <w:w w:val="91"/>
              </w:rPr>
              <w:t>Identification Number)</w:t>
            </w:r>
          </w:p>
        </w:tc>
      </w:tr>
      <w:tr>
        <w:trPr>
          <w:trHeight w:val="155"/>
        </w:trPr>
        <w:tc>
          <w:tcPr>
            <w:tcW w:w="2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140" w:type="dxa"/>
            <w:vAlign w:val="bottom"/>
            <w:gridSpan w:val="2"/>
          </w:tcPr>
          <w:p>
            <w:pPr>
              <w:jc w:val="center"/>
              <w:ind w:right="1820"/>
              <w:spacing w:after="0" w:line="155" w:lineRule="exact"/>
              <w:rPr>
                <w:sz w:val="20"/>
                <w:szCs w:val="20"/>
                <w:color w:val="auto"/>
              </w:rPr>
            </w:pPr>
            <w:r>
              <w:rPr>
                <w:rFonts w:ascii="Arial" w:cs="Arial" w:eastAsia="Arial" w:hAnsi="Arial"/>
                <w:sz w:val="14"/>
                <w:szCs w:val="14"/>
                <w:b w:val="1"/>
                <w:bCs w:val="1"/>
                <w:color w:val="auto"/>
                <w:w w:val="92"/>
              </w:rPr>
              <w:t>65 Grove Street</w:t>
            </w:r>
          </w:p>
        </w:tc>
        <w:tc>
          <w:tcPr>
            <w:tcW w:w="1400" w:type="dxa"/>
            <w:vAlign w:val="bottom"/>
          </w:tcPr>
          <w:p>
            <w:pPr>
              <w:spacing w:after="0"/>
              <w:rPr>
                <w:sz w:val="13"/>
                <w:szCs w:val="13"/>
                <w:color w:val="auto"/>
              </w:rPr>
            </w:pPr>
          </w:p>
        </w:tc>
      </w:tr>
      <w:tr>
        <w:trPr>
          <w:trHeight w:val="149"/>
        </w:trPr>
        <w:tc>
          <w:tcPr>
            <w:tcW w:w="2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40" w:type="dxa"/>
            <w:vAlign w:val="bottom"/>
            <w:gridSpan w:val="2"/>
          </w:tcPr>
          <w:p>
            <w:pPr>
              <w:jc w:val="center"/>
              <w:ind w:right="1820"/>
              <w:spacing w:after="0" w:line="149" w:lineRule="exact"/>
              <w:rPr>
                <w:sz w:val="20"/>
                <w:szCs w:val="20"/>
                <w:color w:val="auto"/>
              </w:rPr>
            </w:pPr>
            <w:r>
              <w:rPr>
                <w:rFonts w:ascii="Arial" w:cs="Arial" w:eastAsia="Arial" w:hAnsi="Arial"/>
                <w:sz w:val="14"/>
                <w:szCs w:val="14"/>
                <w:b w:val="1"/>
                <w:bCs w:val="1"/>
                <w:color w:val="auto"/>
                <w:w w:val="91"/>
              </w:rPr>
              <w:t>Watertown, Massachusetts 02472</w:t>
            </w:r>
          </w:p>
        </w:tc>
        <w:tc>
          <w:tcPr>
            <w:tcW w:w="1400" w:type="dxa"/>
            <w:vAlign w:val="bottom"/>
          </w:tcPr>
          <w:p>
            <w:pPr>
              <w:spacing w:after="0"/>
              <w:rPr>
                <w:sz w:val="12"/>
                <w:szCs w:val="12"/>
                <w:color w:val="auto"/>
              </w:rPr>
            </w:pPr>
          </w:p>
        </w:tc>
      </w:tr>
      <w:tr>
        <w:trPr>
          <w:trHeight w:val="153"/>
        </w:trPr>
        <w:tc>
          <w:tcPr>
            <w:tcW w:w="2560" w:type="dxa"/>
            <w:vAlign w:val="bottom"/>
          </w:tcPr>
          <w:p>
            <w:pPr>
              <w:spacing w:after="0"/>
              <w:rPr>
                <w:sz w:val="13"/>
                <w:szCs w:val="13"/>
                <w:color w:val="auto"/>
              </w:rPr>
            </w:pPr>
          </w:p>
        </w:tc>
        <w:tc>
          <w:tcPr>
            <w:tcW w:w="3200" w:type="dxa"/>
            <w:vAlign w:val="bottom"/>
            <w:gridSpan w:val="2"/>
          </w:tcPr>
          <w:p>
            <w:pPr>
              <w:jc w:val="center"/>
              <w:ind w:left="828"/>
              <w:spacing w:after="0" w:line="153" w:lineRule="exact"/>
              <w:rPr>
                <w:sz w:val="20"/>
                <w:szCs w:val="20"/>
                <w:color w:val="auto"/>
              </w:rPr>
            </w:pPr>
            <w:r>
              <w:rPr>
                <w:rFonts w:ascii="Arial" w:cs="Arial" w:eastAsia="Arial" w:hAnsi="Arial"/>
                <w:sz w:val="14"/>
                <w:szCs w:val="14"/>
                <w:b w:val="1"/>
                <w:bCs w:val="1"/>
                <w:color w:val="auto"/>
                <w:w w:val="93"/>
              </w:rPr>
              <w:t>(857) 760-0900</w:t>
            </w:r>
          </w:p>
        </w:tc>
        <w:tc>
          <w:tcPr>
            <w:tcW w:w="18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4"/>
        </w:trPr>
        <w:tc>
          <w:tcPr>
            <w:tcW w:w="8980" w:type="dxa"/>
            <w:vAlign w:val="bottom"/>
            <w:gridSpan w:val="5"/>
          </w:tcPr>
          <w:p>
            <w:pPr>
              <w:jc w:val="center"/>
              <w:ind w:left="151"/>
              <w:spacing w:after="0"/>
              <w:rPr>
                <w:sz w:val="20"/>
                <w:szCs w:val="20"/>
                <w:color w:val="auto"/>
              </w:rPr>
            </w:pPr>
            <w:r>
              <w:rPr>
                <w:rFonts w:ascii="Arial" w:cs="Arial" w:eastAsia="Arial" w:hAnsi="Arial"/>
                <w:sz w:val="13"/>
                <w:szCs w:val="13"/>
                <w:b w:val="1"/>
                <w:bCs w:val="1"/>
                <w:color w:val="auto"/>
                <w:w w:val="87"/>
              </w:rPr>
              <w:t>(Address, Including Zip Code, and Telephone Number, Including Area Code, of Registrant’s Principal Executive Offices)</w:t>
            </w:r>
          </w:p>
        </w:tc>
      </w:tr>
      <w:tr>
        <w:trPr>
          <w:trHeight w:val="151"/>
        </w:trPr>
        <w:tc>
          <w:tcPr>
            <w:tcW w:w="2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18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46"/>
        </w:trPr>
        <w:tc>
          <w:tcPr>
            <w:tcW w:w="2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40" w:type="dxa"/>
            <w:vAlign w:val="bottom"/>
            <w:gridSpan w:val="2"/>
          </w:tcPr>
          <w:p>
            <w:pPr>
              <w:jc w:val="center"/>
              <w:ind w:right="1820"/>
              <w:spacing w:after="0" w:line="147" w:lineRule="exact"/>
              <w:rPr>
                <w:sz w:val="20"/>
                <w:szCs w:val="20"/>
                <w:color w:val="auto"/>
              </w:rPr>
            </w:pPr>
            <w:r>
              <w:rPr>
                <w:rFonts w:ascii="Arial" w:cs="Arial" w:eastAsia="Arial" w:hAnsi="Arial"/>
                <w:sz w:val="14"/>
                <w:szCs w:val="14"/>
                <w:b w:val="1"/>
                <w:bCs w:val="1"/>
                <w:color w:val="auto"/>
                <w:w w:val="92"/>
              </w:rPr>
              <w:t>Paul Berns</w:t>
            </w:r>
          </w:p>
        </w:tc>
        <w:tc>
          <w:tcPr>
            <w:tcW w:w="140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40" w:type="dxa"/>
            <w:vAlign w:val="bottom"/>
            <w:gridSpan w:val="2"/>
          </w:tcPr>
          <w:p>
            <w:pPr>
              <w:jc w:val="center"/>
              <w:ind w:right="1820"/>
              <w:spacing w:after="0" w:line="149" w:lineRule="exact"/>
              <w:rPr>
                <w:sz w:val="20"/>
                <w:szCs w:val="20"/>
                <w:color w:val="auto"/>
              </w:rPr>
            </w:pPr>
            <w:r>
              <w:rPr>
                <w:rFonts w:ascii="Arial" w:cs="Arial" w:eastAsia="Arial" w:hAnsi="Arial"/>
                <w:sz w:val="14"/>
                <w:szCs w:val="14"/>
                <w:b w:val="1"/>
                <w:bCs w:val="1"/>
                <w:color w:val="auto"/>
                <w:w w:val="93"/>
              </w:rPr>
              <w:t>Chief Executive Officer</w:t>
            </w:r>
          </w:p>
        </w:tc>
        <w:tc>
          <w:tcPr>
            <w:tcW w:w="140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40" w:type="dxa"/>
            <w:vAlign w:val="bottom"/>
            <w:gridSpan w:val="2"/>
          </w:tcPr>
          <w:p>
            <w:pPr>
              <w:jc w:val="center"/>
              <w:ind w:right="1820"/>
              <w:spacing w:after="0" w:line="149" w:lineRule="exact"/>
              <w:rPr>
                <w:sz w:val="20"/>
                <w:szCs w:val="20"/>
                <w:color w:val="auto"/>
              </w:rPr>
            </w:pPr>
            <w:r>
              <w:rPr>
                <w:rFonts w:ascii="Arial" w:cs="Arial" w:eastAsia="Arial" w:hAnsi="Arial"/>
                <w:sz w:val="14"/>
                <w:szCs w:val="14"/>
                <w:b w:val="1"/>
                <w:bCs w:val="1"/>
                <w:color w:val="auto"/>
                <w:w w:val="93"/>
              </w:rPr>
              <w:t>Neumora Therapeutics, Inc.</w:t>
            </w:r>
          </w:p>
        </w:tc>
        <w:tc>
          <w:tcPr>
            <w:tcW w:w="140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40" w:type="dxa"/>
            <w:vAlign w:val="bottom"/>
            <w:gridSpan w:val="2"/>
          </w:tcPr>
          <w:p>
            <w:pPr>
              <w:jc w:val="center"/>
              <w:ind w:right="1820"/>
              <w:spacing w:after="0" w:line="149" w:lineRule="exact"/>
              <w:rPr>
                <w:sz w:val="20"/>
                <w:szCs w:val="20"/>
                <w:color w:val="auto"/>
              </w:rPr>
            </w:pPr>
            <w:r>
              <w:rPr>
                <w:rFonts w:ascii="Arial" w:cs="Arial" w:eastAsia="Arial" w:hAnsi="Arial"/>
                <w:sz w:val="14"/>
                <w:szCs w:val="14"/>
                <w:b w:val="1"/>
                <w:bCs w:val="1"/>
                <w:color w:val="auto"/>
                <w:w w:val="92"/>
              </w:rPr>
              <w:t>65 Grove Street</w:t>
            </w:r>
          </w:p>
        </w:tc>
        <w:tc>
          <w:tcPr>
            <w:tcW w:w="1400" w:type="dxa"/>
            <w:vAlign w:val="bottom"/>
          </w:tcPr>
          <w:p>
            <w:pPr>
              <w:spacing w:after="0"/>
              <w:rPr>
                <w:sz w:val="12"/>
                <w:szCs w:val="12"/>
                <w:color w:val="auto"/>
              </w:rPr>
            </w:pPr>
          </w:p>
        </w:tc>
      </w:tr>
      <w:tr>
        <w:trPr>
          <w:trHeight w:val="148"/>
        </w:trPr>
        <w:tc>
          <w:tcPr>
            <w:tcW w:w="2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40" w:type="dxa"/>
            <w:vAlign w:val="bottom"/>
            <w:gridSpan w:val="2"/>
          </w:tcPr>
          <w:p>
            <w:pPr>
              <w:jc w:val="center"/>
              <w:ind w:right="1820"/>
              <w:spacing w:after="0" w:line="149" w:lineRule="exact"/>
              <w:rPr>
                <w:sz w:val="20"/>
                <w:szCs w:val="20"/>
                <w:color w:val="auto"/>
              </w:rPr>
            </w:pPr>
            <w:r>
              <w:rPr>
                <w:rFonts w:ascii="Arial" w:cs="Arial" w:eastAsia="Arial" w:hAnsi="Arial"/>
                <w:sz w:val="14"/>
                <w:szCs w:val="14"/>
                <w:b w:val="1"/>
                <w:bCs w:val="1"/>
                <w:color w:val="auto"/>
                <w:w w:val="91"/>
              </w:rPr>
              <w:t>Watertown, Massachusetts 02472</w:t>
            </w:r>
          </w:p>
        </w:tc>
        <w:tc>
          <w:tcPr>
            <w:tcW w:w="1400" w:type="dxa"/>
            <w:vAlign w:val="bottom"/>
          </w:tcPr>
          <w:p>
            <w:pPr>
              <w:spacing w:after="0"/>
              <w:rPr>
                <w:sz w:val="12"/>
                <w:szCs w:val="12"/>
                <w:color w:val="auto"/>
              </w:rPr>
            </w:pPr>
          </w:p>
        </w:tc>
      </w:tr>
      <w:tr>
        <w:trPr>
          <w:trHeight w:val="153"/>
        </w:trPr>
        <w:tc>
          <w:tcPr>
            <w:tcW w:w="2560" w:type="dxa"/>
            <w:vAlign w:val="bottom"/>
          </w:tcPr>
          <w:p>
            <w:pPr>
              <w:spacing w:after="0"/>
              <w:rPr>
                <w:sz w:val="13"/>
                <w:szCs w:val="13"/>
                <w:color w:val="auto"/>
              </w:rPr>
            </w:pPr>
          </w:p>
        </w:tc>
        <w:tc>
          <w:tcPr>
            <w:tcW w:w="3200" w:type="dxa"/>
            <w:vAlign w:val="bottom"/>
            <w:gridSpan w:val="2"/>
          </w:tcPr>
          <w:p>
            <w:pPr>
              <w:jc w:val="center"/>
              <w:ind w:left="828"/>
              <w:spacing w:after="0" w:line="153" w:lineRule="exact"/>
              <w:rPr>
                <w:sz w:val="20"/>
                <w:szCs w:val="20"/>
                <w:color w:val="auto"/>
              </w:rPr>
            </w:pPr>
            <w:r>
              <w:rPr>
                <w:rFonts w:ascii="Arial" w:cs="Arial" w:eastAsia="Arial" w:hAnsi="Arial"/>
                <w:sz w:val="14"/>
                <w:szCs w:val="14"/>
                <w:b w:val="1"/>
                <w:bCs w:val="1"/>
                <w:color w:val="auto"/>
                <w:w w:val="93"/>
              </w:rPr>
              <w:t>(857) 760-0900</w:t>
            </w:r>
          </w:p>
        </w:tc>
        <w:tc>
          <w:tcPr>
            <w:tcW w:w="18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4"/>
        </w:trPr>
        <w:tc>
          <w:tcPr>
            <w:tcW w:w="7580" w:type="dxa"/>
            <w:vAlign w:val="bottom"/>
            <w:gridSpan w:val="4"/>
          </w:tcPr>
          <w:p>
            <w:pPr>
              <w:jc w:val="center"/>
              <w:ind w:left="1551"/>
              <w:spacing w:after="0"/>
              <w:rPr>
                <w:sz w:val="20"/>
                <w:szCs w:val="20"/>
                <w:color w:val="auto"/>
              </w:rPr>
            </w:pPr>
            <w:r>
              <w:rPr>
                <w:rFonts w:ascii="Arial" w:cs="Arial" w:eastAsia="Arial" w:hAnsi="Arial"/>
                <w:sz w:val="13"/>
                <w:szCs w:val="13"/>
                <w:b w:val="1"/>
                <w:bCs w:val="1"/>
                <w:color w:val="auto"/>
                <w:w w:val="87"/>
              </w:rPr>
              <w:t>(Name, Address, Including Zip Code, and Telephone Number, Including Area Code, of Agent For Service)</w:t>
            </w:r>
          </w:p>
        </w:tc>
        <w:tc>
          <w:tcPr>
            <w:tcW w:w="1400" w:type="dxa"/>
            <w:vAlign w:val="bottom"/>
          </w:tcPr>
          <w:p>
            <w:pPr>
              <w:spacing w:after="0"/>
              <w:rPr>
                <w:sz w:val="14"/>
                <w:szCs w:val="14"/>
                <w:color w:val="auto"/>
              </w:rPr>
            </w:pPr>
          </w:p>
        </w:tc>
      </w:tr>
      <w:tr>
        <w:trPr>
          <w:trHeight w:val="151"/>
        </w:trPr>
        <w:tc>
          <w:tcPr>
            <w:tcW w:w="2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18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4"/>
        </w:trPr>
        <w:tc>
          <w:tcPr>
            <w:tcW w:w="2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40" w:type="dxa"/>
            <w:vAlign w:val="bottom"/>
            <w:gridSpan w:val="2"/>
          </w:tcPr>
          <w:p>
            <w:pPr>
              <w:jc w:val="center"/>
              <w:ind w:right="1820"/>
              <w:spacing w:after="0"/>
              <w:rPr>
                <w:sz w:val="20"/>
                <w:szCs w:val="20"/>
                <w:color w:val="auto"/>
              </w:rPr>
            </w:pPr>
            <w:r>
              <w:rPr>
                <w:rFonts w:ascii="Arial" w:cs="Arial" w:eastAsia="Arial" w:hAnsi="Arial"/>
                <w:sz w:val="14"/>
                <w:szCs w:val="14"/>
                <w:b w:val="1"/>
                <w:bCs w:val="1"/>
                <w:i w:val="1"/>
                <w:iCs w:val="1"/>
                <w:color w:val="auto"/>
                <w:w w:val="87"/>
              </w:rPr>
              <w:t>Copies to:</w:t>
            </w:r>
          </w:p>
        </w:tc>
        <w:tc>
          <w:tcPr>
            <w:tcW w:w="1400" w:type="dxa"/>
            <w:vAlign w:val="bottom"/>
          </w:tcPr>
          <w:p>
            <w:pPr>
              <w:spacing w:after="0"/>
              <w:rPr>
                <w:sz w:val="16"/>
                <w:szCs w:val="16"/>
                <w:color w:val="auto"/>
              </w:rPr>
            </w:pPr>
          </w:p>
        </w:tc>
      </w:tr>
      <w:tr>
        <w:trPr>
          <w:trHeight w:val="151"/>
        </w:trPr>
        <w:tc>
          <w:tcPr>
            <w:tcW w:w="2560" w:type="dxa"/>
            <w:vAlign w:val="bottom"/>
          </w:tcPr>
          <w:p>
            <w:pPr>
              <w:jc w:val="center"/>
              <w:ind w:right="671"/>
              <w:spacing w:after="0" w:line="151" w:lineRule="exact"/>
              <w:rPr>
                <w:sz w:val="20"/>
                <w:szCs w:val="20"/>
                <w:color w:val="auto"/>
              </w:rPr>
            </w:pPr>
            <w:r>
              <w:rPr>
                <w:rFonts w:ascii="Arial" w:cs="Arial" w:eastAsia="Arial" w:hAnsi="Arial"/>
                <w:sz w:val="14"/>
                <w:szCs w:val="14"/>
                <w:b w:val="1"/>
                <w:bCs w:val="1"/>
                <w:color w:val="auto"/>
                <w:w w:val="95"/>
              </w:rPr>
              <w:t>Brian J. Cuneo</w:t>
            </w:r>
          </w:p>
        </w:tc>
        <w:tc>
          <w:tcPr>
            <w:tcW w:w="880" w:type="dxa"/>
            <w:vAlign w:val="bottom"/>
          </w:tcPr>
          <w:p>
            <w:pPr>
              <w:spacing w:after="0"/>
              <w:rPr>
                <w:sz w:val="13"/>
                <w:szCs w:val="13"/>
                <w:color w:val="auto"/>
              </w:rPr>
            </w:pPr>
          </w:p>
        </w:tc>
        <w:tc>
          <w:tcPr>
            <w:tcW w:w="4140" w:type="dxa"/>
            <w:vAlign w:val="bottom"/>
            <w:gridSpan w:val="2"/>
          </w:tcPr>
          <w:p>
            <w:pPr>
              <w:jc w:val="center"/>
              <w:ind w:right="1680"/>
              <w:spacing w:after="0" w:line="151" w:lineRule="exact"/>
              <w:rPr>
                <w:sz w:val="20"/>
                <w:szCs w:val="20"/>
                <w:color w:val="auto"/>
              </w:rPr>
            </w:pPr>
            <w:r>
              <w:rPr>
                <w:rFonts w:ascii="Arial" w:cs="Arial" w:eastAsia="Arial" w:hAnsi="Arial"/>
                <w:sz w:val="14"/>
                <w:szCs w:val="14"/>
                <w:b w:val="1"/>
                <w:bCs w:val="1"/>
                <w:color w:val="auto"/>
                <w:w w:val="95"/>
              </w:rPr>
              <w:t>Tamara L. Tompkins</w:t>
            </w:r>
          </w:p>
        </w:tc>
        <w:tc>
          <w:tcPr>
            <w:tcW w:w="1400" w:type="dxa"/>
            <w:vAlign w:val="bottom"/>
          </w:tcPr>
          <w:p>
            <w:pPr>
              <w:jc w:val="center"/>
              <w:ind w:left="70"/>
              <w:spacing w:after="0" w:line="151" w:lineRule="exact"/>
              <w:rPr>
                <w:sz w:val="20"/>
                <w:szCs w:val="20"/>
                <w:color w:val="auto"/>
              </w:rPr>
            </w:pPr>
            <w:r>
              <w:rPr>
                <w:rFonts w:ascii="Arial" w:cs="Arial" w:eastAsia="Arial" w:hAnsi="Arial"/>
                <w:sz w:val="14"/>
                <w:szCs w:val="14"/>
                <w:b w:val="1"/>
                <w:bCs w:val="1"/>
                <w:color w:val="auto"/>
                <w:w w:val="95"/>
              </w:rPr>
              <w:t>Charles S. Kim</w:t>
            </w:r>
          </w:p>
        </w:tc>
      </w:tr>
      <w:tr>
        <w:trPr>
          <w:trHeight w:val="148"/>
        </w:trPr>
        <w:tc>
          <w:tcPr>
            <w:tcW w:w="2560" w:type="dxa"/>
            <w:vAlign w:val="bottom"/>
          </w:tcPr>
          <w:p>
            <w:pPr>
              <w:jc w:val="center"/>
              <w:ind w:right="671"/>
              <w:spacing w:after="0" w:line="149" w:lineRule="exact"/>
              <w:rPr>
                <w:sz w:val="20"/>
                <w:szCs w:val="20"/>
                <w:color w:val="auto"/>
              </w:rPr>
            </w:pPr>
            <w:r>
              <w:rPr>
                <w:rFonts w:ascii="Arial" w:cs="Arial" w:eastAsia="Arial" w:hAnsi="Arial"/>
                <w:sz w:val="14"/>
                <w:szCs w:val="14"/>
                <w:b w:val="1"/>
                <w:bCs w:val="1"/>
                <w:color w:val="auto"/>
                <w:w w:val="91"/>
              </w:rPr>
              <w:t>Phillip S. Stoup</w:t>
            </w:r>
          </w:p>
        </w:tc>
        <w:tc>
          <w:tcPr>
            <w:tcW w:w="50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Chief Legal Officer and Corporate Secretary</w:t>
            </w:r>
          </w:p>
        </w:tc>
        <w:tc>
          <w:tcPr>
            <w:tcW w:w="1400" w:type="dxa"/>
            <w:vAlign w:val="bottom"/>
          </w:tcPr>
          <w:p>
            <w:pPr>
              <w:jc w:val="center"/>
              <w:ind w:left="70"/>
              <w:spacing w:after="0" w:line="149" w:lineRule="exact"/>
              <w:rPr>
                <w:sz w:val="20"/>
                <w:szCs w:val="20"/>
                <w:color w:val="auto"/>
              </w:rPr>
            </w:pPr>
            <w:r>
              <w:rPr>
                <w:rFonts w:ascii="Arial" w:cs="Arial" w:eastAsia="Arial" w:hAnsi="Arial"/>
                <w:sz w:val="14"/>
                <w:szCs w:val="14"/>
                <w:b w:val="1"/>
                <w:bCs w:val="1"/>
                <w:color w:val="auto"/>
                <w:w w:val="94"/>
              </w:rPr>
              <w:t>Kristin VanderPas</w:t>
            </w:r>
          </w:p>
        </w:tc>
      </w:tr>
      <w:tr>
        <w:trPr>
          <w:trHeight w:val="148"/>
        </w:trPr>
        <w:tc>
          <w:tcPr>
            <w:tcW w:w="2560" w:type="dxa"/>
            <w:vAlign w:val="bottom"/>
          </w:tcPr>
          <w:p>
            <w:pPr>
              <w:jc w:val="center"/>
              <w:ind w:right="671"/>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880" w:type="dxa"/>
            <w:vAlign w:val="bottom"/>
          </w:tcPr>
          <w:p>
            <w:pPr>
              <w:spacing w:after="0"/>
              <w:rPr>
                <w:sz w:val="12"/>
                <w:szCs w:val="12"/>
                <w:color w:val="auto"/>
              </w:rPr>
            </w:pPr>
          </w:p>
        </w:tc>
        <w:tc>
          <w:tcPr>
            <w:tcW w:w="414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3"/>
              </w:rPr>
              <w:t>Neumora Therapeutics, Inc.</w:t>
            </w:r>
          </w:p>
        </w:tc>
        <w:tc>
          <w:tcPr>
            <w:tcW w:w="1400" w:type="dxa"/>
            <w:vAlign w:val="bottom"/>
          </w:tcPr>
          <w:p>
            <w:pPr>
              <w:jc w:val="center"/>
              <w:ind w:left="70"/>
              <w:spacing w:after="0" w:line="149" w:lineRule="exact"/>
              <w:rPr>
                <w:sz w:val="20"/>
                <w:szCs w:val="20"/>
                <w:color w:val="auto"/>
              </w:rPr>
            </w:pPr>
            <w:r>
              <w:rPr>
                <w:rFonts w:ascii="Arial" w:cs="Arial" w:eastAsia="Arial" w:hAnsi="Arial"/>
                <w:sz w:val="14"/>
                <w:szCs w:val="14"/>
                <w:b w:val="1"/>
                <w:bCs w:val="1"/>
                <w:color w:val="auto"/>
                <w:w w:val="89"/>
              </w:rPr>
              <w:t>Dave Peinsipp</w:t>
            </w:r>
          </w:p>
        </w:tc>
      </w:tr>
      <w:tr>
        <w:trPr>
          <w:trHeight w:val="149"/>
        </w:trPr>
        <w:tc>
          <w:tcPr>
            <w:tcW w:w="2560" w:type="dxa"/>
            <w:vAlign w:val="bottom"/>
          </w:tcPr>
          <w:p>
            <w:pPr>
              <w:jc w:val="center"/>
              <w:ind w:right="671"/>
              <w:spacing w:after="0" w:line="149" w:lineRule="exact"/>
              <w:rPr>
                <w:sz w:val="20"/>
                <w:szCs w:val="20"/>
                <w:color w:val="auto"/>
              </w:rPr>
            </w:pPr>
            <w:r>
              <w:rPr>
                <w:rFonts w:ascii="Arial" w:cs="Arial" w:eastAsia="Arial" w:hAnsi="Arial"/>
                <w:sz w:val="14"/>
                <w:szCs w:val="14"/>
                <w:b w:val="1"/>
                <w:bCs w:val="1"/>
                <w:color w:val="auto"/>
                <w:w w:val="92"/>
              </w:rPr>
              <w:t>140 Scott Drive</w:t>
            </w:r>
          </w:p>
        </w:tc>
        <w:tc>
          <w:tcPr>
            <w:tcW w:w="880" w:type="dxa"/>
            <w:vAlign w:val="bottom"/>
          </w:tcPr>
          <w:p>
            <w:pPr>
              <w:spacing w:after="0"/>
              <w:rPr>
                <w:sz w:val="12"/>
                <w:szCs w:val="12"/>
                <w:color w:val="auto"/>
              </w:rPr>
            </w:pPr>
          </w:p>
        </w:tc>
        <w:tc>
          <w:tcPr>
            <w:tcW w:w="414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2"/>
              </w:rPr>
              <w:t>65 Grove Street</w:t>
            </w:r>
          </w:p>
        </w:tc>
        <w:tc>
          <w:tcPr>
            <w:tcW w:w="1400" w:type="dxa"/>
            <w:vAlign w:val="bottom"/>
          </w:tcPr>
          <w:p>
            <w:pPr>
              <w:jc w:val="center"/>
              <w:ind w:left="70"/>
              <w:spacing w:after="0" w:line="149" w:lineRule="exact"/>
              <w:rPr>
                <w:sz w:val="20"/>
                <w:szCs w:val="20"/>
                <w:color w:val="auto"/>
              </w:rPr>
            </w:pPr>
            <w:r>
              <w:rPr>
                <w:rFonts w:ascii="Arial" w:cs="Arial" w:eastAsia="Arial" w:hAnsi="Arial"/>
                <w:sz w:val="14"/>
                <w:szCs w:val="14"/>
                <w:b w:val="1"/>
                <w:bCs w:val="1"/>
                <w:color w:val="auto"/>
                <w:w w:val="96"/>
              </w:rPr>
              <w:t>Denny Won</w:t>
            </w:r>
          </w:p>
        </w:tc>
      </w:tr>
      <w:tr>
        <w:trPr>
          <w:trHeight w:val="148"/>
        </w:trPr>
        <w:tc>
          <w:tcPr>
            <w:tcW w:w="2560" w:type="dxa"/>
            <w:vAlign w:val="bottom"/>
          </w:tcPr>
          <w:p>
            <w:pPr>
              <w:jc w:val="center"/>
              <w:ind w:right="671"/>
              <w:spacing w:after="0" w:line="149" w:lineRule="exact"/>
              <w:rPr>
                <w:sz w:val="20"/>
                <w:szCs w:val="20"/>
                <w:color w:val="auto"/>
              </w:rPr>
            </w:pPr>
            <w:r>
              <w:rPr>
                <w:rFonts w:ascii="Arial" w:cs="Arial" w:eastAsia="Arial" w:hAnsi="Arial"/>
                <w:sz w:val="14"/>
                <w:szCs w:val="14"/>
                <w:b w:val="1"/>
                <w:bCs w:val="1"/>
                <w:color w:val="auto"/>
                <w:w w:val="95"/>
              </w:rPr>
              <w:t>Menlo Park, California 94025</w:t>
            </w:r>
          </w:p>
        </w:tc>
        <w:tc>
          <w:tcPr>
            <w:tcW w:w="880" w:type="dxa"/>
            <w:vAlign w:val="bottom"/>
          </w:tcPr>
          <w:p>
            <w:pPr>
              <w:spacing w:after="0"/>
              <w:rPr>
                <w:sz w:val="12"/>
                <w:szCs w:val="12"/>
                <w:color w:val="auto"/>
              </w:rPr>
            </w:pPr>
          </w:p>
        </w:tc>
        <w:tc>
          <w:tcPr>
            <w:tcW w:w="4140" w:type="dxa"/>
            <w:vAlign w:val="bottom"/>
            <w:gridSpan w:val="2"/>
          </w:tcPr>
          <w:p>
            <w:pPr>
              <w:jc w:val="center"/>
              <w:ind w:right="1700"/>
              <w:spacing w:after="0" w:line="149" w:lineRule="exact"/>
              <w:rPr>
                <w:sz w:val="20"/>
                <w:szCs w:val="20"/>
                <w:color w:val="auto"/>
              </w:rPr>
            </w:pPr>
            <w:r>
              <w:rPr>
                <w:rFonts w:ascii="Arial" w:cs="Arial" w:eastAsia="Arial" w:hAnsi="Arial"/>
                <w:sz w:val="14"/>
                <w:szCs w:val="14"/>
                <w:b w:val="1"/>
                <w:bCs w:val="1"/>
                <w:color w:val="auto"/>
                <w:w w:val="91"/>
              </w:rPr>
              <w:t>Watertown, Massachusetts 02472</w:t>
            </w:r>
          </w:p>
        </w:tc>
        <w:tc>
          <w:tcPr>
            <w:tcW w:w="1400" w:type="dxa"/>
            <w:vAlign w:val="bottom"/>
          </w:tcPr>
          <w:p>
            <w:pPr>
              <w:jc w:val="center"/>
              <w:ind w:left="70"/>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64"/>
        </w:trPr>
        <w:tc>
          <w:tcPr>
            <w:tcW w:w="2560" w:type="dxa"/>
            <w:vAlign w:val="bottom"/>
          </w:tcPr>
          <w:p>
            <w:pPr>
              <w:jc w:val="center"/>
              <w:ind w:right="671"/>
              <w:spacing w:after="0"/>
              <w:rPr>
                <w:sz w:val="20"/>
                <w:szCs w:val="20"/>
                <w:color w:val="auto"/>
              </w:rPr>
            </w:pPr>
            <w:r>
              <w:rPr>
                <w:rFonts w:ascii="Arial" w:cs="Arial" w:eastAsia="Arial" w:hAnsi="Arial"/>
                <w:sz w:val="14"/>
                <w:szCs w:val="14"/>
                <w:b w:val="1"/>
                <w:bCs w:val="1"/>
                <w:color w:val="auto"/>
                <w:w w:val="93"/>
              </w:rPr>
              <w:t>(650) 328-4600</w:t>
            </w:r>
          </w:p>
        </w:tc>
        <w:tc>
          <w:tcPr>
            <w:tcW w:w="320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3"/>
              </w:rPr>
              <w:t>(857) 760-0900</w:t>
            </w:r>
          </w:p>
        </w:tc>
        <w:tc>
          <w:tcPr>
            <w:tcW w:w="1820" w:type="dxa"/>
            <w:vAlign w:val="bottom"/>
          </w:tcPr>
          <w:p>
            <w:pPr>
              <w:spacing w:after="0"/>
              <w:rPr>
                <w:sz w:val="14"/>
                <w:szCs w:val="14"/>
                <w:color w:val="auto"/>
              </w:rPr>
            </w:pPr>
          </w:p>
        </w:tc>
        <w:tc>
          <w:tcPr>
            <w:tcW w:w="1400" w:type="dxa"/>
            <w:vAlign w:val="bottom"/>
          </w:tcPr>
          <w:p>
            <w:pPr>
              <w:jc w:val="center"/>
              <w:ind w:left="70"/>
              <w:spacing w:after="0"/>
              <w:rPr>
                <w:sz w:val="20"/>
                <w:szCs w:val="20"/>
                <w:color w:val="auto"/>
              </w:rPr>
            </w:pPr>
            <w:r>
              <w:rPr>
                <w:rFonts w:ascii="Arial" w:cs="Arial" w:eastAsia="Arial" w:hAnsi="Arial"/>
                <w:sz w:val="14"/>
                <w:szCs w:val="14"/>
                <w:b w:val="1"/>
                <w:bCs w:val="1"/>
                <w:color w:val="auto"/>
                <w:w w:val="94"/>
              </w:rPr>
              <w:t>4401 Eastgate Mall</w:t>
            </w:r>
          </w:p>
        </w:tc>
      </w:tr>
    </w:tbl>
    <w:p>
      <w:pPr>
        <w:jc w:val="center"/>
        <w:ind w:left="7480"/>
        <w:spacing w:after="0" w:line="221" w:lineRule="auto"/>
        <w:rPr>
          <w:sz w:val="20"/>
          <w:szCs w:val="20"/>
          <w:color w:val="auto"/>
        </w:rPr>
      </w:pPr>
      <w:r>
        <w:rPr>
          <w:rFonts w:ascii="Arial" w:cs="Arial" w:eastAsia="Arial" w:hAnsi="Arial"/>
          <w:sz w:val="14"/>
          <w:szCs w:val="14"/>
          <w:b w:val="1"/>
          <w:bCs w:val="1"/>
          <w:color w:val="auto"/>
        </w:rPr>
        <w:t>San Diego, California 92121</w:t>
      </w:r>
    </w:p>
    <w:p>
      <w:pPr>
        <w:jc w:val="center"/>
        <w:ind w:left="7480"/>
        <w:spacing w:after="0"/>
        <w:rPr>
          <w:sz w:val="20"/>
          <w:szCs w:val="20"/>
          <w:color w:val="auto"/>
        </w:rPr>
      </w:pPr>
      <w:r>
        <w:rPr>
          <w:rFonts w:ascii="Arial" w:cs="Arial" w:eastAsia="Arial" w:hAnsi="Arial"/>
          <w:sz w:val="14"/>
          <w:szCs w:val="14"/>
          <w:b w:val="1"/>
          <w:bCs w:val="1"/>
          <w:color w:val="auto"/>
        </w:rPr>
        <w:t>(858) 550-6000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6" w:lineRule="exact"/>
        <w:rPr>
          <w:sz w:val="24"/>
          <w:szCs w:val="24"/>
          <w:color w:val="auto"/>
        </w:rPr>
      </w:pPr>
    </w:p>
    <w:p>
      <w:pPr>
        <w:ind w:left="56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75" w:lineRule="exact"/>
        <w:rPr>
          <w:sz w:val="24"/>
          <w:szCs w:val="24"/>
          <w:color w:val="auto"/>
        </w:rPr>
      </w:pPr>
    </w:p>
    <w:p>
      <w:pPr>
        <w:ind w:left="120" w:right="100"/>
        <w:spacing w:after="0" w:line="21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2" w:lineRule="exact"/>
        <w:rPr>
          <w:sz w:val="24"/>
          <w:szCs w:val="24"/>
          <w:color w:val="auto"/>
        </w:rPr>
      </w:pPr>
    </w:p>
    <w:p>
      <w:pPr>
        <w:ind w:left="120"/>
        <w:spacing w:after="0" w:line="217"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120" w:right="580"/>
        <w:spacing w:after="0" w:line="216"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2" w:lineRule="exact"/>
        <w:rPr>
          <w:sz w:val="24"/>
          <w:szCs w:val="24"/>
          <w:color w:val="auto"/>
        </w:rPr>
      </w:pPr>
    </w:p>
    <w:p>
      <w:pPr>
        <w:ind w:left="120" w:right="560"/>
        <w:spacing w:after="0" w:line="217"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2" w:lineRule="exact"/>
        <w:rPr>
          <w:sz w:val="24"/>
          <w:szCs w:val="24"/>
          <w:color w:val="auto"/>
        </w:rPr>
      </w:pPr>
    </w:p>
    <w:p>
      <w:pPr>
        <w:ind w:left="120"/>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8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8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260" w:type="dxa"/>
            <w:vAlign w:val="bottom"/>
          </w:tcPr>
          <w:p>
            <w:pPr>
              <w:ind w:left="328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ind w:left="120" w:right="30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116840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2" w:lineRule="exact"/>
        <w:rPr>
          <w:sz w:val="24"/>
          <w:szCs w:val="24"/>
          <w:color w:val="auto"/>
        </w:rPr>
      </w:pPr>
    </w:p>
    <w:p>
      <w:pPr>
        <w:ind w:left="120" w:right="16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60"/>
          </w:cols>
          <w:pgMar w:left="320" w:top="230"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0" w:lineRule="exact"/>
        <w:rPr>
          <w:sz w:val="20"/>
          <w:szCs w:val="20"/>
          <w:color w:val="auto"/>
        </w:rPr>
      </w:pPr>
    </w:p>
    <w:tbl>
      <w:tblPr>
        <w:tblLayout w:type="fixed"/>
        <w:tblInd w:w="348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b w:val="1"/>
                <w:bCs w:val="1"/>
                <w:color w:val="FF4338"/>
              </w:rPr>
              <w:t>SUBJECT TO COMPLETION, DATED</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FF4338"/>
              </w:rPr>
              <w:t>, 2022</w:t>
            </w:r>
          </w:p>
        </w:tc>
      </w:tr>
    </w:tbl>
    <w:p>
      <w:pPr>
        <w:spacing w:after="0" w:line="283" w:lineRule="exact"/>
        <w:rPr>
          <w:sz w:val="20"/>
          <w:szCs w:val="20"/>
          <w:color w:val="auto"/>
        </w:rPr>
      </w:pPr>
    </w:p>
    <w:p>
      <w:pPr>
        <w:ind w:left="600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255270</wp:posOffset>
            </wp:positionV>
            <wp:extent cx="255460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328930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is an initial public offering of shares of common stock of Neumora Therapeutics, Inc.</w:t>
      </w:r>
    </w:p>
    <w:p>
      <w:pPr>
        <w:spacing w:after="0" w:line="33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6"/>
          <w:szCs w:val="16"/>
          <w:color w:val="auto"/>
        </w:rPr>
        <w:t>shares of our common stock. Prior to this offering, there has been no public market for our common stock. It is currently</w:t>
      </w:r>
    </w:p>
    <w:p>
      <w:pPr>
        <w:spacing w:after="0" w:line="23" w:lineRule="exact"/>
        <w:rPr>
          <w:sz w:val="20"/>
          <w:szCs w:val="20"/>
          <w:color w:val="auto"/>
        </w:rPr>
      </w:pPr>
    </w:p>
    <w:p>
      <w:pPr>
        <w:ind w:left="120"/>
        <w:spacing w:after="0"/>
        <w:tabs>
          <w:tab w:leader="none" w:pos="6140" w:val="left"/>
          <w:tab w:leader="none" w:pos="7300" w:val="left"/>
        </w:tabs>
        <w:rPr>
          <w:sz w:val="20"/>
          <w:szCs w:val="20"/>
          <w:color w:val="auto"/>
        </w:rPr>
      </w:pPr>
      <w:r>
        <w:rPr>
          <w:rFonts w:ascii="Arial" w:cs="Arial" w:eastAsia="Arial" w:hAnsi="Arial"/>
          <w:sz w:val="18"/>
          <w:szCs w:val="18"/>
          <w:color w:val="auto"/>
        </w:rPr>
        <w:t>estimated that the initial public offering price per share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of common stock. We intend to apply to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list our common stock on the Nasdaq Global Market under the symbol “NMRA.”</w:t>
      </w:r>
    </w:p>
    <w:p>
      <w:pPr>
        <w:spacing w:after="0" w:line="31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We are an emerging growth company under the federal securities laws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280035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Investing in our common stock involves a high degree of risk. See the section titled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14.</w:t>
      </w:r>
    </w:p>
    <w:p>
      <w:pPr>
        <w:spacing w:after="0" w:line="35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040" w:type="dxa"/>
            <w:vAlign w:val="bottom"/>
          </w:tcPr>
          <w:p>
            <w:pPr>
              <w:jc w:val="right"/>
              <w:ind w:right="337"/>
              <w:spacing w:after="0"/>
              <w:rPr>
                <w:sz w:val="20"/>
                <w:szCs w:val="20"/>
                <w:color w:val="auto"/>
              </w:rPr>
            </w:pPr>
            <w:r>
              <w:rPr>
                <w:rFonts w:ascii="Arial" w:cs="Arial" w:eastAsia="Arial" w:hAnsi="Arial"/>
                <w:sz w:val="14"/>
                <w:szCs w:val="14"/>
                <w:b w:val="1"/>
                <w:bCs w:val="1"/>
                <w:color w:val="auto"/>
              </w:rPr>
              <w:t>Per</w:t>
            </w:r>
          </w:p>
        </w:tc>
        <w:tc>
          <w:tcPr>
            <w:tcW w:w="280" w:type="dxa"/>
            <w:vAlign w:val="bottom"/>
          </w:tcPr>
          <w:p>
            <w:pPr>
              <w:spacing w:after="0"/>
              <w:rPr>
                <w:sz w:val="14"/>
                <w:szCs w:val="14"/>
                <w:color w:val="auto"/>
              </w:rPr>
            </w:pPr>
          </w:p>
        </w:tc>
        <w:tc>
          <w:tcPr>
            <w:tcW w:w="11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1040" w:type="dxa"/>
            <w:vAlign w:val="bottom"/>
          </w:tcPr>
          <w:p>
            <w:pPr>
              <w:jc w:val="right"/>
              <w:ind w:right="257"/>
              <w:spacing w:after="0"/>
              <w:rPr>
                <w:sz w:val="20"/>
                <w:szCs w:val="20"/>
                <w:color w:val="auto"/>
              </w:rPr>
            </w:pPr>
            <w:r>
              <w:rPr>
                <w:rFonts w:ascii="Arial" w:cs="Arial" w:eastAsia="Arial" w:hAnsi="Arial"/>
                <w:sz w:val="14"/>
                <w:szCs w:val="14"/>
                <w:b w:val="1"/>
                <w:bCs w:val="1"/>
                <w:color w:val="auto"/>
              </w:rPr>
              <w:t>Share</w:t>
            </w: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040" w:type="dxa"/>
            <w:vAlign w:val="bottom"/>
            <w:tcBorders>
              <w:top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8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the estimated underwriting discounts and commissions and estimated offering expenses.</w:t>
      </w:r>
    </w:p>
    <w:p>
      <w:pPr>
        <w:spacing w:after="0" w:line="316" w:lineRule="exact"/>
        <w:rPr>
          <w:sz w:val="20"/>
          <w:szCs w:val="20"/>
          <w:color w:val="auto"/>
        </w:rPr>
      </w:pPr>
    </w:p>
    <w:p>
      <w:pPr>
        <w:ind w:left="120"/>
        <w:spacing w:after="0"/>
        <w:tabs>
          <w:tab w:leader="none" w:pos="7980" w:val="left"/>
        </w:tabs>
        <w:rPr>
          <w:sz w:val="20"/>
          <w:szCs w:val="20"/>
          <w:color w:val="auto"/>
        </w:rPr>
      </w:pPr>
      <w:r>
        <w:rPr>
          <w:rFonts w:ascii="Arial" w:cs="Arial" w:eastAsia="Arial" w:hAnsi="Arial"/>
          <w:sz w:val="18"/>
          <w:szCs w:val="18"/>
          <w:color w:val="auto"/>
        </w:rPr>
        <w:t>We have granted the underwriters an option for a period of 30 days to purchase up to an additional</w:t>
      </w:r>
      <w:r>
        <w:rPr>
          <w:sz w:val="20"/>
          <w:szCs w:val="20"/>
          <w:color w:val="auto"/>
        </w:rPr>
        <w:tab/>
      </w:r>
      <w:r>
        <w:rPr>
          <w:rFonts w:ascii="Arial" w:cs="Arial" w:eastAsia="Arial" w:hAnsi="Arial"/>
          <w:sz w:val="16"/>
          <w:szCs w:val="16"/>
          <w:color w:val="auto"/>
        </w:rPr>
        <w:t>shares of our common stock.</w:t>
      </w:r>
    </w:p>
    <w:p>
      <w:pPr>
        <w:spacing w:after="0" w:line="333" w:lineRule="exact"/>
        <w:rPr>
          <w:sz w:val="20"/>
          <w:szCs w:val="20"/>
          <w:color w:val="auto"/>
        </w:rPr>
      </w:pPr>
    </w:p>
    <w:p>
      <w:pPr>
        <w:ind w:left="120"/>
        <w:spacing w:after="0"/>
        <w:tabs>
          <w:tab w:leader="none" w:pos="7340" w:val="left"/>
        </w:tabs>
        <w:rPr>
          <w:sz w:val="20"/>
          <w:szCs w:val="20"/>
          <w:color w:val="auto"/>
        </w:rPr>
      </w:pPr>
      <w:r>
        <w:rPr>
          <w:rFonts w:ascii="Arial" w:cs="Arial" w:eastAsia="Arial" w:hAnsi="Arial"/>
          <w:sz w:val="18"/>
          <w:szCs w:val="18"/>
          <w:color w:val="auto"/>
        </w:rPr>
        <w:t>The underwriters expect to deliver the shares against payment in New York, New York on</w:t>
      </w:r>
      <w:r>
        <w:rPr>
          <w:sz w:val="20"/>
          <w:szCs w:val="20"/>
          <w:color w:val="auto"/>
        </w:rPr>
        <w:tab/>
      </w:r>
      <w:r>
        <w:rPr>
          <w:rFonts w:ascii="Arial" w:cs="Arial" w:eastAsia="Arial" w:hAnsi="Arial"/>
          <w:sz w:val="16"/>
          <w:szCs w:val="16"/>
          <w:color w:val="auto"/>
        </w:rPr>
        <w:t>, 2022.</w:t>
      </w:r>
    </w:p>
    <w:p>
      <w:pPr>
        <w:spacing w:after="0" w:line="329"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271780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spacing w:after="0"/>
        <w:tabs>
          <w:tab w:leader="none" w:pos="2380" w:val="left"/>
          <w:tab w:leader="none" w:pos="5300" w:val="left"/>
          <w:tab w:leader="none" w:pos="6920" w:val="left"/>
          <w:tab w:leader="none" w:pos="898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BofA Securities</w:t>
      </w:r>
      <w:r>
        <w:rPr>
          <w:sz w:val="20"/>
          <w:szCs w:val="20"/>
          <w:color w:val="auto"/>
        </w:rPr>
        <w:tab/>
      </w:r>
      <w:r>
        <w:rPr>
          <w:rFonts w:ascii="Arial" w:cs="Arial" w:eastAsia="Arial" w:hAnsi="Arial"/>
          <w:sz w:val="22"/>
          <w:szCs w:val="22"/>
          <w:b w:val="1"/>
          <w:bCs w:val="1"/>
          <w:color w:val="auto"/>
        </w:rPr>
        <w:t>Credit Suisse</w:t>
      </w:r>
      <w:r>
        <w:rPr>
          <w:sz w:val="20"/>
          <w:szCs w:val="20"/>
          <w:color w:val="auto"/>
        </w:rPr>
        <w:tab/>
      </w:r>
      <w:r>
        <w:rPr>
          <w:rFonts w:ascii="Arial" w:cs="Arial" w:eastAsia="Arial" w:hAnsi="Arial"/>
          <w:sz w:val="22"/>
          <w:szCs w:val="22"/>
          <w:b w:val="1"/>
          <w:bCs w:val="1"/>
          <w:color w:val="auto"/>
        </w:rPr>
        <w:t>Stifel</w:t>
      </w:r>
      <w:r>
        <w:rPr>
          <w:sz w:val="20"/>
          <w:szCs w:val="20"/>
          <w:color w:val="auto"/>
        </w:rPr>
        <w:tab/>
      </w:r>
      <w:r>
        <w:rPr>
          <w:rFonts w:ascii="Arial" w:cs="Arial" w:eastAsia="Arial" w:hAnsi="Arial"/>
          <w:sz w:val="19"/>
          <w:szCs w:val="19"/>
          <w:b w:val="1"/>
          <w:bCs w:val="1"/>
          <w:color w:val="auto"/>
        </w:rPr>
        <w:t>Guggenheim Securities</w:t>
      </w:r>
    </w:p>
    <w:p>
      <w:pPr>
        <w:sectPr>
          <w:pgSz w:w="11900" w:h="16838" w:orient="portrait"/>
          <w:cols w:equalWidth="0" w:num="1">
            <w:col w:w="11140"/>
          </w:cols>
          <w:pgMar w:left="320" w:top="459" w:right="439" w:bottom="1440" w:gutter="0" w:footer="0" w:header="0"/>
        </w:sectPr>
      </w:pPr>
    </w:p>
    <w:p>
      <w:pPr>
        <w:spacing w:after="0" w:line="323"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 2022</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gridSpan w:val="13"/>
            <w:vMerge w:val="restart"/>
          </w:tcPr>
          <w:p>
            <w:pPr>
              <w:spacing w:after="0"/>
              <w:rPr>
                <w:sz w:val="20"/>
                <w:szCs w:val="20"/>
                <w:color w:val="auto"/>
              </w:rPr>
            </w:pPr>
            <w:r>
              <w:rPr>
                <w:rFonts w:ascii="Arial" w:cs="Arial" w:eastAsia="Arial" w:hAnsi="Arial"/>
                <w:sz w:val="18"/>
                <w:szCs w:val="18"/>
                <w:color w:val="0000EE"/>
              </w:rPr>
              <w:t>Prospectus Summary</w:t>
            </w: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Page</w:t>
            </w:r>
          </w:p>
        </w:tc>
        <w:tc>
          <w:tcPr>
            <w:tcW w:w="5000" w:type="dxa"/>
            <w:vAlign w:val="bottom"/>
            <w:gridSpan w:val="14"/>
            <w:vMerge w:val="restart"/>
          </w:tcPr>
          <w:p>
            <w:pPr>
              <w:spacing w:after="0"/>
              <w:rPr>
                <w:sz w:val="20"/>
                <w:szCs w:val="20"/>
                <w:color w:val="auto"/>
              </w:rPr>
            </w:pPr>
            <w:r>
              <w:rPr>
                <w:rFonts w:ascii="Arial" w:cs="Arial" w:eastAsia="Arial" w:hAnsi="Arial"/>
                <w:sz w:val="18"/>
                <w:szCs w:val="18"/>
                <w:color w:val="0000EE"/>
              </w:rPr>
              <w:t>Management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5"/>
        </w:trPr>
        <w:tc>
          <w:tcPr>
            <w:tcW w:w="4880" w:type="dxa"/>
            <w:vAlign w:val="bottom"/>
            <w:gridSpan w:val="1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20" w:type="dxa"/>
            <w:vAlign w:val="bottom"/>
          </w:tcPr>
          <w:p>
            <w:pPr>
              <w:spacing w:after="0"/>
              <w:rPr>
                <w:sz w:val="13"/>
                <w:szCs w:val="13"/>
                <w:color w:val="auto"/>
              </w:rPr>
            </w:pPr>
          </w:p>
        </w:tc>
        <w:tc>
          <w:tcPr>
            <w:tcW w:w="5000" w:type="dxa"/>
            <w:vAlign w:val="bottom"/>
            <w:gridSpan w:val="14"/>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20" w:type="dxa"/>
            <w:vAlign w:val="bottom"/>
            <w:gridSpan w:val="7"/>
          </w:tcPr>
          <w:p>
            <w:pPr>
              <w:spacing w:after="0"/>
              <w:rPr>
                <w:sz w:val="20"/>
                <w:szCs w:val="20"/>
                <w:color w:val="auto"/>
              </w:rPr>
            </w:pPr>
            <w:r>
              <w:rPr>
                <w:rFonts w:ascii="Arial" w:cs="Arial" w:eastAsia="Arial" w:hAnsi="Arial"/>
                <w:sz w:val="18"/>
                <w:szCs w:val="18"/>
                <w:color w:val="0000EE"/>
              </w:rPr>
              <w:t>The Offering</w:t>
            </w:r>
          </w:p>
        </w:tc>
        <w:tc>
          <w:tcPr>
            <w:tcW w:w="3360" w:type="dxa"/>
            <w:vAlign w:val="bottom"/>
            <w:gridSpan w:val="6"/>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5000" w:type="dxa"/>
            <w:vAlign w:val="bottom"/>
            <w:gridSpan w:val="14"/>
          </w:tcPr>
          <w:p>
            <w:pPr>
              <w:spacing w:after="0"/>
              <w:rPr>
                <w:sz w:val="20"/>
                <w:szCs w:val="20"/>
                <w:color w:val="auto"/>
              </w:rPr>
            </w:pPr>
            <w:r>
              <w:rPr>
                <w:rFonts w:ascii="Arial" w:cs="Arial" w:eastAsia="Arial" w:hAnsi="Arial"/>
                <w:sz w:val="18"/>
                <w:szCs w:val="18"/>
                <w:color w:val="0000EE"/>
              </w:rPr>
              <w:t>Director Compensation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gridSpan w:val="10"/>
          </w:tcPr>
          <w:p>
            <w:pPr>
              <w:spacing w:after="0" w:line="196" w:lineRule="exact"/>
              <w:rPr>
                <w:sz w:val="20"/>
                <w:szCs w:val="20"/>
                <w:color w:val="auto"/>
              </w:rPr>
            </w:pPr>
            <w:r>
              <w:rPr>
                <w:rFonts w:ascii="Arial" w:cs="Arial" w:eastAsia="Arial" w:hAnsi="Arial"/>
                <w:sz w:val="18"/>
                <w:szCs w:val="18"/>
                <w:color w:val="0000EE"/>
                <w:w w:val="90"/>
              </w:rPr>
              <w:t>Summary Consolidated Financial Data</w:t>
            </w:r>
          </w:p>
        </w:tc>
        <w:tc>
          <w:tcPr>
            <w:tcW w:w="2080" w:type="dxa"/>
            <w:vAlign w:val="bottom"/>
            <w:gridSpan w:val="3"/>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12</w:t>
            </w:r>
          </w:p>
        </w:tc>
        <w:tc>
          <w:tcPr>
            <w:tcW w:w="5000" w:type="dxa"/>
            <w:vAlign w:val="bottom"/>
            <w:gridSpan w:val="14"/>
          </w:tcPr>
          <w:p>
            <w:pPr>
              <w:spacing w:after="0" w:line="196" w:lineRule="exact"/>
              <w:rPr>
                <w:sz w:val="20"/>
                <w:szCs w:val="20"/>
                <w:color w:val="auto"/>
              </w:rPr>
            </w:pPr>
            <w:r>
              <w:rPr>
                <w:rFonts w:ascii="Arial" w:cs="Arial" w:eastAsia="Arial" w:hAnsi="Arial"/>
                <w:sz w:val="18"/>
                <w:szCs w:val="18"/>
                <w:color w:val="0000EE"/>
              </w:rPr>
              <w:t>Executive Compensation</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gridSpan w:val="10"/>
          </w:tcPr>
          <w:p>
            <w:pPr>
              <w:spacing w:after="0" w:line="196" w:lineRule="exact"/>
              <w:rPr>
                <w:sz w:val="20"/>
                <w:szCs w:val="20"/>
                <w:color w:val="auto"/>
              </w:rPr>
            </w:pPr>
            <w:r>
              <w:rPr>
                <w:rFonts w:ascii="Arial" w:cs="Arial" w:eastAsia="Arial" w:hAnsi="Arial"/>
                <w:sz w:val="18"/>
                <w:szCs w:val="18"/>
                <w:color w:val="0000EE"/>
              </w:rPr>
              <w:t>Risk Factors</w:t>
            </w:r>
          </w:p>
        </w:tc>
        <w:tc>
          <w:tcPr>
            <w:tcW w:w="2080" w:type="dxa"/>
            <w:vAlign w:val="bottom"/>
            <w:gridSpan w:val="3"/>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14</w:t>
            </w:r>
          </w:p>
        </w:tc>
        <w:tc>
          <w:tcPr>
            <w:tcW w:w="5000" w:type="dxa"/>
            <w:vAlign w:val="bottom"/>
            <w:gridSpan w:val="14"/>
          </w:tcPr>
          <w:p>
            <w:pPr>
              <w:spacing w:after="0" w:line="196" w:lineRule="exact"/>
              <w:rPr>
                <w:sz w:val="20"/>
                <w:szCs w:val="20"/>
                <w:color w:val="auto"/>
              </w:rPr>
            </w:pPr>
            <w:r>
              <w:rPr>
                <w:rFonts w:ascii="Arial" w:cs="Arial" w:eastAsia="Arial" w:hAnsi="Arial"/>
                <w:sz w:val="18"/>
                <w:szCs w:val="18"/>
                <w:color w:val="0000EE"/>
              </w:rPr>
              <w:t>Certain Relationships and Related-Party Transactions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Special Note Regarding Forward-Looking Statements</w:t>
            </w:r>
          </w:p>
        </w:tc>
        <w:tc>
          <w:tcPr>
            <w:tcW w:w="1000" w:type="dxa"/>
            <w:vAlign w:val="bottom"/>
            <w:gridSpan w:val="2"/>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83</w:t>
            </w:r>
          </w:p>
        </w:tc>
        <w:tc>
          <w:tcPr>
            <w:tcW w:w="16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Principal Stockholders</w:t>
            </w:r>
          </w:p>
        </w:tc>
        <w:tc>
          <w:tcPr>
            <w:tcW w:w="332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195</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Industry and Market Data</w:t>
            </w:r>
          </w:p>
        </w:tc>
        <w:tc>
          <w:tcPr>
            <w:tcW w:w="3020" w:type="dxa"/>
            <w:vAlign w:val="bottom"/>
            <w:gridSpan w:val="5"/>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85</w:t>
            </w:r>
          </w:p>
        </w:tc>
        <w:tc>
          <w:tcPr>
            <w:tcW w:w="20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Description of Capital Stock</w:t>
            </w:r>
          </w:p>
        </w:tc>
        <w:tc>
          <w:tcPr>
            <w:tcW w:w="29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198</w:t>
            </w:r>
          </w:p>
        </w:tc>
        <w:tc>
          <w:tcPr>
            <w:tcW w:w="0" w:type="dxa"/>
            <w:vAlign w:val="bottom"/>
          </w:tcPr>
          <w:p>
            <w:pPr>
              <w:spacing w:after="0"/>
              <w:rPr>
                <w:sz w:val="1"/>
                <w:szCs w:val="1"/>
                <w:color w:val="auto"/>
              </w:rPr>
            </w:pPr>
          </w:p>
        </w:tc>
      </w:tr>
      <w:tr>
        <w:trPr>
          <w:trHeight w:val="196"/>
        </w:trPr>
        <w:tc>
          <w:tcPr>
            <w:tcW w:w="4880" w:type="dxa"/>
            <w:vAlign w:val="bottom"/>
            <w:gridSpan w:val="13"/>
          </w:tcPr>
          <w:p>
            <w:pPr>
              <w:spacing w:after="0" w:line="196" w:lineRule="exact"/>
              <w:rPr>
                <w:sz w:val="20"/>
                <w:szCs w:val="20"/>
                <w:color w:val="auto"/>
              </w:rPr>
            </w:pPr>
            <w:r>
              <w:rPr>
                <w:rFonts w:ascii="Arial" w:cs="Arial" w:eastAsia="Arial" w:hAnsi="Arial"/>
                <w:sz w:val="18"/>
                <w:szCs w:val="18"/>
                <w:color w:val="0000EE"/>
              </w:rPr>
              <w:t>Use of Proceeds</w:t>
            </w: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86</w:t>
            </w:r>
          </w:p>
        </w:tc>
        <w:tc>
          <w:tcPr>
            <w:tcW w:w="5000" w:type="dxa"/>
            <w:vAlign w:val="bottom"/>
            <w:gridSpan w:val="14"/>
          </w:tcPr>
          <w:p>
            <w:pPr>
              <w:spacing w:after="0" w:line="196" w:lineRule="exact"/>
              <w:rPr>
                <w:sz w:val="20"/>
                <w:szCs w:val="20"/>
                <w:color w:val="auto"/>
              </w:rPr>
            </w:pPr>
            <w:r>
              <w:rPr>
                <w:rFonts w:ascii="Arial" w:cs="Arial" w:eastAsia="Arial" w:hAnsi="Arial"/>
                <w:sz w:val="18"/>
                <w:szCs w:val="18"/>
                <w:color w:val="0000EE"/>
              </w:rPr>
              <w:t>Material U.S. Federal Income Tax Consequences to Non-U.S.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0000EE"/>
                <w:w w:val="94"/>
              </w:rPr>
              <w:t>Dividend Policy</w:t>
            </w:r>
          </w:p>
        </w:tc>
        <w:tc>
          <w:tcPr>
            <w:tcW w:w="3700" w:type="dxa"/>
            <w:vAlign w:val="bottom"/>
            <w:gridSpan w:val="7"/>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88</w:t>
            </w:r>
          </w:p>
        </w:tc>
        <w:tc>
          <w:tcPr>
            <w:tcW w:w="180" w:type="dxa"/>
            <w:vAlign w:val="bottom"/>
          </w:tcPr>
          <w:p>
            <w:pPr>
              <w:spacing w:after="0"/>
              <w:rPr>
                <w:sz w:val="17"/>
                <w:szCs w:val="17"/>
                <w:color w:val="auto"/>
              </w:rPr>
            </w:pPr>
          </w:p>
        </w:tc>
        <w:tc>
          <w:tcPr>
            <w:tcW w:w="4820" w:type="dxa"/>
            <w:vAlign w:val="bottom"/>
            <w:gridSpan w:val="13"/>
          </w:tcPr>
          <w:p>
            <w:pPr>
              <w:spacing w:after="0" w:line="196" w:lineRule="exact"/>
              <w:rPr>
                <w:sz w:val="20"/>
                <w:szCs w:val="20"/>
                <w:color w:val="auto"/>
              </w:rPr>
            </w:pPr>
            <w:r>
              <w:rPr>
                <w:rFonts w:ascii="Arial" w:cs="Arial" w:eastAsia="Arial" w:hAnsi="Arial"/>
                <w:sz w:val="18"/>
                <w:szCs w:val="18"/>
                <w:color w:val="0000EE"/>
              </w:rPr>
              <w:t>Holders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0000EE"/>
              </w:rPr>
              <w:t>Capitalization</w:t>
            </w:r>
          </w:p>
        </w:tc>
        <w:tc>
          <w:tcPr>
            <w:tcW w:w="3700" w:type="dxa"/>
            <w:vAlign w:val="bottom"/>
            <w:gridSpan w:val="7"/>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89</w:t>
            </w:r>
          </w:p>
        </w:tc>
        <w:tc>
          <w:tcPr>
            <w:tcW w:w="5000" w:type="dxa"/>
            <w:vAlign w:val="bottom"/>
            <w:gridSpan w:val="14"/>
          </w:tcPr>
          <w:p>
            <w:pPr>
              <w:spacing w:after="0" w:line="196" w:lineRule="exact"/>
              <w:rPr>
                <w:sz w:val="20"/>
                <w:szCs w:val="20"/>
                <w:color w:val="auto"/>
              </w:rPr>
            </w:pPr>
            <w:r>
              <w:rPr>
                <w:rFonts w:ascii="Arial" w:cs="Arial" w:eastAsia="Arial" w:hAnsi="Arial"/>
                <w:sz w:val="18"/>
                <w:szCs w:val="18"/>
                <w:color w:val="0000EE"/>
              </w:rPr>
              <w:t>Shares Eligible for Future Sale</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Dilution</w:t>
            </w:r>
          </w:p>
        </w:tc>
        <w:tc>
          <w:tcPr>
            <w:tcW w:w="3880" w:type="dxa"/>
            <w:vAlign w:val="bottom"/>
            <w:gridSpan w:val="9"/>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91</w:t>
            </w:r>
          </w:p>
        </w:tc>
        <w:tc>
          <w:tcPr>
            <w:tcW w:w="22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Underwriting</w:t>
            </w:r>
          </w:p>
        </w:tc>
        <w:tc>
          <w:tcPr>
            <w:tcW w:w="27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3"/>
          </w:tcPr>
          <w:p>
            <w:pPr>
              <w:spacing w:after="0" w:line="196" w:lineRule="exact"/>
              <w:rPr>
                <w:sz w:val="20"/>
                <w:szCs w:val="20"/>
                <w:color w:val="auto"/>
              </w:rPr>
            </w:pPr>
            <w:r>
              <w:rPr>
                <w:rFonts w:ascii="Arial" w:cs="Arial" w:eastAsia="Arial" w:hAnsi="Arial"/>
                <w:sz w:val="18"/>
                <w:szCs w:val="18"/>
                <w:color w:val="0000EE"/>
                <w:w w:val="98"/>
              </w:rPr>
              <w:t>Management’s Discussion and Analysis of Financial Condition</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gridSpan w:val="14"/>
          </w:tcPr>
          <w:p>
            <w:pPr>
              <w:spacing w:after="0" w:line="196" w:lineRule="exact"/>
              <w:rPr>
                <w:sz w:val="20"/>
                <w:szCs w:val="20"/>
                <w:color w:val="auto"/>
              </w:rPr>
            </w:pPr>
            <w:r>
              <w:rPr>
                <w:rFonts w:ascii="Arial" w:cs="Arial" w:eastAsia="Arial" w:hAnsi="Arial"/>
                <w:sz w:val="18"/>
                <w:szCs w:val="18"/>
                <w:color w:val="0000EE"/>
              </w:rPr>
              <w:t>Legal Matters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222</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and Results of Operations</w:t>
            </w:r>
          </w:p>
        </w:tc>
        <w:tc>
          <w:tcPr>
            <w:tcW w:w="340" w:type="dxa"/>
            <w:vAlign w:val="bottom"/>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94</w:t>
            </w:r>
          </w:p>
        </w:tc>
        <w:tc>
          <w:tcPr>
            <w:tcW w:w="10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Experts</w:t>
            </w:r>
          </w:p>
        </w:tc>
        <w:tc>
          <w:tcPr>
            <w:tcW w:w="40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tcBorders>
              <w:left w:val="single" w:sz="8" w:color="0000EE"/>
            </w:tcBorders>
            <w:gridSpan w:val="7"/>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3"/>
          </w:tcPr>
          <w:p>
            <w:pPr>
              <w:spacing w:after="0" w:line="196" w:lineRule="exact"/>
              <w:rPr>
                <w:sz w:val="20"/>
                <w:szCs w:val="20"/>
                <w:color w:val="auto"/>
              </w:rPr>
            </w:pPr>
            <w:r>
              <w:rPr>
                <w:rFonts w:ascii="Arial" w:cs="Arial" w:eastAsia="Arial" w:hAnsi="Arial"/>
                <w:sz w:val="18"/>
                <w:szCs w:val="18"/>
                <w:color w:val="0000EE"/>
              </w:rPr>
              <w:t>Business</w:t>
            </w: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120</w:t>
            </w:r>
          </w:p>
        </w:tc>
        <w:tc>
          <w:tcPr>
            <w:tcW w:w="5000" w:type="dxa"/>
            <w:vAlign w:val="bottom"/>
            <w:gridSpan w:val="14"/>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Index to Consolidated Financial Statements</w:t>
            </w:r>
          </w:p>
        </w:tc>
        <w:tc>
          <w:tcPr>
            <w:tcW w:w="18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not, and the underwriters have not, authorized anyone to provide you any information or to make any representations other than those contained in this prospectus or in any free writing prospectus prepared by or on behalf of us or to which we have referred you. Neither we nor the underwriters take responsibility for, or provide any assurance as to the reliability of, any other information others may give you. This prospectus is an offer to sell only the shares offered hereby, and only under circumstances and in jurisdictions where it is lawful to do so. We are not, and the underwriters are not, making an offer to sell these securities in any jurisdiction where the offer or sale is not permitted. The information contained in this prospectus is accurate only as of the date of this prospectus, regardless of the time of delivery of this prospectus or any sale of the shares of our common stock. Our business, financial condition, results of operations and prospects may have changed since that date.</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the possession or distribution of this prospectus or any free writing prospectus in connection with this offering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 See the section titled “Underwriting.”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this prospectus, “Neumora Therapeutics,” “Neumora,” the “company,” “we,” “us” and “our” refer to Neumora Therapeutics, Inc. and, where appropriate, our subsidiaries.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“NEUMORA,” the Neumora logos and other trade names, trademarks or service marks of Neumora appearing in this prospectus are the property of Neumora. Other trade names, trademarks or service marks appearing in this prospectus are the property of their respective holders. Solely for convenience, trade names, trademarks and service marks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SM</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 names, trademarks and service marks.</w:t>
      </w:r>
    </w:p>
    <w:p>
      <w:pPr>
        <w:spacing w:after="0" w:line="184" w:lineRule="exact"/>
        <w:rPr>
          <w:sz w:val="20"/>
          <w:szCs w:val="20"/>
          <w:color w:val="auto"/>
        </w:rPr>
      </w:pPr>
    </w:p>
    <w:p>
      <w:pPr>
        <w:ind w:left="120" w:firstLine="440"/>
        <w:spacing w:after="0" w:line="314" w:lineRule="auto"/>
        <w:rPr>
          <w:sz w:val="20"/>
          <w:szCs w:val="20"/>
          <w:color w:val="auto"/>
        </w:rPr>
      </w:pPr>
      <w:r>
        <w:rPr>
          <w:rFonts w:ascii="Arial" w:cs="Arial" w:eastAsia="Arial" w:hAnsi="Arial"/>
          <w:sz w:val="16"/>
          <w:szCs w:val="16"/>
          <w:b w:val="1"/>
          <w:bCs w:val="1"/>
          <w:color w:val="auto"/>
        </w:rPr>
        <w:t>Through and including , 2022 (the 25th day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20" w:firstLine="426"/>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of the information that you should consider before deciding to invest in our common stock. You should read this entire prospectus carefully, including the sections titled “Risk Factors,” “Management’s Discussion and Analysis of Financial Condition and Results of Operations” and “Business,” and our audited consolidated financial statements and unaudited condensed consolidated financial statements and related notes included elsewhere in this prospectus before making an investment decision. Some of the statements in this prospectus are forward-looking statements. See the section titled “Special Note Regarding Forward-Looking Statements.”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300" w:right="60" w:firstLine="426"/>
        <w:spacing w:after="0" w:line="271" w:lineRule="auto"/>
        <w:rPr>
          <w:sz w:val="20"/>
          <w:szCs w:val="20"/>
          <w:color w:val="auto"/>
        </w:rPr>
      </w:pPr>
      <w:r>
        <w:rPr>
          <w:rFonts w:ascii="Arial" w:cs="Arial" w:eastAsia="Arial" w:hAnsi="Arial"/>
          <w:sz w:val="17"/>
          <w:szCs w:val="17"/>
          <w:color w:val="auto"/>
        </w:rPr>
        <w:t>We are in the midst of a global brain disease crisis that is having a profound, enduring impact on patients, their families and society. Neuropsychiatric disorders and neurodegenerative diseases affect approximately 1.5 billion individuals globally, are typically chronic and progressive in nature and are associated with significant disability and a reduced quality of life. Over $110 billion is estimated to have been spent on neuroscience research and development since 2019 in the United States alone, representing approximately 33% of all disease-specific spending. However, only approximately 12% of all new therapies approved during that time period have been for the treatment of brain diseases. We believe the relative lack of progress and innovation within the broader central nervous system (CNS) landscape is due in large part to the complex, heterogeneous nature of such diseases, which makes defining patient populations and matching them with appropriate therapies challenging. As a result, patients, families and communities affected by brain diseases have been left behind.</w:t>
      </w:r>
    </w:p>
    <w:p>
      <w:pPr>
        <w:spacing w:after="0" w:line="178"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The time has come to take a fundamentally different approach to the way treatments for brain diseases are developed. We founded Neumora to pioneer a new era of “precision neuroscience” medicines using our proprietary approach that leverages recent advances in data science and artificial intelligence and machine learning (AI/ML) technology to cut through the heterogeneity inherent in brain disease. By approaching patient enrichment and clinical development strategies through this lens, we aim to match the right patient populations to the right targeted therapeutics, thereby driving innovation and the potential for clinical success in this field and, ultimately, providing better therapies to patients. Our goal is to build a global, fully integrated precision neuroscience company that is purpose-built at scale to achieve our ambitious mission of conquering one of the greatest medical challenges of our generation.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are a clinical-stage biotechnology company pioneering a precision medicine approach for brain diseases through the integration of data science and neuroscience. High failure rates have plagued neuroscience drug development for decades, contributing to a lack of targeted, effective medicines for brain diseases. Our approach aims to redefine neuroscience research and development by applying proprietary AI/ML methods to multimodal patient datasets in order to match defined patient populations with targeted therapeutics designed to address the underlying drivers of their disease. We believe our precision neuroscience approach will help us to cut through patient heterogeneity to increase the probability of clinical success and improve patient outcomes. Through our internal discovery efforts and business development activities, we have rapidly scaled a pipeline currently consisting of nine clinical and preclinical precision neuroscience programs targeting a broad range of underserved neuropsychiatric disorders and neurodegenerative diseases. Our team unites some of the world’s leading data scientists, neuroscience drug developers and company builders to usher in a new era of precision neuroscience and to accelerate development of novel therapies for patients and families affected by brain diseases.</w:t>
      </w:r>
    </w:p>
    <w:p>
      <w:pPr>
        <w:spacing w:after="0" w:line="185"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Patients with common neuropsychiatric disorders and neurodegenerative diseases, such as depression, schizophrenia, Parkinson’s disease and Alzheimer’s disease, can present with diverse symptoms and have</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9" w:lineRule="auto"/>
        <w:rPr>
          <w:sz w:val="20"/>
          <w:szCs w:val="20"/>
          <w:color w:val="auto"/>
        </w:rPr>
      </w:pPr>
      <w:r>
        <w:rPr>
          <w:rFonts w:ascii="Arial" w:cs="Arial" w:eastAsia="Arial" w:hAnsi="Arial"/>
          <w:sz w:val="18"/>
          <w:szCs w:val="18"/>
          <w:color w:val="auto"/>
        </w:rPr>
        <w:t>multiple underlying disease drivers. However, despite the inherent heterogeneity of these disorders, patients are diagnosed based on broad disease classifications defined by subjective clinical symptoms rather than by specific underlying genetics and biological mechanisms. As a result, clinical development in neuroscience to date has taken a “one-size-fits-all” based approach, where the inability to enrich for homogeneous cohorts of patients has led to a lower rate of clinical success.</w:t>
      </w:r>
    </w:p>
    <w:p>
      <w:pPr>
        <w:spacing w:after="0" w:line="187"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Recent advancements in oncology provide a relevant analog for the impact of applying data-driven, precision medicine approaches to improve patient outcomes. For decades, cancers were classified based primarily on the affected organs, as researchers did not have the tools or technologies to develop effective treatments targeting the biological drivers of these malignancies. However, through the clinical implementation of biopsies, high-throughput sequencing and the advancement in data science tools, the oncology field developed the ability to define cancers more precisely based on the rich insights generated from these data. Our goal is to extend a similar data-driven, precision approach for the treatment of brain diseases that leverages recent advancements in data science techniques to gain insight into the complex drivers of brain disease.</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Precision Neuroscience Approach</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We are taking a data-driven precision neuroscience approach to match the right patients to the right targeted therapeutics. Our platform is powered by advanced proprietary AI/ML methods that integrate and analyze datapoints from individual patients across multiple modalities of data to create what we refer to as “Data Biopsy Signatures,” which represent maps of underlying disease mechanisms. Our platform then leverages these Data Biopsy Signatures to inform clinically relevant homogeneous patient populations, which we refer to as “Precision Phenotypes.” These Precision Phenotypes serve as guides to match the right patients to the right targeted therapeutic. We believe we are the only company applying this approach, which has the potential to redefine neuroscience research and development, thereby increasing the probability of clinical success and creating more therapeutics that drive patient impact to address the global brain crisis.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precision neuroscience approach has four key components:</w:t>
      </w:r>
    </w:p>
    <w:p>
      <w:pPr>
        <w:spacing w:after="0" w:line="113" w:lineRule="exact"/>
        <w:rPr>
          <w:sz w:val="20"/>
          <w:szCs w:val="20"/>
          <w:color w:val="auto"/>
        </w:rPr>
      </w:pPr>
    </w:p>
    <w:p>
      <w:pPr>
        <w:ind w:left="300" w:firstLine="424"/>
        <w:spacing w:after="0" w:line="266" w:lineRule="auto"/>
        <w:tabs>
          <w:tab w:leader="none" w:pos="981"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Inputs</w:t>
      </w:r>
      <w:r>
        <w:rPr>
          <w:rFonts w:ascii="Arial" w:cs="Arial" w:eastAsia="Arial" w:hAnsi="Arial"/>
          <w:sz w:val="18"/>
          <w:szCs w:val="18"/>
          <w:color w:val="auto"/>
        </w:rPr>
        <w:t>: Multimodal patient datasets collected from public, partnered and internally generated proprietary sources, currently encompassing</w:t>
      </w:r>
      <w:r>
        <w:rPr>
          <w:rFonts w:ascii="Arial" w:cs="Arial" w:eastAsia="Arial" w:hAnsi="Arial"/>
          <w:sz w:val="18"/>
          <w:szCs w:val="18"/>
          <w:b w:val="1"/>
          <w:bCs w:val="1"/>
          <w:color w:val="auto"/>
        </w:rPr>
        <w:t xml:space="preserve"> </w:t>
      </w:r>
      <w:r>
        <w:rPr>
          <w:rFonts w:ascii="Arial" w:cs="Arial" w:eastAsia="Arial" w:hAnsi="Arial"/>
          <w:sz w:val="18"/>
          <w:szCs w:val="18"/>
          <w:color w:val="auto"/>
        </w:rPr>
        <w:t>a library of billions of datapoints across five data modalities: genetic, imaging, electroencephalogram or (EEG), digital and clinical, which we collect and ingest, or “onboard”;</w:t>
      </w:r>
    </w:p>
    <w:p>
      <w:pPr>
        <w:spacing w:after="0" w:line="67" w:lineRule="exact"/>
        <w:rPr>
          <w:rFonts w:ascii="Arial" w:cs="Arial" w:eastAsia="Arial" w:hAnsi="Arial"/>
          <w:sz w:val="18"/>
          <w:szCs w:val="18"/>
          <w:color w:val="auto"/>
        </w:rPr>
      </w:pPr>
    </w:p>
    <w:p>
      <w:pPr>
        <w:ind w:left="300" w:right="200" w:firstLine="424"/>
        <w:spacing w:after="0" w:line="282" w:lineRule="auto"/>
        <w:tabs>
          <w:tab w:leader="none" w:pos="981"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Infrastructur</w:t>
      </w:r>
      <w:r>
        <w:rPr>
          <w:rFonts w:ascii="Arial" w:cs="Arial" w:eastAsia="Arial" w:hAnsi="Arial"/>
          <w:sz w:val="18"/>
          <w:szCs w:val="18"/>
          <w:color w:val="auto"/>
        </w:rPr>
        <w:t>e: A data science platform that leverages proprietary AI/ML methods supported by a robust technology stack to organize,</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 process and analyze the onboarded data;</w:t>
      </w:r>
    </w:p>
    <w:p>
      <w:pPr>
        <w:spacing w:after="0" w:line="53" w:lineRule="exact"/>
        <w:rPr>
          <w:rFonts w:ascii="Arial" w:cs="Arial" w:eastAsia="Arial" w:hAnsi="Arial"/>
          <w:sz w:val="18"/>
          <w:szCs w:val="18"/>
          <w:color w:val="auto"/>
        </w:rPr>
      </w:pPr>
    </w:p>
    <w:p>
      <w:pPr>
        <w:ind w:left="300" w:right="460" w:firstLine="424"/>
        <w:spacing w:after="0" w:line="282" w:lineRule="auto"/>
        <w:tabs>
          <w:tab w:leader="none" w:pos="981"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The application of our proprietary AI/ML methods to transform the rich multimodal patient datapoints drawn from our</w:t>
      </w:r>
      <w:r>
        <w:rPr>
          <w:rFonts w:ascii="Arial" w:cs="Arial" w:eastAsia="Arial" w:hAnsi="Arial"/>
          <w:sz w:val="18"/>
          <w:szCs w:val="18"/>
          <w:b w:val="1"/>
          <w:bCs w:val="1"/>
          <w:color w:val="auto"/>
        </w:rPr>
        <w:t xml:space="preserve"> </w:t>
      </w:r>
      <w:r>
        <w:rPr>
          <w:rFonts w:ascii="Arial" w:cs="Arial" w:eastAsia="Arial" w:hAnsi="Arial"/>
          <w:sz w:val="18"/>
          <w:szCs w:val="18"/>
          <w:color w:val="auto"/>
        </w:rPr>
        <w:t>library into Data Biopsy Signatures that inform Precision Phenotypes; and</w:t>
      </w:r>
    </w:p>
    <w:p>
      <w:pPr>
        <w:spacing w:after="0" w:line="53" w:lineRule="exact"/>
        <w:rPr>
          <w:rFonts w:ascii="Arial" w:cs="Arial" w:eastAsia="Arial" w:hAnsi="Arial"/>
          <w:sz w:val="18"/>
          <w:szCs w:val="18"/>
          <w:color w:val="auto"/>
        </w:rPr>
      </w:pPr>
    </w:p>
    <w:p>
      <w:pPr>
        <w:ind w:left="300" w:right="80" w:firstLine="424"/>
        <w:spacing w:after="0" w:line="282" w:lineRule="auto"/>
        <w:tabs>
          <w:tab w:leader="none" w:pos="981"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Output</w:t>
      </w:r>
      <w:r>
        <w:rPr>
          <w:rFonts w:ascii="Arial" w:cs="Arial" w:eastAsia="Arial" w:hAnsi="Arial"/>
          <w:sz w:val="18"/>
          <w:szCs w:val="18"/>
          <w:color w:val="auto"/>
        </w:rPr>
        <w:t>: Therapeutic applications that leverage insights from our Precision Phenotypes to develop precision therapeutics that are targeted</w:t>
      </w:r>
      <w:r>
        <w:rPr>
          <w:rFonts w:ascii="Arial" w:cs="Arial" w:eastAsia="Arial" w:hAnsi="Arial"/>
          <w:sz w:val="18"/>
          <w:szCs w:val="18"/>
          <w:b w:val="1"/>
          <w:bCs w:val="1"/>
          <w:color w:val="auto"/>
        </w:rPr>
        <w:t xml:space="preserve"> </w:t>
      </w:r>
      <w:r>
        <w:rPr>
          <w:rFonts w:ascii="Arial" w:cs="Arial" w:eastAsia="Arial" w:hAnsi="Arial"/>
          <w:sz w:val="18"/>
          <w:szCs w:val="18"/>
          <w:color w:val="auto"/>
        </w:rPr>
        <w:t>for distinct populations of patients who are more likely to respond.</w:t>
      </w:r>
    </w:p>
    <w:p>
      <w:pPr>
        <w:spacing w:after="0" w:line="166" w:lineRule="exact"/>
        <w:rPr>
          <w:sz w:val="20"/>
          <w:szCs w:val="20"/>
          <w:color w:val="auto"/>
        </w:rPr>
      </w:pPr>
    </w:p>
    <w:p>
      <w:pPr>
        <w:ind w:left="300" w:right="280" w:firstLine="426"/>
        <w:spacing w:after="0" w:line="296" w:lineRule="auto"/>
        <w:rPr>
          <w:sz w:val="20"/>
          <w:szCs w:val="20"/>
          <w:color w:val="auto"/>
        </w:rPr>
      </w:pPr>
      <w:r>
        <w:rPr>
          <w:rFonts w:ascii="Arial" w:cs="Arial" w:eastAsia="Arial" w:hAnsi="Arial"/>
          <w:sz w:val="16"/>
          <w:szCs w:val="16"/>
          <w:color w:val="auto"/>
        </w:rPr>
        <w:t>We plan to generate therapeutic applications to match the right patients to the right targeted therapeutics in three different ways: (i) by creating a drug signature for an existing program, which we refer to as a “pharmacological fingerprint,” that can inform or align to a Precision Phenotype; (ii) by identifying novel targets through insights generated from our Precision Phenotypes, thus creating new programs; or (iii) by leveraging insights generated from our Precision Phenotypes to create new business development opportunities. As the last step in our precision development process, we intend to use the insights from Precision Phenotypes to inform the design of our clinical trials.</w:t>
      </w:r>
    </w:p>
    <w:p>
      <w:pPr>
        <w:spacing w:after="0" w:line="161" w:lineRule="exact"/>
        <w:rPr>
          <w:sz w:val="20"/>
          <w:szCs w:val="20"/>
          <w:color w:val="auto"/>
        </w:rPr>
      </w:pPr>
    </w:p>
    <w:p>
      <w:pPr>
        <w:ind w:left="300" w:right="100" w:firstLine="426"/>
        <w:spacing w:after="0" w:line="301" w:lineRule="auto"/>
        <w:rPr>
          <w:sz w:val="20"/>
          <w:szCs w:val="20"/>
          <w:color w:val="auto"/>
        </w:rPr>
      </w:pPr>
      <w:r>
        <w:rPr>
          <w:rFonts w:ascii="Arial" w:cs="Arial" w:eastAsia="Arial" w:hAnsi="Arial"/>
          <w:sz w:val="16"/>
          <w:szCs w:val="16"/>
          <w:color w:val="auto"/>
        </w:rPr>
        <w:t>Our approach has been created through the tight integration of our data science and neuroscience expertise and our proprietary platform is protected by a broad and multi-faceted intellectual property portfolio. We believe our approach yields a powerful data flywheel of learning that positions us to generate a proprietary and dynamic “encyclopedia” of Precision Phenotypes across a broad range of neuropsychiatric disorders and neurodegenerative diseases in a repeatable and scalable manner to guide the development of novel precision therapeutics.</w:t>
      </w:r>
    </w:p>
    <w:p>
      <w:pPr>
        <w:spacing w:after="0" w:line="2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256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725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Figure 1: Neumora precision neuroscience approach</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Precision Neuroscience Pipeline</w:t>
      </w:r>
    </w:p>
    <w:p>
      <w:pPr>
        <w:spacing w:after="0" w:line="8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are building a broad pipeline of novel precision medicine candidates for neuropsychiatric disorders and neurodegenerative diseases, each with a targeted approach to development. Our precision neuroscience approach is flexible, and we are able to apply it in a modular fashion, which allows us to tailor our approach to internal or external programs at any stage of development. Today, our disclosed pipeline comprises nine programs, with two in clinical development, one in investigational new drug (IND)-enabling studies and six in the discovery stage, as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Figure 2: Neumora precision neuroscience pipeline</w:t>
      </w:r>
    </w:p>
    <w:p>
      <w:pPr>
        <w:spacing w:after="0" w:line="33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320" w:top="459" w:right="7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3" w:lineRule="auto"/>
        <w:rPr>
          <w:sz w:val="20"/>
          <w:szCs w:val="20"/>
          <w:color w:val="auto"/>
        </w:rPr>
      </w:pPr>
      <w:r>
        <w:rPr>
          <w:rFonts w:ascii="Arial" w:cs="Arial" w:eastAsia="Arial" w:hAnsi="Arial"/>
          <w:sz w:val="16"/>
          <w:szCs w:val="16"/>
          <w:b w:val="1"/>
          <w:bCs w:val="1"/>
          <w:i w:val="1"/>
          <w:iCs w:val="1"/>
          <w:color w:val="auto"/>
        </w:rPr>
        <w:t xml:space="preserve">NMRA-140 </w:t>
      </w:r>
      <w:r>
        <w:rPr>
          <w:rFonts w:ascii="Arial" w:cs="Arial" w:eastAsia="Arial" w:hAnsi="Arial"/>
          <w:sz w:val="16"/>
          <w:szCs w:val="16"/>
          <w:color w:val="auto"/>
        </w:rPr>
        <w:t>is an investigational antagonist of the kappa opioid receptor (KOR) in development for the treatment of major depressive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disorder (MDD), which is a chronic neuropsychiatric disorder with significant unmet need given that nearly 70% of MDD patients fail to achieve remission with first-line treatment. The KOR/dynorphin system is a well-characterized pathway known to modulate depressive-like states. We believe that defining a precision subset of patients with MDD will identify those more likely to respond to a KOR antagonist. When we acquired BlackThorn Therapeutics, Inc. (BlackThorn) in September 2020, BlackThorn had initiated a Phase 2a clinical trial of BTRX-335140, now known as NMRA-140, in adult patients with MDD. This Phase 2a clinical trial was initiated as a double-blind, placebo-controlled, randomized trial of NMRA-140 in 120 patients. We subsequently modified the trial to generate more unique data by increasing the target enrollment to 180 patients and added additional digital instrumentation to further augment and support our precision neuroscience approach. We have also created our OPRK1 (the gene encoding KOR) genetic-prediction model, which we intend to apply to peripheral DNA samples collected from patients enrolled in the trial. We plan to leverage the genetic, digital and clinical data generated from this trial to support future clinical development of NMRA-140. We</w:t>
      </w:r>
    </w:p>
    <w:p>
      <w:pPr>
        <w:spacing w:after="0" w:line="5" w:lineRule="exact"/>
        <w:rPr>
          <w:sz w:val="20"/>
          <w:szCs w:val="20"/>
          <w:color w:val="auto"/>
        </w:rPr>
      </w:pPr>
    </w:p>
    <w:p>
      <w:pPr>
        <w:ind w:left="300" w:right="40"/>
        <w:spacing w:after="0" w:line="260" w:lineRule="auto"/>
        <w:rPr>
          <w:sz w:val="20"/>
          <w:szCs w:val="20"/>
          <w:color w:val="auto"/>
        </w:rPr>
      </w:pPr>
      <w:r>
        <w:rPr>
          <w:rFonts w:ascii="Arial" w:cs="Arial" w:eastAsia="Arial" w:hAnsi="Arial"/>
          <w:sz w:val="18"/>
          <w:szCs w:val="18"/>
          <w:color w:val="auto"/>
        </w:rPr>
        <w:t>anticipate topline results from the current trial will be available in . We co-own one of the patent families related to NMRA-140 with The Scripps Research Institute (TSRI) and have an exclusive license from TSRI for the other patent family.</w:t>
      </w:r>
    </w:p>
    <w:p>
      <w:pPr>
        <w:spacing w:after="0" w:line="185" w:lineRule="exact"/>
        <w:rPr>
          <w:sz w:val="20"/>
          <w:szCs w:val="20"/>
          <w:color w:val="auto"/>
        </w:rPr>
      </w:pPr>
    </w:p>
    <w:p>
      <w:pPr>
        <w:ind w:left="300" w:right="120" w:firstLine="426"/>
        <w:spacing w:after="0" w:line="255" w:lineRule="auto"/>
        <w:rPr>
          <w:sz w:val="20"/>
          <w:szCs w:val="20"/>
          <w:color w:val="auto"/>
        </w:rPr>
      </w:pPr>
      <w:r>
        <w:rPr>
          <w:rFonts w:ascii="Arial" w:cs="Arial" w:eastAsia="Arial" w:hAnsi="Arial"/>
          <w:sz w:val="18"/>
          <w:szCs w:val="18"/>
          <w:b w:val="1"/>
          <w:bCs w:val="1"/>
          <w:i w:val="1"/>
          <w:iCs w:val="1"/>
          <w:color w:val="auto"/>
        </w:rPr>
        <w:t xml:space="preserve">NMRA-511 </w:t>
      </w:r>
      <w:r>
        <w:rPr>
          <w:rFonts w:ascii="Arial" w:cs="Arial" w:eastAsia="Arial" w:hAnsi="Arial"/>
          <w:sz w:val="18"/>
          <w:szCs w:val="18"/>
          <w:color w:val="auto"/>
        </w:rPr>
        <w:t>is an investigational antagonist of the vasopressin 1a receptor (V1aR). Vasopressin plays a role in the regulation of aggression,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affiliation, stress and anxiety response. Based on our encouraging preclinical findings in non-human primates as well as preclinical and clinical results from third parties, we believe V1aR has the potential to be a promising novel target for multiple neuropsychiatric disorders across the spectrum of anxiety, aggression and stress. Given the pan-diagnostic potential of this target, our approach is to quantify the neural signature that is reactive to a V1aR antagonist, which will define the pharmacological fingerprint. We completed a Phase 1a clinical study of NMRA-511 in February 2021.</w:t>
      </w:r>
    </w:p>
    <w:p>
      <w:pPr>
        <w:spacing w:after="0" w:line="300" w:lineRule="exact"/>
        <w:rPr>
          <w:sz w:val="20"/>
          <w:szCs w:val="20"/>
          <w:color w:val="auto"/>
        </w:rPr>
      </w:pPr>
    </w:p>
    <w:p>
      <w:pPr>
        <w:ind w:left="300" w:firstLine="426"/>
        <w:spacing w:after="0" w:line="284" w:lineRule="auto"/>
        <w:rPr>
          <w:sz w:val="20"/>
          <w:szCs w:val="20"/>
          <w:color w:val="auto"/>
        </w:rPr>
      </w:pPr>
      <w:r>
        <w:rPr>
          <w:rFonts w:ascii="Arial" w:cs="Arial" w:eastAsia="Arial" w:hAnsi="Arial"/>
          <w:sz w:val="16"/>
          <w:szCs w:val="16"/>
          <w:b w:val="1"/>
          <w:bCs w:val="1"/>
          <w:i w:val="1"/>
          <w:iCs w:val="1"/>
          <w:color w:val="auto"/>
        </w:rPr>
        <w:t xml:space="preserve">NMRA-094 </w:t>
      </w:r>
      <w:r>
        <w:rPr>
          <w:rFonts w:ascii="Arial" w:cs="Arial" w:eastAsia="Arial" w:hAnsi="Arial"/>
          <w:sz w:val="16"/>
          <w:szCs w:val="16"/>
          <w:color w:val="auto"/>
        </w:rPr>
        <w:t>is an investigational dual antagonist of H1/5-HT2A receptors that we are developing for the treatment of low arousal threshold-obstructive sleep apnea (LAT-OSA). Approximately 40% of obstructive sleep apnea (OSA) patients have a phenotype of excessive sleep fragmentation, which is characterized by numerous brief arousals and awakenings that disrupt restorative sleep due to interruptions in airflow. Sleep fragmentation is associated with increased risk of cardiovascular disease and all-cause mortality. Histamine and 5-HT are two critical arousal mechanisms in the CNS, and their antagonism is believed to reduce sleep fragmentation. Patients with excessive sleep fragmentation have a low arousal threshold (LAT), which can be quantified by polysomnographic measures, which include multimodal measures of brain activity such as blood pressure, oxygen levels, heart rate, breathing rate and eye and leg movements used to diagnose sleep disorders. We will identify a Precision Phenotype of the LAT-OSA population through multimodal clinical measures, including polysomnography in our Phase 1 clinical trials for NMRA-</w:t>
      </w:r>
    </w:p>
    <w:p>
      <w:pPr>
        <w:spacing w:after="0" w:line="1" w:lineRule="exact"/>
        <w:rPr>
          <w:sz w:val="20"/>
          <w:szCs w:val="20"/>
          <w:color w:val="auto"/>
        </w:rPr>
      </w:pPr>
    </w:p>
    <w:p>
      <w:pPr>
        <w:ind w:left="300"/>
        <w:spacing w:after="0"/>
        <w:tabs>
          <w:tab w:leader="none" w:pos="5880" w:val="left"/>
        </w:tabs>
        <w:rPr>
          <w:sz w:val="20"/>
          <w:szCs w:val="20"/>
          <w:color w:val="auto"/>
        </w:rPr>
      </w:pPr>
      <w:r>
        <w:rPr>
          <w:rFonts w:ascii="Arial" w:cs="Arial" w:eastAsia="Arial" w:hAnsi="Arial"/>
          <w:sz w:val="18"/>
          <w:szCs w:val="18"/>
          <w:color w:val="auto"/>
        </w:rPr>
        <w:t>094. We expect to initiate a Phase 1 clinical trial for NMRA-094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300" w:right="40" w:firstLine="426"/>
        <w:spacing w:after="0" w:line="288" w:lineRule="auto"/>
        <w:rPr>
          <w:sz w:val="20"/>
          <w:szCs w:val="20"/>
          <w:color w:val="auto"/>
        </w:rPr>
      </w:pPr>
      <w:r>
        <w:rPr>
          <w:rFonts w:ascii="Arial" w:cs="Arial" w:eastAsia="Arial" w:hAnsi="Arial"/>
          <w:sz w:val="16"/>
          <w:szCs w:val="16"/>
          <w:b w:val="1"/>
          <w:bCs w:val="1"/>
          <w:i w:val="1"/>
          <w:iCs w:val="1"/>
          <w:color w:val="auto"/>
        </w:rPr>
        <w:t xml:space="preserve">NMRA-M4R </w:t>
      </w:r>
      <w:r>
        <w:rPr>
          <w:rFonts w:ascii="Arial" w:cs="Arial" w:eastAsia="Arial" w:hAnsi="Arial"/>
          <w:sz w:val="16"/>
          <w:szCs w:val="16"/>
          <w:color w:val="auto"/>
        </w:rPr>
        <w:t>is a program that we intend to develop for the treatment of schizophrenia and other neuropsychiatric disorders. We are focused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development of novel positive allosteric modulators of the muscarinic acetylcholine 4 receptor subtype, or M4R. Our M4R positive allosteric modulator program is designed to be highly selective for the M4 receptor subtype of the muscarinic receptor family. Muscarinic receptor-targeting compounds have achieved clinical validation as an approach to treating schizophrenia, with potential to treat other neuropsychiatric disorders such as dementia-related psychosis and cognitive disorders, where innovation has been stagnant for decades. Selective M4R receptor positive allosteric modulators have the potential to deliver the anti-psychotic efficacy associated with targeting this receptor subtype, while minimizing the side effects associated with current antipsychotics and other non-selective muscarinic agonists. We are generating Precision Phenotypes for schizophrenia from our integrated multimodal datasets and are in the process of creating a pharmacological fingerprint for our NMRA-M4R program, which we will then align with a Precision Phenotype for future development. Our NMRA-M4R program is in the discovery phase of development. We exclusively licensed certain intellectual property rights related to NMRA-M4R from Vanderbilt University.</w:t>
      </w:r>
    </w:p>
    <w:p>
      <w:pPr>
        <w:spacing w:after="0" w:line="2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b w:val="1"/>
          <w:bCs w:val="1"/>
          <w:i w:val="1"/>
          <w:iCs w:val="1"/>
          <w:color w:val="auto"/>
        </w:rPr>
        <w:t>NMRA-CK1</w:t>
      </w:r>
      <w:r>
        <w:rPr>
          <w:rFonts w:ascii="Arial" w:cs="Arial" w:eastAsia="Arial" w:hAnsi="Arial"/>
          <w:sz w:val="16"/>
          <w:szCs w:val="16"/>
          <w:color w:val="auto"/>
        </w:rPr>
        <w:t>d is a CK1d inhibitor program that we intend to develop for amyotrophic lateral sclerosis (ALS). CK1d is a kinase that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identified as a conductor of the process known as phosphorylation, which is the addition of a phosphate group to a molecule, in a protein component known as TDP-43 that is closely linked to ALS. Phosphorylation is a key driver of TDP-43-driven pathology in approximately 95% of sporadic ALS cases. There is also genetic evidence linking TDP-43 to both familial and sporadic ALS. We are generating Precision Phenotypes for ALS from our integrated multimodal datasets and are in the process of creating a pharmacological fingerprint for our NMRA-CK1d program, which we will then align with a Precision Phenotype for future development. Our NMRA-CK1d program is in the discovery phase of development, and we may seek to identify other potential Precision Phenotypes associated with TDP-43-driven pathologies beyond ALS. We exclusively licensed certain intellectual property rights related to NMRA-CK1d from Amgen Inc. (Amgen).</w:t>
      </w:r>
    </w:p>
    <w:p>
      <w:pPr>
        <w:spacing w:after="0" w:line="165" w:lineRule="exact"/>
        <w:rPr>
          <w:sz w:val="20"/>
          <w:szCs w:val="20"/>
          <w:color w:val="auto"/>
        </w:rPr>
      </w:pPr>
    </w:p>
    <w:p>
      <w:pPr>
        <w:jc w:val="both"/>
        <w:ind w:left="300" w:right="140" w:firstLine="426"/>
        <w:spacing w:after="0" w:line="286" w:lineRule="auto"/>
        <w:rPr>
          <w:sz w:val="20"/>
          <w:szCs w:val="20"/>
          <w:color w:val="auto"/>
        </w:rPr>
      </w:pPr>
      <w:r>
        <w:rPr>
          <w:rFonts w:ascii="Arial" w:cs="Arial" w:eastAsia="Arial" w:hAnsi="Arial"/>
          <w:sz w:val="16"/>
          <w:szCs w:val="16"/>
          <w:b w:val="1"/>
          <w:bCs w:val="1"/>
          <w:i w:val="1"/>
          <w:iCs w:val="1"/>
          <w:color w:val="auto"/>
        </w:rPr>
        <w:t xml:space="preserve">NMRA-GRIN2A </w:t>
      </w:r>
      <w:r>
        <w:rPr>
          <w:rFonts w:ascii="Arial" w:cs="Arial" w:eastAsia="Arial" w:hAnsi="Arial"/>
          <w:sz w:val="16"/>
          <w:szCs w:val="16"/>
          <w:color w:val="auto"/>
        </w:rPr>
        <w:t>is a program that we intend to develop for the treatment of schizophrenia. We are focused on the development of positive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allosteric modulators, which are molecules that bind to a distinct site of a target protein and thereby increase its function or activity. Our GRIN2A positive allosteric modulator program is designed to be selective for the GluN2A receptor subunit of the N-methyl-D-aspartate (NMDA) receptor. Recent breakthroughs in psychiatric genetic studies have provided genetic evidence in support of the role of GRIN2A in schizophrenia.</w:t>
      </w:r>
    </w:p>
    <w:p>
      <w:pPr>
        <w:spacing w:after="0" w:line="1" w:lineRule="exact"/>
        <w:rPr>
          <w:sz w:val="20"/>
          <w:szCs w:val="20"/>
          <w:color w:val="auto"/>
        </w:rPr>
      </w:pPr>
    </w:p>
    <w:p>
      <w:pPr>
        <w:ind w:left="300" w:right="160"/>
        <w:spacing w:after="0" w:line="273" w:lineRule="auto"/>
        <w:rPr>
          <w:sz w:val="20"/>
          <w:szCs w:val="20"/>
          <w:color w:val="auto"/>
        </w:rPr>
      </w:pPr>
      <w:r>
        <w:rPr>
          <w:rFonts w:ascii="Arial" w:cs="Arial" w:eastAsia="Arial" w:hAnsi="Arial"/>
          <w:sz w:val="17"/>
          <w:szCs w:val="17"/>
          <w:color w:val="auto"/>
        </w:rPr>
        <w:t>Furthermore, human studies suggest NMDA receptor antagonists (e.g., ketamine) lead to a schizophrenia-like syndrome, which provides compelling evidence for this target. We are generating Precision Phenotypes for schizophrenia from our integrated multimodal datasets and are in the process of creating a pharmacological fingerprint for our NMRA-GRIN2A program, which we will then align with a Precision Phenotype for future development. Our NMRA-GRIN2A program is in the discovery phase of development.</w:t>
      </w:r>
    </w:p>
    <w:p>
      <w:pPr>
        <w:spacing w:after="0" w:line="136"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b w:val="1"/>
          <w:bCs w:val="1"/>
          <w:i w:val="1"/>
          <w:iCs w:val="1"/>
          <w:color w:val="auto"/>
        </w:rPr>
        <w:t xml:space="preserve">NMRA-GRIN2B </w:t>
      </w:r>
      <w:r>
        <w:rPr>
          <w:rFonts w:ascii="Arial" w:cs="Arial" w:eastAsia="Arial" w:hAnsi="Arial"/>
          <w:sz w:val="18"/>
          <w:szCs w:val="18"/>
          <w:color w:val="auto"/>
        </w:rPr>
        <w:t>is a program we intend to develop for subpopulations of patients with MDD. We are focused on the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negative allosteric modulators, which are molecules that bind to a distinct site of a target protein and decrease its function or activity. Our GRIN2B negative allosteric modulator program is designed to be selective for the GluN2B receptor subunit of the NMDA receptor. Non-selective antagonism of the NMDA receptor is a clinically validated approach for a subpopulation of MDD, as evidenced by the approval of SPRAVATO (esketamine). Previous GRIN2B-selective approaches have inferred the same clinical efficacy as non-selective agents, but with less risk of dissociative side effects. We are generating Precision Phenotypes for MDD from our integrated multimodal datasets which we will then align with the pharmacological fingerprint for our NMRA-GRIN2B program to define a Precision Phenotype for future development. Our NMRA-GRIN2B program is in the discovery phase of development.</w:t>
      </w:r>
    </w:p>
    <w:p>
      <w:pPr>
        <w:spacing w:after="0" w:line="165" w:lineRule="exact"/>
        <w:rPr>
          <w:sz w:val="20"/>
          <w:szCs w:val="20"/>
          <w:color w:val="auto"/>
        </w:rPr>
      </w:pPr>
    </w:p>
    <w:p>
      <w:pPr>
        <w:ind w:left="300" w:right="60" w:firstLine="426"/>
        <w:spacing w:after="0" w:line="291" w:lineRule="auto"/>
        <w:rPr>
          <w:sz w:val="20"/>
          <w:szCs w:val="20"/>
          <w:color w:val="auto"/>
        </w:rPr>
      </w:pPr>
      <w:r>
        <w:rPr>
          <w:rFonts w:ascii="Arial" w:cs="Arial" w:eastAsia="Arial" w:hAnsi="Arial"/>
          <w:sz w:val="16"/>
          <w:szCs w:val="16"/>
          <w:b w:val="1"/>
          <w:bCs w:val="1"/>
          <w:i w:val="1"/>
          <w:iCs w:val="1"/>
          <w:color w:val="auto"/>
        </w:rPr>
        <w:t xml:space="preserve">NMRA-NLRP3 </w:t>
      </w:r>
      <w:r>
        <w:rPr>
          <w:rFonts w:ascii="Arial" w:cs="Arial" w:eastAsia="Arial" w:hAnsi="Arial"/>
          <w:sz w:val="16"/>
          <w:szCs w:val="16"/>
          <w:color w:val="auto"/>
        </w:rPr>
        <w:t>is an inhibitor program focused on targeting the NLRP3 inflammasome for the treatment of certain neurodegenerative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The inflammasome is a critical part of the innate immune system that responds to pathogens and cellular damage and is implicated in brain disorders, such as Parkinson’s disease (PD), as well as immune disorders. The NLRP3 inflammasome can be activated in brain microglia, a type of cell in the brain, and other cell types by a range of proteins linked to neurodegeneration, including alpha-synuclein (a neuronal protein that regulates synaptic vesicle trafficking), which suggests the inflammasome may have a mechanistic role in PD. We are generating Precision Phenotypes for PD from our integrated multimodal datasets, which we will then align with the pharmacological fingerprint for our NMRA-NLRP3 program to define a Precision Phenotype for future development. Our NMRA-NLRP3 program is in the discovery phase of development.</w:t>
      </w:r>
    </w:p>
    <w:p>
      <w:pPr>
        <w:spacing w:after="0" w:line="126"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b w:val="1"/>
          <w:bCs w:val="1"/>
          <w:i w:val="1"/>
          <w:iCs w:val="1"/>
          <w:color w:val="auto"/>
        </w:rPr>
        <w:t xml:space="preserve">NMRA-GCase </w:t>
      </w:r>
      <w:r>
        <w:rPr>
          <w:rFonts w:ascii="Arial" w:cs="Arial" w:eastAsia="Arial" w:hAnsi="Arial"/>
          <w:sz w:val="18"/>
          <w:szCs w:val="18"/>
          <w:color w:val="auto"/>
        </w:rPr>
        <w:t>is an activator program focused on elevating the activity of the enzyme glucocerebrocidase (GCase) that we intend to develop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treatment of PD. Mutations in the GBA gene, which codes for the enzyme GCase, are the single largest genetic risk factor for PD. GCase deficiencies lead to storage disorders of the lysosome, which plays an important role in maintaining cellular balance, and a subgroup of patients with PD have lysosomal dysfunction. Leveraging the work from our NMRA-NLRP3 program, we are generating Precision Phenotypes for PD from our integrated multimodal datasets, which we will then align with the pharmacological fingerprint for our NMRA-GCase program to define a Precision Phenotype for future</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07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development. Our NMRA-GCase program is in the discovery phase of development. We exclusively licensed certain intellectual property rights related to NMRA-GCase from Amgen.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 and Investors</w:t>
      </w:r>
    </w:p>
    <w:p>
      <w:pPr>
        <w:spacing w:after="0" w:line="121" w:lineRule="exact"/>
        <w:rPr>
          <w:sz w:val="20"/>
          <w:szCs w:val="20"/>
          <w:color w:val="auto"/>
        </w:rPr>
      </w:pPr>
    </w:p>
    <w:p>
      <w:pPr>
        <w:ind w:left="300" w:right="80" w:firstLine="426"/>
        <w:spacing w:after="0" w:line="279" w:lineRule="auto"/>
        <w:rPr>
          <w:sz w:val="20"/>
          <w:szCs w:val="20"/>
          <w:color w:val="auto"/>
        </w:rPr>
      </w:pPr>
      <w:r>
        <w:rPr>
          <w:rFonts w:ascii="Arial" w:cs="Arial" w:eastAsia="Arial" w:hAnsi="Arial"/>
          <w:sz w:val="17"/>
          <w:szCs w:val="17"/>
          <w:color w:val="auto"/>
        </w:rPr>
        <w:t>Our people are the backbone of the company and our most important asset. We have assembled a diverse team of experienced company builders, leading neuroscience drug developers and data scientists, complemented by world-class scientific and technical advisors and a board of directors and investors. This group shares a long-term vision to position us to execute on our mission to build a “precision neuroscience” company that is fundamentally shifting the approach to discovering and developing therapeutics for brain diseases.</w:t>
      </w:r>
    </w:p>
    <w:p>
      <w:pPr>
        <w:spacing w:after="0" w:line="73" w:lineRule="exact"/>
        <w:rPr>
          <w:sz w:val="20"/>
          <w:szCs w:val="20"/>
          <w:color w:val="auto"/>
        </w:rPr>
      </w:pPr>
    </w:p>
    <w:p>
      <w:pPr>
        <w:ind w:left="1240" w:hanging="523"/>
        <w:spacing w:after="0" w:line="254"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Experienced Company Builders. </w:t>
      </w:r>
      <w:r>
        <w:rPr>
          <w:rFonts w:ascii="Arial" w:cs="Arial" w:eastAsia="Arial" w:hAnsi="Arial"/>
          <w:sz w:val="18"/>
          <w:szCs w:val="18"/>
          <w:color w:val="auto"/>
        </w:rPr>
        <w:t>We have multiple individuals with experience building disruptive biotechnology companies. Our</w:t>
      </w:r>
      <w:r>
        <w:rPr>
          <w:rFonts w:ascii="Arial" w:cs="Arial" w:eastAsia="Arial" w:hAnsi="Arial"/>
          <w:sz w:val="18"/>
          <w:szCs w:val="18"/>
          <w:b w:val="1"/>
          <w:bCs w:val="1"/>
          <w:color w:val="auto"/>
        </w:rPr>
        <w:t xml:space="preserve"> </w:t>
      </w:r>
      <w:r>
        <w:rPr>
          <w:rFonts w:ascii="Arial" w:cs="Arial" w:eastAsia="Arial" w:hAnsi="Arial"/>
          <w:sz w:val="18"/>
          <w:szCs w:val="18"/>
          <w:color w:val="auto"/>
        </w:rPr>
        <w:t>Co-Founder, Chief Executive Officer and Chairman of our board of directors, Paul Berns, is a Managing Director at ARCH Venture Partners and was previously the President, Chief Executive Officer and Chairman of the Board of Anacor Pharmaceuticals, acquired by Pfizer in 2016. Our President and Chief Operating Officer, Lori Lyons-Williams, previously served as Chief Commercial Officer at Dermira, acquired by Eli Lilly in 2020. Carol Suh, our Co-Founder and Vice President of Business Development, is a Partner at ARCH Venture Partners and has built a number of biotechnology companies. Dr. Joshua Pinto serves as our Chief Financial Officer and, from his time as an investment banker at Credit Suisse, has experience advising leading biotechnology companies across their life cycles.</w:t>
      </w:r>
    </w:p>
    <w:p>
      <w:pPr>
        <w:spacing w:after="0" w:line="97" w:lineRule="exact"/>
        <w:rPr>
          <w:rFonts w:ascii="Arial" w:cs="Arial" w:eastAsia="Arial" w:hAnsi="Arial"/>
          <w:sz w:val="18"/>
          <w:szCs w:val="18"/>
          <w:color w:val="auto"/>
        </w:rPr>
      </w:pPr>
    </w:p>
    <w:p>
      <w:pPr>
        <w:ind w:left="1240" w:right="100" w:hanging="523"/>
        <w:spacing w:after="0" w:line="254"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Leading Neuroscience Drug Developers. </w:t>
      </w:r>
      <w:r>
        <w:rPr>
          <w:rFonts w:ascii="Arial" w:cs="Arial" w:eastAsia="Arial" w:hAnsi="Arial"/>
          <w:sz w:val="18"/>
          <w:szCs w:val="18"/>
          <w:color w:val="auto"/>
        </w:rPr>
        <w:t>Our scientific leadership team includes world-class scientists with extensive neuroscience</w:t>
      </w:r>
      <w:r>
        <w:rPr>
          <w:rFonts w:ascii="Arial" w:cs="Arial" w:eastAsia="Arial" w:hAnsi="Arial"/>
          <w:sz w:val="18"/>
          <w:szCs w:val="18"/>
          <w:b w:val="1"/>
          <w:bCs w:val="1"/>
          <w:color w:val="auto"/>
        </w:rPr>
        <w:t xml:space="preserve"> </w:t>
      </w:r>
      <w:r>
        <w:rPr>
          <w:rFonts w:ascii="Arial" w:cs="Arial" w:eastAsia="Arial" w:hAnsi="Arial"/>
          <w:sz w:val="18"/>
          <w:szCs w:val="18"/>
          <w:color w:val="auto"/>
        </w:rPr>
        <w:t>drug development experience. Dr. John Dunlop, our Head of Research &amp; Development, previously served as Vice President at Amgen, where he led the neuroscience research program, and prior to that was the Vice President and Head of Neuroscience at AstraZeneca and Pfizer. Our Chief Medical Officer, Dr. Jane Tiller held several positions at Bristol Myers Squibb including Vice President of Global Medical for Neuroscience, Virology &amp; Immunoscience. Prior to that, Dr. Tiller served as Vice President of Neuroscience and Pain at Cephalon. Dr. Nick Brandon, our Chief Scientific Officer, previously served as Chief Scientist of AstraZeneca’s Neuroscience Innovative Medicines and Early Development Division, as well as Head of Psychiatry and Behavioral Disorders in Pfizer’s Neuroscience Research Unit.</w:t>
      </w:r>
    </w:p>
    <w:p>
      <w:pPr>
        <w:spacing w:after="0" w:line="97" w:lineRule="exact"/>
        <w:rPr>
          <w:rFonts w:ascii="Arial" w:cs="Arial" w:eastAsia="Arial" w:hAnsi="Arial"/>
          <w:sz w:val="18"/>
          <w:szCs w:val="18"/>
          <w:color w:val="auto"/>
        </w:rPr>
      </w:pPr>
    </w:p>
    <w:p>
      <w:pPr>
        <w:ind w:left="1240" w:right="60" w:hanging="523"/>
        <w:spacing w:after="0" w:line="274"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Expert Data Scientists. </w:t>
      </w:r>
      <w:r>
        <w:rPr>
          <w:rFonts w:ascii="Arial" w:cs="Arial" w:eastAsia="Arial" w:hAnsi="Arial"/>
          <w:sz w:val="17"/>
          <w:szCs w:val="17"/>
          <w:color w:val="auto"/>
        </w:rPr>
        <w:t>Our Chief Data Sciences Officer, Dr. John Reynders, leads our team of data scientists. Dr. Reynders is an</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experienced data scientist with over two decades of experience in computational science and its integration in the drug development process. He has served as Vice President of Data Science, Genomics and Bioinformatics at Alexion Pharmaceuticals, Founding Chief Information Officer at Moderna Therapeutics and Head of Neuroscience Biomarkers and Integrative Solutions at Johnson &amp; Johnson. Our Vice President, Head of Data Sciences, Dr. Andrew Jaffe, is a leader in the field of computational neurogenetics and was previously an associate professor at Johns Hopkins University.</w:t>
      </w:r>
    </w:p>
    <w:p>
      <w:pPr>
        <w:spacing w:after="0" w:line="78" w:lineRule="exact"/>
        <w:rPr>
          <w:rFonts w:ascii="Arial" w:cs="Arial" w:eastAsia="Arial" w:hAnsi="Arial"/>
          <w:sz w:val="17"/>
          <w:szCs w:val="17"/>
          <w:color w:val="auto"/>
        </w:rPr>
      </w:pPr>
    </w:p>
    <w:p>
      <w:pPr>
        <w:ind w:left="1240" w:right="140" w:hanging="523"/>
        <w:spacing w:after="0" w:line="274"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Scientific and Technical Advisory Boards. </w:t>
      </w:r>
      <w:r>
        <w:rPr>
          <w:rFonts w:ascii="Arial" w:cs="Arial" w:eastAsia="Arial" w:hAnsi="Arial"/>
          <w:sz w:val="17"/>
          <w:szCs w:val="17"/>
          <w:color w:val="auto"/>
        </w:rPr>
        <w:t>We have built a scientific advisory board with research and drug development expertise</w:t>
      </w:r>
      <w:r>
        <w:rPr>
          <w:rFonts w:ascii="Arial" w:cs="Arial" w:eastAsia="Arial" w:hAnsi="Arial"/>
          <w:sz w:val="17"/>
          <w:szCs w:val="17"/>
          <w:b w:val="1"/>
          <w:bCs w:val="1"/>
          <w:color w:val="auto"/>
        </w:rPr>
        <w:t xml:space="preserve"> </w:t>
      </w:r>
      <w:r>
        <w:rPr>
          <w:rFonts w:ascii="Arial" w:cs="Arial" w:eastAsia="Arial" w:hAnsi="Arial"/>
          <w:sz w:val="17"/>
          <w:szCs w:val="17"/>
          <w:color w:val="auto"/>
        </w:rPr>
        <w:t>spanning molecular genetics, neurobiology, molecular cell biology, neural circuitry, medicinal chemistry, translational medicine and the development of statistical methodologies across a broad spectrum of neuropsychiatric disorders and neurodegenerative diseases. We have also established a technical advisory board with expertise that includes computational and cognitive neuroscience, brain behavior mapping, the identification of biomarkers and treatment response, and the application of data science, AI/ML and digital tools to the development and delivery of therapeutics.</w:t>
      </w:r>
    </w:p>
    <w:p>
      <w:pPr>
        <w:spacing w:after="0" w:line="78" w:lineRule="exact"/>
        <w:rPr>
          <w:rFonts w:ascii="Arial" w:cs="Arial" w:eastAsia="Arial" w:hAnsi="Arial"/>
          <w:sz w:val="17"/>
          <w:szCs w:val="17"/>
          <w:color w:val="auto"/>
        </w:rPr>
      </w:pPr>
    </w:p>
    <w:p>
      <w:pPr>
        <w:ind w:left="1240" w:right="260" w:hanging="523"/>
        <w:spacing w:after="0" w:line="266"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and Investors with Shared Long-Term Vision. </w:t>
      </w:r>
      <w:r>
        <w:rPr>
          <w:rFonts w:ascii="Arial" w:cs="Arial" w:eastAsia="Arial" w:hAnsi="Arial"/>
          <w:sz w:val="18"/>
          <w:szCs w:val="18"/>
          <w:color w:val="auto"/>
        </w:rPr>
        <w:t>Our board of directors is comprised of renowned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builders, operators, leaders, scientists, drug developers and investors with experience across a diverse array of companies. We have raised over $500 million of capital as of September 30, 2021.</w:t>
      </w:r>
    </w:p>
    <w:p>
      <w:pPr>
        <w:spacing w:after="0" w:line="2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33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spacing w:after="0" w:line="277" w:lineRule="auto"/>
        <w:rPr>
          <w:sz w:val="20"/>
          <w:szCs w:val="20"/>
          <w:color w:val="auto"/>
        </w:rPr>
      </w:pPr>
      <w:r>
        <w:rPr>
          <w:rFonts w:ascii="Arial" w:cs="Arial" w:eastAsia="Arial" w:hAnsi="Arial"/>
          <w:sz w:val="18"/>
          <w:szCs w:val="18"/>
          <w:color w:val="auto"/>
        </w:rPr>
        <w:t>We are supported by a group of leading institutional investors and our strategic collaborator, Amgen, who share our vision of building a groundbreaking, precision neuroscience company.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right="80" w:firstLine="426"/>
        <w:spacing w:after="0" w:line="286" w:lineRule="auto"/>
        <w:rPr>
          <w:sz w:val="20"/>
          <w:szCs w:val="20"/>
          <w:color w:val="auto"/>
        </w:rPr>
      </w:pPr>
      <w:r>
        <w:rPr>
          <w:rFonts w:ascii="Arial" w:cs="Arial" w:eastAsia="Arial" w:hAnsi="Arial"/>
          <w:sz w:val="17"/>
          <w:szCs w:val="17"/>
          <w:color w:val="auto"/>
        </w:rPr>
        <w:t>We are taking a fundamentally different approach to the way treatments for brain diseases are developed across neuropsychiatric disorders and neurodegenerative diseases. Our mission is to usher in a new era of precision neuroscience to transform care for patients and families affected by these diseases. The key components of our business strategy to deliver on our mission are to:</w:t>
      </w:r>
    </w:p>
    <w:p>
      <w:pPr>
        <w:spacing w:after="0" w:line="67" w:lineRule="exact"/>
        <w:rPr>
          <w:sz w:val="20"/>
          <w:szCs w:val="20"/>
          <w:color w:val="auto"/>
        </w:rPr>
      </w:pPr>
    </w:p>
    <w:p>
      <w:pPr>
        <w:ind w:left="1240" w:hanging="523"/>
        <w:spacing w:after="0"/>
        <w:tabs>
          <w:tab w:leader="none" w:pos="1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Build a leading global precision neuroscience company to revolutionize the treatment of brain diseases.</w:t>
      </w:r>
    </w:p>
    <w:p>
      <w:pPr>
        <w:spacing w:after="0" w:line="130" w:lineRule="exact"/>
        <w:rPr>
          <w:rFonts w:ascii="Arial" w:cs="Arial" w:eastAsia="Arial" w:hAnsi="Arial"/>
          <w:sz w:val="18"/>
          <w:szCs w:val="18"/>
          <w:b w:val="1"/>
          <w:bCs w:val="1"/>
          <w:color w:val="auto"/>
        </w:rPr>
      </w:pPr>
    </w:p>
    <w:p>
      <w:pPr>
        <w:ind w:left="1240" w:right="280" w:hanging="523"/>
        <w:spacing w:after="0" w:line="282" w:lineRule="auto"/>
        <w:tabs>
          <w:tab w:leader="none" w:pos="1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Create a dynamic encyclopedia of Precision Phenotypes across neuropsychiatric disorders and neurodegenerative diseases, which will serve as a proprietary roadmap for therapeutic application.</w:t>
      </w:r>
    </w:p>
    <w:p>
      <w:pPr>
        <w:spacing w:after="0" w:line="67" w:lineRule="exact"/>
        <w:rPr>
          <w:rFonts w:ascii="Arial" w:cs="Arial" w:eastAsia="Arial" w:hAnsi="Arial"/>
          <w:sz w:val="18"/>
          <w:szCs w:val="18"/>
          <w:b w:val="1"/>
          <w:bCs w:val="1"/>
          <w:color w:val="auto"/>
        </w:rPr>
      </w:pPr>
    </w:p>
    <w:p>
      <w:pPr>
        <w:ind w:left="1240" w:hanging="523"/>
        <w:spacing w:after="0"/>
        <w:tabs>
          <w:tab w:leader="none" w:pos="1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Build an industry-leading pipeline of precision neuroscience therapeutics.</w:t>
      </w:r>
    </w:p>
    <w:p>
      <w:pPr>
        <w:spacing w:after="0" w:line="130" w:lineRule="exact"/>
        <w:rPr>
          <w:rFonts w:ascii="Arial" w:cs="Arial" w:eastAsia="Arial" w:hAnsi="Arial"/>
          <w:sz w:val="18"/>
          <w:szCs w:val="18"/>
          <w:b w:val="1"/>
          <w:bCs w:val="1"/>
          <w:color w:val="auto"/>
        </w:rPr>
      </w:pPr>
    </w:p>
    <w:p>
      <w:pPr>
        <w:ind w:left="1240" w:hanging="523"/>
        <w:spacing w:after="0"/>
        <w:tabs>
          <w:tab w:leader="none" w:pos="1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Continually evaluate strategic external opportunities to maximize our patient impact.</w:t>
      </w:r>
    </w:p>
    <w:p>
      <w:pPr>
        <w:spacing w:after="0" w:line="130" w:lineRule="exact"/>
        <w:rPr>
          <w:rFonts w:ascii="Arial" w:cs="Arial" w:eastAsia="Arial" w:hAnsi="Arial"/>
          <w:sz w:val="18"/>
          <w:szCs w:val="18"/>
          <w:b w:val="1"/>
          <w:bCs w:val="1"/>
          <w:color w:val="auto"/>
        </w:rPr>
      </w:pPr>
    </w:p>
    <w:p>
      <w:pPr>
        <w:ind w:left="1240" w:right="40" w:hanging="523"/>
        <w:spacing w:after="0" w:line="282" w:lineRule="auto"/>
        <w:tabs>
          <w:tab w:leader="none" w:pos="1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Further enhance our intellectual property portfolio to protect our precision neuroscience platform by covering our molecules, AI/ML methods and Precision Phenotypes.</w:t>
      </w:r>
    </w:p>
    <w:p>
      <w:pPr>
        <w:spacing w:after="0" w:line="166"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Our company has been purpose-built at scale to achieve our ambitious mission of changing the paradigm for developing treatments for diseases of the brain. We intend to continue to invest at scale in our platform, our people and our programs to achieve our goal of building a global, fully integrated precision neuroscience company.</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right="220" w:firstLine="426"/>
        <w:spacing w:after="0" w:line="263"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89" w:lineRule="exact"/>
        <w:rPr>
          <w:sz w:val="20"/>
          <w:szCs w:val="20"/>
          <w:color w:val="auto"/>
        </w:rPr>
      </w:pPr>
    </w:p>
    <w:p>
      <w:pPr>
        <w:ind w:left="1240" w:right="40" w:hanging="523"/>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 clinical-stage biotechnology company and have incurred significant losses since our inception, and we expect to incur losses for the foreseeable future. We have no products approved for commercial sale and may never achieve or maintain profitability.</w:t>
      </w:r>
    </w:p>
    <w:p>
      <w:pPr>
        <w:spacing w:after="0" w:line="29" w:lineRule="exact"/>
        <w:rPr>
          <w:rFonts w:ascii="Arial" w:cs="Arial" w:eastAsia="Arial" w:hAnsi="Arial"/>
          <w:sz w:val="16"/>
          <w:szCs w:val="16"/>
          <w:color w:val="auto"/>
        </w:rPr>
      </w:pPr>
    </w:p>
    <w:p>
      <w:pPr>
        <w:ind w:left="1240" w:right="40" w:hanging="523"/>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substantial contingent consideration and related obligations from our acquisitions of assets and license and collaboration agreements may result in dilution to our stockholders, may be a drain on our cash resources, or may cause us to incur debt obligations to satisfy the payment obligations.</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to evaluate our prospects and likelihood of success.</w:t>
      </w:r>
    </w:p>
    <w:p>
      <w:pPr>
        <w:spacing w:after="0" w:line="130" w:lineRule="exact"/>
        <w:rPr>
          <w:rFonts w:ascii="Arial" w:cs="Arial" w:eastAsia="Arial" w:hAnsi="Arial"/>
          <w:sz w:val="18"/>
          <w:szCs w:val="18"/>
          <w:color w:val="auto"/>
        </w:rPr>
      </w:pPr>
    </w:p>
    <w:p>
      <w:pPr>
        <w:ind w:left="1240" w:right="220" w:hanging="523"/>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89"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successfully identify, develop and commercialize any product candidates, or experience significant delays in doing so, our business, financial condition and results of operations will be materially adversely affected.</w:t>
      </w:r>
    </w:p>
    <w:p>
      <w:pPr>
        <w:spacing w:after="0" w:line="75" w:lineRule="exact"/>
        <w:rPr>
          <w:rFonts w:ascii="Arial" w:cs="Arial" w:eastAsia="Arial" w:hAnsi="Arial"/>
          <w:sz w:val="18"/>
          <w:szCs w:val="18"/>
          <w:color w:val="auto"/>
        </w:rPr>
      </w:pPr>
    </w:p>
    <w:p>
      <w:pPr>
        <w:ind w:left="1240" w:right="120" w:hanging="523"/>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were founded with a mission to pioneer a new era of precision medicines for the treatment of neuropsychiatric disorders and neurodegenerative diseases, a field that has seen very limited success in drug development. The ability to successfully develop drugs in this field is extremely difficult and is subject to a number of unique challenges.</w:t>
      </w:r>
    </w:p>
    <w:p>
      <w:pPr>
        <w:spacing w:after="0" w:line="2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hanging="523"/>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precision neuroscience platform is based on a novel approach and unique technologies that collectively are unproven and may never prove to be successful or only provide varying degrees of success, including the ability to consistently identify and match target or distinct patient populations with precision medicines.</w:t>
      </w:r>
    </w:p>
    <w:p>
      <w:pPr>
        <w:spacing w:after="0" w:line="89" w:lineRule="exact"/>
        <w:rPr>
          <w:rFonts w:ascii="Arial" w:cs="Arial" w:eastAsia="Arial" w:hAnsi="Arial"/>
          <w:sz w:val="18"/>
          <w:szCs w:val="18"/>
          <w:color w:val="auto"/>
        </w:rPr>
      </w:pPr>
    </w:p>
    <w:p>
      <w:pPr>
        <w:ind w:left="1240" w:right="140" w:hanging="523"/>
        <w:spacing w:after="0" w:line="259"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invested and expect to continue to invest in acquiring product candidates, technologies and assets, as well as research and development efforts that further enhance our product pipeline and precision neuroscience platform. Such investments may affect our operating results, and, if the return on these investments is lower or develops more slowly than we expect, our revenue and operating results may suffer.</w:t>
      </w:r>
    </w:p>
    <w:p>
      <w:pPr>
        <w:spacing w:after="0" w:line="92" w:lineRule="exact"/>
        <w:rPr>
          <w:rFonts w:ascii="Arial" w:cs="Arial" w:eastAsia="Arial" w:hAnsi="Arial"/>
          <w:sz w:val="18"/>
          <w:szCs w:val="18"/>
          <w:color w:val="auto"/>
        </w:rPr>
      </w:pPr>
    </w:p>
    <w:p>
      <w:pPr>
        <w:ind w:left="1240" w:right="22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experienced rapid growth since our inception in November 2019, and expect to continue to grow in the future. If we fail to effectively manage our growth, we may not be able to execute on our business objectives.</w:t>
      </w:r>
    </w:p>
    <w:p>
      <w:pPr>
        <w:spacing w:after="0" w:line="75" w:lineRule="exact"/>
        <w:rPr>
          <w:rFonts w:ascii="Arial" w:cs="Arial" w:eastAsia="Arial" w:hAnsi="Arial"/>
          <w:sz w:val="18"/>
          <w:szCs w:val="18"/>
          <w:color w:val="auto"/>
        </w:rPr>
      </w:pPr>
    </w:p>
    <w:p>
      <w:pPr>
        <w:ind w:left="1240" w:right="18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data driven, precision neuroscience platform and products and our future growth depends on attracting, hiring and retaining our key personnel and recruiting additional qualified personnel.</w:t>
      </w:r>
    </w:p>
    <w:p>
      <w:pPr>
        <w:spacing w:after="0" w:line="75" w:lineRule="exact"/>
        <w:rPr>
          <w:rFonts w:ascii="Arial" w:cs="Arial" w:eastAsia="Arial" w:hAnsi="Arial"/>
          <w:sz w:val="18"/>
          <w:szCs w:val="18"/>
          <w:color w:val="auto"/>
        </w:rPr>
      </w:pPr>
    </w:p>
    <w:p>
      <w:pPr>
        <w:ind w:left="1240" w:right="8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realize the benefits of technologies that we have acquired, or will acquire in the future, or other strategic transactions that we have or will consummate.</w:t>
      </w:r>
    </w:p>
    <w:p>
      <w:pPr>
        <w:spacing w:after="0" w:line="75" w:lineRule="exact"/>
        <w:rPr>
          <w:rFonts w:ascii="Arial" w:cs="Arial" w:eastAsia="Arial" w:hAnsi="Arial"/>
          <w:sz w:val="18"/>
          <w:szCs w:val="18"/>
          <w:color w:val="auto"/>
        </w:rPr>
      </w:pPr>
    </w:p>
    <w:p>
      <w:pPr>
        <w:ind w:left="1240" w:right="104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operate in highly competitive and rapidly changing industries, which may result in others discovering, developing or commercializing competing products before or more successfully than we do.</w:t>
      </w:r>
    </w:p>
    <w:p>
      <w:pPr>
        <w:spacing w:after="0" w:line="75" w:lineRule="exact"/>
        <w:rPr>
          <w:rFonts w:ascii="Arial" w:cs="Arial" w:eastAsia="Arial" w:hAnsi="Arial"/>
          <w:sz w:val="18"/>
          <w:szCs w:val="18"/>
          <w:color w:val="auto"/>
        </w:rPr>
      </w:pPr>
    </w:p>
    <w:p>
      <w:pPr>
        <w:jc w:val="both"/>
        <w:ind w:left="1240" w:right="100" w:hanging="523"/>
        <w:spacing w:after="0" w:line="311"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Preclinical and clinical drug development is a lengthy and expensive process, with an uncertain outcome. Our preclinical and clinical programs have and may experience delays or may never advance, which would adversely affect ability to obtain regulatory approvals or commercialize our product candidates on a timely basis or at all, which could have an adverse effect on our business.</w:t>
      </w:r>
    </w:p>
    <w:p>
      <w:pPr>
        <w:spacing w:after="0" w:line="54" w:lineRule="exact"/>
        <w:rPr>
          <w:rFonts w:ascii="Arial" w:cs="Arial" w:eastAsia="Arial" w:hAnsi="Arial"/>
          <w:sz w:val="16"/>
          <w:szCs w:val="16"/>
          <w:color w:val="auto"/>
        </w:rPr>
      </w:pPr>
    </w:p>
    <w:p>
      <w:pPr>
        <w:jc w:val="both"/>
        <w:ind w:left="1240" w:right="60" w:hanging="523"/>
        <w:spacing w:after="0" w:line="311"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development and commercialization of drug products is subject to extensive regulation, and the regulatory approval processes of the FDA and comparable foreign authorities are lengthy, time-consuming, and inherently unpredictable. If we are ultimately unable to obtain regulatory approval for our product candidates on a timely basis or at all, our business will be substantially harmed.</w:t>
      </w:r>
    </w:p>
    <w:p>
      <w:pPr>
        <w:spacing w:after="0" w:line="54" w:lineRule="exact"/>
        <w:rPr>
          <w:rFonts w:ascii="Arial" w:cs="Arial" w:eastAsia="Arial" w:hAnsi="Arial"/>
          <w:sz w:val="16"/>
          <w:szCs w:val="16"/>
          <w:color w:val="auto"/>
        </w:rPr>
      </w:pPr>
    </w:p>
    <w:p>
      <w:pPr>
        <w:ind w:left="1240" w:hanging="523"/>
        <w:spacing w:after="0" w:line="25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on intellectual property licensed from third parties and we are party to in-license agreements under which we acquired rights to use, develop, manufacture and/or commercialize certain of our proprietary technologies and product candidates. If we breach our obligations under these agreements or if any of these agreements is terminated, or otherwise experience disruptions to our business relationships with our licensors, we may be required to pay damages, lose our rights to such intellectual property and technology, or both, which would harm our business.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and Other Information</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We were founded in November 2019 as a Delaware corporation under the name RBNC Therapeutics, Inc. We changed our name to Neumora Therapeutics, Inc. in October 2021. Our principal executive offices are located at 65 Grove Street, Watertown, Massachusetts 02472, and our telephone number is (857) 760-0900.</w:t>
      </w:r>
    </w:p>
    <w:p>
      <w:pPr>
        <w:spacing w:after="0" w:line="184" w:lineRule="exact"/>
        <w:rPr>
          <w:sz w:val="20"/>
          <w:szCs w:val="20"/>
          <w:color w:val="auto"/>
        </w:rPr>
      </w:pPr>
    </w:p>
    <w:p>
      <w:pPr>
        <w:ind w:left="300" w:right="160" w:firstLine="426"/>
        <w:spacing w:after="0" w:line="308" w:lineRule="auto"/>
        <w:rPr>
          <w:sz w:val="20"/>
          <w:szCs w:val="20"/>
          <w:color w:val="auto"/>
        </w:rPr>
      </w:pPr>
      <w:r>
        <w:rPr>
          <w:rFonts w:ascii="Arial" w:cs="Arial" w:eastAsia="Arial" w:hAnsi="Arial"/>
          <w:sz w:val="17"/>
          <w:szCs w:val="17"/>
          <w:color w:val="auto"/>
        </w:rPr>
        <w:t>Our website address is www.neumoratx.com. The information on, or that can be accessed through, our website is not part of this prospectus and is not incorporated by reference herein. We have included our website address as an inactive textual reference only.</w:t>
      </w: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64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48647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We will remain an emerging growth company until the earliest of: (i) the last day of the fiscal year following the fifth anniversary of the consummation of this offering; (ii) the last day of the fiscal year in which we have total annual gross revenue of at least $1.07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71" w:lineRule="exact"/>
        <w:rPr>
          <w:sz w:val="20"/>
          <w:szCs w:val="20"/>
          <w:color w:val="auto"/>
        </w:rPr>
      </w:pPr>
    </w:p>
    <w:p>
      <w:pPr>
        <w:ind w:left="1240" w:right="660" w:hanging="523"/>
        <w:spacing w:after="0" w:line="30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will present in this prospectus only two years of audited annual financial statements, plus any required unaudited financial statements, and related management’s discussion and analysis of financial condition and results of operations;</w:t>
      </w:r>
    </w:p>
    <w:p>
      <w:pPr>
        <w:spacing w:after="0" w:line="51" w:lineRule="exact"/>
        <w:rPr>
          <w:rFonts w:ascii="Arial" w:cs="Arial" w:eastAsia="Arial" w:hAnsi="Arial"/>
          <w:sz w:val="17"/>
          <w:szCs w:val="17"/>
          <w:color w:val="auto"/>
        </w:rPr>
      </w:pPr>
    </w:p>
    <w:p>
      <w:pPr>
        <w:ind w:left="1240" w:right="100" w:hanging="523"/>
        <w:spacing w:after="0" w:line="342"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w:t>
      </w:r>
    </w:p>
    <w:p>
      <w:pPr>
        <w:spacing w:after="0" w:line="29" w:lineRule="exact"/>
        <w:rPr>
          <w:rFonts w:ascii="Arial" w:cs="Arial" w:eastAsia="Arial" w:hAnsi="Arial"/>
          <w:sz w:val="16"/>
          <w:szCs w:val="16"/>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will not require non-binding, advisory stockholder votes on executive compensation or golden parachute arrangements.</w:t>
      </w:r>
    </w:p>
    <w:p>
      <w:pPr>
        <w:spacing w:after="0" w:line="23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have and may adopt certain new or revised accounting standards early.</w:t>
      </w:r>
    </w:p>
    <w:p>
      <w:pPr>
        <w:spacing w:after="0" w:line="188" w:lineRule="exact"/>
        <w:rPr>
          <w:sz w:val="20"/>
          <w:szCs w:val="20"/>
          <w:color w:val="auto"/>
        </w:rPr>
      </w:pPr>
    </w:p>
    <w:p>
      <w:pPr>
        <w:ind w:left="300" w:right="120" w:firstLine="426"/>
        <w:spacing w:after="0" w:line="273"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78"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As a result, the information in this prospectus and that we provide to our investors in the future may be different than what you might receive from other public reporting companies.</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20"/>
          </w:cols>
          <w:pgMar w:left="320" w:top="459" w:right="65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11" w:lineRule="exact"/>
        <w:rPr>
          <w:sz w:val="20"/>
          <w:szCs w:val="20"/>
          <w:color w:val="auto"/>
        </w:rPr>
      </w:pPr>
    </w:p>
    <w:p>
      <w:pPr>
        <w:sectPr>
          <w:pgSz w:w="11900" w:h="16838" w:orient="portrait"/>
          <w:cols w:equalWidth="0" w:num="2">
            <w:col w:w="4020" w:space="720"/>
            <w:col w:w="6180"/>
          </w:cols>
          <w:pgMar w:left="320" w:top="459" w:right="659" w:bottom="1440" w:gutter="0" w:footer="0" w:header="0"/>
          <w:type w:val="continuous"/>
        </w:sectPr>
      </w:pPr>
    </w:p>
    <w:p>
      <w:pPr>
        <w:spacing w:after="0" w:line="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 to purchase additional shares of common stock</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shares.</w:t>
      </w:r>
    </w:p>
    <w:p>
      <w:pPr>
        <w:spacing w:after="0" w:line="234" w:lineRule="exact"/>
        <w:rPr>
          <w:sz w:val="20"/>
          <w:szCs w:val="20"/>
          <w:color w:val="auto"/>
        </w:rPr>
      </w:pPr>
    </w:p>
    <w:p>
      <w:pPr>
        <w:sectPr>
          <w:pgSz w:w="11900" w:h="16838" w:orient="portrait"/>
          <w:cols w:equalWidth="0" w:num="2">
            <w:col w:w="4220" w:space="480"/>
            <w:col w:w="6220"/>
          </w:cols>
          <w:pgMar w:left="320" w:top="459" w:right="659" w:bottom="1440" w:gutter="0" w:footer="0" w:header="0"/>
          <w:type w:val="continuous"/>
        </w:sectPr>
      </w:pPr>
    </w:p>
    <w:p>
      <w:pPr>
        <w:spacing w:after="0" w:line="62"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both"/>
        <w:ind w:firstLine="360"/>
        <w:spacing w:after="0" w:line="381" w:lineRule="auto"/>
        <w:rPr>
          <w:sz w:val="20"/>
          <w:szCs w:val="20"/>
          <w:color w:val="auto"/>
        </w:rPr>
      </w:pPr>
      <w:r>
        <w:rPr>
          <w:rFonts w:ascii="Arial" w:cs="Arial" w:eastAsia="Arial" w:hAnsi="Arial"/>
          <w:sz w:val="15"/>
          <w:szCs w:val="15"/>
          <w:color w:val="auto"/>
        </w:rPr>
        <w:t>shares (or shares in full).</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shares if the underwriters exercise their option to purchase additional</w:t>
      </w:r>
    </w:p>
    <w:p>
      <w:pPr>
        <w:spacing w:after="0" w:line="477" w:lineRule="exact"/>
        <w:rPr>
          <w:sz w:val="20"/>
          <w:szCs w:val="20"/>
          <w:color w:val="auto"/>
        </w:rPr>
      </w:pPr>
    </w:p>
    <w:p>
      <w:pPr>
        <w:sectPr>
          <w:pgSz w:w="11900" w:h="16838" w:orient="portrait"/>
          <w:cols w:equalWidth="0" w:num="3">
            <w:col w:w="4300" w:space="40"/>
            <w:col w:w="1060" w:space="440"/>
            <w:col w:w="50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estimate that the net proceeds to us from this offering will be approximately</w:t>
      </w:r>
    </w:p>
    <w:p>
      <w:pPr>
        <w:spacing w:after="0" w:line="23" w:lineRule="exact"/>
        <w:rPr>
          <w:sz w:val="20"/>
          <w:szCs w:val="20"/>
          <w:color w:val="auto"/>
        </w:rPr>
      </w:pPr>
    </w:p>
    <w:p>
      <w:pPr>
        <w:spacing w:after="0"/>
        <w:tabs>
          <w:tab w:leader="none" w:pos="460" w:val="left"/>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6"/>
          <w:szCs w:val="16"/>
          <w:color w:val="auto"/>
        </w:rPr>
        <w:t>million if the underwriters exercise their option to</w:t>
      </w:r>
    </w:p>
    <w:p>
      <w:pPr>
        <w:spacing w:after="0" w:line="9"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purchase additional shares in full) assuming an initial public offering price of $</w:t>
      </w:r>
      <w:r>
        <w:rPr>
          <w:sz w:val="20"/>
          <w:szCs w:val="20"/>
          <w:color w:val="auto"/>
        </w:rPr>
        <w:tab/>
      </w:r>
      <w:r>
        <w:rPr>
          <w:rFonts w:ascii="Arial" w:cs="Arial" w:eastAsia="Arial" w:hAnsi="Arial"/>
          <w:sz w:val="15"/>
          <w:szCs w:val="15"/>
          <w:color w:val="auto"/>
        </w:rPr>
        <w:t>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which is the midpoint of the price range set forth on the cover page of this</w:t>
      </w:r>
    </w:p>
    <w:p>
      <w:pPr>
        <w:spacing w:after="0" w:line="9"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4340" w:right="300"/>
        <w:spacing w:after="0" w:line="260" w:lineRule="auto"/>
        <w:rPr>
          <w:sz w:val="20"/>
          <w:szCs w:val="20"/>
          <w:color w:val="auto"/>
        </w:rPr>
      </w:pPr>
      <w:r>
        <w:rPr>
          <w:rFonts w:ascii="Arial" w:cs="Arial" w:eastAsia="Arial" w:hAnsi="Arial"/>
          <w:sz w:val="18"/>
          <w:szCs w:val="18"/>
          <w:color w:val="auto"/>
        </w:rPr>
        <w:t>prospectus, and after deducting estimated underwriting discounts and commissions and estimated offering expenses payable by us.</w:t>
      </w:r>
    </w:p>
    <w:p>
      <w:pPr>
        <w:spacing w:after="0" w:line="185" w:lineRule="exact"/>
        <w:rPr>
          <w:sz w:val="20"/>
          <w:szCs w:val="20"/>
          <w:color w:val="auto"/>
        </w:rPr>
      </w:pPr>
    </w:p>
    <w:p>
      <w:pPr>
        <w:ind w:left="300" w:right="20" w:firstLine="36"/>
        <w:spacing w:after="0" w:line="255" w:lineRule="auto"/>
        <w:rPr>
          <w:sz w:val="20"/>
          <w:szCs w:val="20"/>
          <w:color w:val="auto"/>
        </w:rPr>
      </w:pPr>
      <w:r>
        <w:rPr>
          <w:rFonts w:ascii="Arial" w:cs="Arial" w:eastAsia="Arial" w:hAnsi="Arial"/>
          <w:sz w:val="18"/>
          <w:szCs w:val="18"/>
          <w:color w:val="auto"/>
        </w:rPr>
        <w:t>We currently intend to use the net proceeds from this offering, together with our existing cash, to fund the clinical and preclinical development of our current programs, to advance our precision neuroscience platform, to fund research and development activities for additional programs, and the remainder for working capital and other general corporate purposes. We may also use a portion of the net proceeds to in-license, acquire, or invest in, complementary technologies, assets, or intellectual property. We regularly evaluate strategic opportunities; however, we have no current commitments to enter into any such license arrangements or acquisition agreements or to make any such investments. See the section titled “Use of Proceeds.”</w:t>
      </w:r>
    </w:p>
    <w:p>
      <w:pPr>
        <w:sectPr>
          <w:pgSz w:w="11900" w:h="16838" w:orient="portrait"/>
          <w:cols w:equalWidth="0" w:num="1">
            <w:col w:w="10920"/>
          </w:cols>
          <w:pgMar w:left="320" w:top="459" w:right="659" w:bottom="1440" w:gutter="0" w:footer="0" w:header="0"/>
          <w:type w:val="continuous"/>
        </w:sectPr>
      </w:pPr>
    </w:p>
    <w:p>
      <w:pPr>
        <w:spacing w:after="0" w:line="19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the section titled “Risk Factors” and other information included in this prospectus for a discussion of factors you should carefully consider before deciding whether to invest in our common stock.</w:t>
      </w:r>
    </w:p>
    <w:p>
      <w:pPr>
        <w:spacing w:after="0" w:line="184"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Proposed 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“NMRA”</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3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Unless we specifically state otherwise or the context otherwise requires, the number of shares of our common stock to be outstanding after</w:t>
      </w:r>
    </w:p>
    <w:p>
      <w:pPr>
        <w:spacing w:after="0" w:line="46" w:lineRule="exact"/>
        <w:rPr>
          <w:sz w:val="20"/>
          <w:szCs w:val="20"/>
          <w:color w:val="auto"/>
        </w:rPr>
      </w:pPr>
    </w:p>
    <w:p>
      <w:pPr>
        <w:ind w:left="300" w:right="100"/>
        <w:spacing w:after="0" w:line="255" w:lineRule="auto"/>
        <w:rPr>
          <w:sz w:val="20"/>
          <w:szCs w:val="20"/>
          <w:color w:val="auto"/>
        </w:rPr>
      </w:pPr>
      <w:r>
        <w:rPr>
          <w:rFonts w:ascii="Arial" w:cs="Arial" w:eastAsia="Arial" w:hAnsi="Arial"/>
          <w:sz w:val="18"/>
          <w:szCs w:val="18"/>
          <w:color w:val="auto"/>
        </w:rPr>
        <w:t>this offering is based on shares of common stock outstanding as of September 30, 2021 (after giving effect to the conversion of all of our shares of convertible preferred stock outstanding as of September 30, 2021 into an aggregate of shares of our common stock immediately prior to the completion of this offering) and excludes:</w:t>
      </w:r>
    </w:p>
    <w:p>
      <w:pPr>
        <w:spacing w:after="0" w:line="95" w:lineRule="exact"/>
        <w:rPr>
          <w:sz w:val="20"/>
          <w:szCs w:val="20"/>
          <w:color w:val="auto"/>
        </w:rPr>
      </w:pPr>
    </w:p>
    <w:p>
      <w:pPr>
        <w:ind w:left="1820" w:hanging="1103"/>
        <w:spacing w:after="0"/>
        <w:tabs>
          <w:tab w:leader="none" w:pos="1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of our common stock issuable upon the exercise of stock options outstanding as of September 30, 2021, with a</w:t>
      </w:r>
    </w:p>
    <w:p>
      <w:pPr>
        <w:spacing w:after="0" w:line="35" w:lineRule="exact"/>
        <w:rPr>
          <w:sz w:val="20"/>
          <w:szCs w:val="20"/>
          <w:color w:val="auto"/>
        </w:rPr>
      </w:pPr>
    </w:p>
    <w:p>
      <w:pPr>
        <w:ind w:left="1240"/>
        <w:spacing w:after="0"/>
        <w:tabs>
          <w:tab w:leader="none" w:pos="426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820" w:hanging="1103"/>
        <w:spacing w:after="0"/>
        <w:tabs>
          <w:tab w:leader="none" w:pos="1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shares of our common stock issuable upon the exercise of stock options granted subsequent to September 30, 2021, with a</w:t>
      </w:r>
    </w:p>
    <w:p>
      <w:pPr>
        <w:spacing w:after="0" w:line="46" w:lineRule="exact"/>
        <w:rPr>
          <w:sz w:val="20"/>
          <w:szCs w:val="20"/>
          <w:color w:val="auto"/>
        </w:rPr>
      </w:pPr>
    </w:p>
    <w:p>
      <w:pPr>
        <w:ind w:left="1240"/>
        <w:spacing w:after="0"/>
        <w:tabs>
          <w:tab w:leader="none" w:pos="426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820" w:hanging="1103"/>
        <w:spacing w:after="0"/>
        <w:tabs>
          <w:tab w:leader="none" w:pos="1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warrants outstanding as of September 30, 2021 to purchase shares of</w:t>
      </w:r>
    </w:p>
    <w:p>
      <w:pPr>
        <w:spacing w:after="0" w:line="46" w:lineRule="exact"/>
        <w:rPr>
          <w:sz w:val="20"/>
          <w:szCs w:val="20"/>
          <w:color w:val="auto"/>
        </w:rPr>
      </w:pPr>
    </w:p>
    <w:p>
      <w:pPr>
        <w:ind w:left="1240"/>
        <w:spacing w:after="0"/>
        <w:tabs>
          <w:tab w:leader="none" w:pos="8000" w:val="left"/>
        </w:tabs>
        <w:rPr>
          <w:sz w:val="20"/>
          <w:szCs w:val="20"/>
          <w:color w:val="auto"/>
        </w:rPr>
      </w:pPr>
      <w:r>
        <w:rPr>
          <w:rFonts w:ascii="Arial" w:cs="Arial" w:eastAsia="Arial" w:hAnsi="Arial"/>
          <w:sz w:val="18"/>
          <w:szCs w:val="18"/>
          <w:color w:val="auto"/>
        </w:rPr>
        <w:t>our Series A-1 convertible preferred stock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240" w:right="740" w:hanging="523"/>
        <w:spacing w:after="0" w:line="277" w:lineRule="auto"/>
        <w:tabs>
          <w:tab w:leader="none" w:pos="18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2020 Equity Incentive Plan (the 2020 Plan) as of September 30, 2021;</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070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3107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line="342" w:lineRule="auto"/>
        <w:tabs>
          <w:tab w:leader="none" w:pos="18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the 2015 BlackThorn Therapeutics, Inc. Equity Incentive Plan (the 2015 Plan), which we assumed and have subsequently suspended in connection with the closing of our acquisition of BlackThorn;</w:t>
      </w:r>
    </w:p>
    <w:p>
      <w:pPr>
        <w:spacing w:after="0" w:line="29" w:lineRule="exact"/>
        <w:rPr>
          <w:rFonts w:ascii="Arial" w:cs="Arial" w:eastAsia="Arial" w:hAnsi="Arial"/>
          <w:sz w:val="16"/>
          <w:szCs w:val="16"/>
          <w:color w:val="auto"/>
        </w:rPr>
      </w:pPr>
    </w:p>
    <w:p>
      <w:pPr>
        <w:jc w:val="both"/>
        <w:ind w:left="1240" w:right="320" w:hanging="523"/>
        <w:spacing w:after="0" w:line="311" w:lineRule="auto"/>
        <w:tabs>
          <w:tab w:leader="none" w:pos="18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the 2022 Incentive Award Plan (the 2022 Plan), which will become effective on the date immediately prior to the date our registration statement relating to this offering becomes effective, as well as any future increases in the number of shares of common stock reserved for issuance under the 2022 Plan; and</w:t>
      </w:r>
    </w:p>
    <w:p>
      <w:pPr>
        <w:spacing w:after="0" w:line="54" w:lineRule="exact"/>
        <w:rPr>
          <w:rFonts w:ascii="Arial" w:cs="Arial" w:eastAsia="Arial" w:hAnsi="Arial"/>
          <w:sz w:val="16"/>
          <w:szCs w:val="16"/>
          <w:color w:val="auto"/>
        </w:rPr>
      </w:pPr>
    </w:p>
    <w:p>
      <w:pPr>
        <w:jc w:val="both"/>
        <w:ind w:left="1240" w:right="340" w:hanging="523"/>
        <w:spacing w:after="0" w:line="311" w:lineRule="auto"/>
        <w:tabs>
          <w:tab w:leader="none" w:pos="18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Employee Stock Purchase Plan (the ESPP), which will become effective on the date immediately prior to the date our registration statement relating to this offering becomes effective, as well as any future increases in the number of shares of common stock reserved for issuance under the ESPP.</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we specifically state otherwise or the context otherwise requires, this prospectus reflects and assumes the following:</w:t>
      </w:r>
    </w:p>
    <w:p>
      <w:pPr>
        <w:spacing w:after="0" w:line="131" w:lineRule="exact"/>
        <w:rPr>
          <w:sz w:val="20"/>
          <w:szCs w:val="20"/>
          <w:color w:val="auto"/>
        </w:rPr>
      </w:pPr>
    </w:p>
    <w:p>
      <w:pPr>
        <w:ind w:left="1240" w:right="16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adoption, filing and effectiveness of our amended and restated certificate of incorporation immediately prior to the completion of this offering;</w:t>
      </w:r>
    </w:p>
    <w:p>
      <w:pPr>
        <w:sectPr>
          <w:pgSz w:w="11900" w:h="16838" w:orient="portrait"/>
          <w:cols w:equalWidth="0" w:num="1">
            <w:col w:w="10940"/>
          </w:cols>
          <w:pgMar w:left="320" w:top="459" w:right="639" w:bottom="1440" w:gutter="0" w:footer="0" w:header="0"/>
        </w:sectPr>
      </w:pPr>
    </w:p>
    <w:p>
      <w:pPr>
        <w:spacing w:after="0" w:line="7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conversion of all outstanding shares of our convertible preferred stock outstanding into immediately prior to the completion of this offering;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w:t>
      </w:r>
    </w:p>
    <w:p>
      <w:pPr>
        <w:spacing w:after="0" w:line="369" w:lineRule="exact"/>
        <w:rPr>
          <w:sz w:val="20"/>
          <w:szCs w:val="20"/>
          <w:color w:val="auto"/>
        </w:rPr>
      </w:pPr>
    </w:p>
    <w:p>
      <w:pPr>
        <w:sectPr>
          <w:pgSz w:w="11900" w:h="16838" w:orient="portrait"/>
          <w:cols w:equalWidth="0" w:num="3">
            <w:col w:w="780" w:space="460"/>
            <w:col w:w="6780" w:space="720"/>
            <w:col w:w="2200"/>
          </w:cols>
          <w:pgMar w:left="320" w:top="459" w:right="639" w:bottom="1440" w:gutter="0" w:footer="0" w:header="0"/>
          <w:type w:val="continuous"/>
        </w:sectPr>
      </w:pPr>
    </w:p>
    <w:p>
      <w:pPr>
        <w:ind w:left="1240" w:hanging="523"/>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settlement or termination of outstanding stock options;</w:t>
      </w:r>
    </w:p>
    <w:p>
      <w:pPr>
        <w:spacing w:after="0" w:line="131" w:lineRule="exact"/>
        <w:rPr>
          <w:sz w:val="20"/>
          <w:szCs w:val="20"/>
          <w:color w:val="auto"/>
        </w:rPr>
      </w:pPr>
    </w:p>
    <w:p>
      <w:pPr>
        <w:ind w:left="720"/>
        <w:spacing w:after="0"/>
        <w:tabs>
          <w:tab w:leader="none" w:pos="1220" w:val="left"/>
          <w:tab w:leader="none" w:pos="2060" w:val="left"/>
          <w:tab w:leader="none" w:pos="3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6"/>
          <w:szCs w:val="16"/>
          <w:color w:val="auto"/>
        </w:rPr>
        <w:t>stock split of our capital stock to be effected prior to the completion of this offering; and</w:t>
      </w:r>
    </w:p>
    <w:p>
      <w:pPr>
        <w:spacing w:after="0" w:line="131" w:lineRule="exact"/>
        <w:rPr>
          <w:sz w:val="20"/>
          <w:szCs w:val="20"/>
          <w:color w:val="auto"/>
        </w:rPr>
      </w:pPr>
    </w:p>
    <w:p>
      <w:pPr>
        <w:ind w:left="5540" w:right="1520" w:hanging="4823"/>
        <w:spacing w:after="0" w:line="653" w:lineRule="auto"/>
        <w:tabs>
          <w:tab w:leader="none" w:pos="12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 in this offering. 11</w:t>
      </w:r>
    </w:p>
    <w:p>
      <w:pPr>
        <w:sectPr>
          <w:pgSz w:w="11900" w:h="16838" w:orient="portrait"/>
          <w:cols w:equalWidth="0" w:num="1">
            <w:col w:w="10940"/>
          </w:cols>
          <w:pgMar w:left="320" w:top="459" w:right="6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0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00" w:right="40" w:firstLine="426"/>
        <w:spacing w:after="0" w:line="268" w:lineRule="auto"/>
        <w:rPr>
          <w:sz w:val="20"/>
          <w:szCs w:val="20"/>
          <w:color w:val="auto"/>
        </w:rPr>
      </w:pPr>
      <w:r>
        <w:rPr>
          <w:rFonts w:ascii="Arial" w:cs="Arial" w:eastAsia="Arial" w:hAnsi="Arial"/>
          <w:sz w:val="17"/>
          <w:szCs w:val="17"/>
          <w:color w:val="auto"/>
        </w:rPr>
        <w:t>The following tables summarize our consolidated financial data for the periods and as of the dates indicated. We have derived the summary consolidated statements of operations and comprehensive loss data for the period from November 22, 2019 (inception) to December 31, 2019 and the year ended December 31, 2020, except for pro forma amounts, from our audited consolidated financial statements and related notes included elsewhere in this prospectus. We have derived the summary consolidated statements of operations and comprehensive loss data for the nine months ended September 30, 2020 and 2021, except for pro forma amounts, and the summary consolidated balance sheet data as of September 30, 2021, except for pro forma amounts, from our unaudited condensed consolidated financial statements and related notes as of and for the nine months ended September 30, 2020 and 2021 included elsewhere in this prospectus. Our unaudited condensed consolidated financial statements were prepared on a basis consistent with our audited consolidated financial statements and include, in our opinion, all adjustments of a normal and recurring nature that are necessary for the fair statement of the financial information set forth in those statements included elsewhere in this prospectus. Our historical results are not necessarily indicative of results that may be expected in the future and our interim results are not necessarily indicative of results that may be expected for the full year. You should read the following summary consolidated financial data together with our audited consolidated financial statements, unaudited condensed consolidated financial statements and the related notes included elsewhere in this prospectus and the information in the section titled “Management’s Discussion and Analysis of Financial Condition and Results of Operations.”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Period from</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7"/>
            <w:vMerge w:val="restart"/>
          </w:tcPr>
          <w:p>
            <w:pPr>
              <w:jc w:val="center"/>
              <w:ind w:right="80"/>
              <w:spacing w:after="0"/>
              <w:rPr>
                <w:sz w:val="20"/>
                <w:szCs w:val="20"/>
                <w:color w:val="auto"/>
              </w:rPr>
            </w:pPr>
            <w:r>
              <w:rPr>
                <w:rFonts w:ascii="Arial" w:cs="Arial" w:eastAsia="Arial" w:hAnsi="Arial"/>
                <w:sz w:val="14"/>
                <w:szCs w:val="14"/>
                <w:b w:val="1"/>
                <w:bCs w:val="1"/>
                <w:color w:val="auto"/>
                <w:w w:val="93"/>
              </w:rPr>
              <w:t>Nine Months Ended September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5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November 22, 2019</w:t>
            </w: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1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center"/>
              <w:ind w:left="42"/>
              <w:spacing w:after="0"/>
              <w:rPr>
                <w:sz w:val="20"/>
                <w:szCs w:val="20"/>
                <w:color w:val="auto"/>
              </w:rPr>
            </w:pPr>
            <w:r>
              <w:rPr>
                <w:rFonts w:ascii="Arial" w:cs="Arial" w:eastAsia="Arial" w:hAnsi="Arial"/>
                <w:sz w:val="14"/>
                <w:szCs w:val="14"/>
                <w:b w:val="1"/>
                <w:bCs w:val="1"/>
                <w:color w:val="auto"/>
                <w:w w:val="92"/>
              </w:rPr>
              <w:t>30,</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vMerge w:val="restart"/>
          </w:tcPr>
          <w:p>
            <w:pPr>
              <w:jc w:val="right"/>
              <w:ind w:right="520"/>
              <w:spacing w:after="0" w:line="149" w:lineRule="exact"/>
              <w:rPr>
                <w:sz w:val="20"/>
                <w:szCs w:val="20"/>
                <w:color w:val="auto"/>
              </w:rPr>
            </w:pPr>
            <w:r>
              <w:rPr>
                <w:rFonts w:ascii="Arial" w:cs="Arial" w:eastAsia="Arial" w:hAnsi="Arial"/>
                <w:sz w:val="14"/>
                <w:szCs w:val="14"/>
                <w:b w:val="1"/>
                <w:bCs w:val="1"/>
                <w:color w:val="auto"/>
                <w:w w:val="96"/>
              </w:rPr>
              <w:t>(Inception) to</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vMerge w:val="restart"/>
          </w:tcPr>
          <w:p>
            <w:pPr>
              <w:jc w:val="right"/>
              <w:ind w:right="6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2020</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8"/>
            <w:vMerge w:val="restart"/>
          </w:tcPr>
          <w:p>
            <w:pPr>
              <w:jc w:val="right"/>
              <w:ind w:right="400"/>
              <w:spacing w:after="0"/>
              <w:rPr>
                <w:sz w:val="20"/>
                <w:szCs w:val="20"/>
                <w:color w:val="auto"/>
              </w:rPr>
            </w:pPr>
            <w:r>
              <w:rPr>
                <w:rFonts w:ascii="Arial" w:cs="Arial" w:eastAsia="Arial" w:hAnsi="Arial"/>
                <w:sz w:val="14"/>
                <w:szCs w:val="14"/>
                <w:b w:val="1"/>
                <w:bCs w:val="1"/>
                <w:color w:val="auto"/>
              </w:rPr>
              <w:t>(in thousands, except per share data)</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(unaudited)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940" w:type="dxa"/>
            <w:vAlign w:val="bottom"/>
            <w:gridSpan w:val="8"/>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and</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Comprehensive Loss Data:</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Operating expenses: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17,614</w:t>
            </w:r>
          </w:p>
        </w:tc>
        <w:tc>
          <w:tcPr>
            <w:tcW w:w="4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ind w:left="300"/>
              <w:spacing w:after="0"/>
              <w:rPr>
                <w:sz w:val="20"/>
                <w:szCs w:val="20"/>
                <w:color w:val="auto"/>
              </w:rPr>
            </w:pPr>
            <w:r>
              <w:rPr>
                <w:rFonts w:ascii="Arial" w:cs="Arial" w:eastAsia="Arial" w:hAnsi="Arial"/>
                <w:sz w:val="16"/>
                <w:szCs w:val="16"/>
                <w:color w:val="auto"/>
              </w:rPr>
              <w:t>Acquired in-process research and development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69,512</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65,237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157,000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8,392</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4,097</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ind w:left="640"/>
              <w:spacing w:after="0"/>
              <w:rPr>
                <w:sz w:val="20"/>
                <w:szCs w:val="20"/>
                <w:color w:val="auto"/>
              </w:rPr>
            </w:pPr>
            <w:r>
              <w:rPr>
                <w:rFonts w:ascii="Arial" w:cs="Arial" w:eastAsia="Arial" w:hAnsi="Arial"/>
                <w:sz w:val="16"/>
                <w:szCs w:val="16"/>
                <w:color w:val="auto"/>
              </w:rPr>
              <w:t>Total operating expenses</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95,518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75,990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(95,518)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(75,990)</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(210,776)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Other income (expense):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from change in fair value of convertible</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promissory notes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(3,275)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(3,275)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00"/>
              <w:spacing w:after="0"/>
              <w:rPr>
                <w:sz w:val="20"/>
                <w:szCs w:val="20"/>
                <w:color w:val="auto"/>
              </w:rPr>
            </w:pPr>
            <w:r>
              <w:rPr>
                <w:rFonts w:ascii="Arial" w:cs="Arial" w:eastAsia="Arial" w:hAnsi="Arial"/>
                <w:sz w:val="16"/>
                <w:szCs w:val="16"/>
                <w:color w:val="auto"/>
              </w:rPr>
              <w:t>Other income (expense), net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(479)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income (expense)</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(3,754)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7"/>
              </w:rPr>
              <w:t>(79,274)</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(210,343)</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6"/>
                <w:szCs w:val="16"/>
                <w:color w:val="auto"/>
              </w:rPr>
              <w:t>Net loss and comprehensive loss</w:t>
            </w: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2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(21)</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(99,272)</w:t>
            </w:r>
          </w:p>
        </w:tc>
        <w:tc>
          <w:tcPr>
            <w:tcW w:w="4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(79,274)</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(210,343)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basic and diluted</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(0.84)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6"/>
                <w:szCs w:val="16"/>
                <w:color w:val="auto"/>
              </w:rPr>
              <w:t>Weighted-average common shares outstanding, basic and</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2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diluted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101,992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94,192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163,353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Pro forma net loss per share, basic and diluted</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6"/>
                <w:szCs w:val="16"/>
                <w:color w:val="auto"/>
              </w:rPr>
              <w:t>Pro forma weighted-average common shares outstanding,</w:t>
            </w: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line="216" w:lineRule="exact"/>
              <w:rPr>
                <w:sz w:val="20"/>
                <w:szCs w:val="20"/>
                <w:color w:val="auto"/>
              </w:rPr>
            </w:pPr>
            <w:r>
              <w:rPr>
                <w:rFonts w:ascii="Arial" w:cs="Arial" w:eastAsia="Arial" w:hAnsi="Arial"/>
                <w:sz w:val="15"/>
                <w:szCs w:val="15"/>
                <w:color w:val="auto"/>
              </w:rPr>
              <w:t>basic and diluted</w:t>
            </w:r>
            <w:r>
              <w:rPr>
                <w:rFonts w:ascii="Arial" w:cs="Arial" w:eastAsia="Arial" w:hAnsi="Arial"/>
                <w:sz w:val="25"/>
                <w:szCs w:val="25"/>
                <w:color w:val="auto"/>
                <w:vertAlign w:val="superscript"/>
              </w:rPr>
              <w:t>(1)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05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right="180" w:hanging="422"/>
        <w:spacing w:after="0" w:line="273"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unaudited pro forma basic and diluted net loss per share for the year ended December 31, 2020 and for the nine months ended September 30, 2021 has been prepared to give effect to the assumed conversion of outstanding shares of convertible preferred stock to common stock at December 31, 2020 and September 30, 2021, as if the convertible preferred stock was outstanding as of January 1, 2020 or January 1, 2021, irrespective of when the convertible preferred stock was issued.</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As of September 30, 2021</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Pro</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Actual</w:t>
            </w:r>
          </w:p>
        </w:tc>
        <w:tc>
          <w:tcPr>
            <w:tcW w:w="1680" w:type="dxa"/>
            <w:vAlign w:val="bottom"/>
            <w:vMerge w:val="continue"/>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8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(unaudited, in thousands)</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Cash</w:t>
            </w:r>
          </w:p>
        </w:tc>
        <w:tc>
          <w:tcPr>
            <w:tcW w:w="2860" w:type="dxa"/>
            <w:vAlign w:val="bottom"/>
            <w:gridSpan w:val="2"/>
          </w:tcPr>
          <w:p>
            <w:pPr>
              <w:jc w:val="right"/>
              <w:ind w:right="68"/>
              <w:spacing w:after="0"/>
              <w:rPr>
                <w:sz w:val="20"/>
                <w:szCs w:val="20"/>
                <w:color w:val="auto"/>
              </w:rPr>
            </w:pPr>
            <w:r>
              <w:rPr>
                <w:rFonts w:ascii="Arial" w:cs="Arial" w:eastAsia="Arial" w:hAnsi="Arial"/>
                <w:sz w:val="18"/>
                <w:szCs w:val="18"/>
                <w:color w:val="auto"/>
              </w:rPr>
              <w:t>$ 439,145</w:t>
            </w:r>
          </w:p>
        </w:tc>
        <w:tc>
          <w:tcPr>
            <w:tcW w:w="1680" w:type="dxa"/>
            <w:vAlign w:val="bottom"/>
          </w:tcPr>
          <w:p>
            <w:pPr>
              <w:jc w:val="right"/>
              <w:ind w:right="104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(4)</w:t>
            </w:r>
          </w:p>
        </w:tc>
        <w:tc>
          <w:tcPr>
            <w:tcW w:w="28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422,130</w:t>
            </w: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Total assets</w:t>
            </w:r>
          </w:p>
        </w:tc>
        <w:tc>
          <w:tcPr>
            <w:tcW w:w="2860" w:type="dxa"/>
            <w:vAlign w:val="bottom"/>
            <w:gridSpan w:val="2"/>
          </w:tcPr>
          <w:p>
            <w:pPr>
              <w:jc w:val="right"/>
              <w:ind w:right="68"/>
              <w:spacing w:after="0"/>
              <w:rPr>
                <w:sz w:val="20"/>
                <w:szCs w:val="20"/>
                <w:color w:val="auto"/>
              </w:rPr>
            </w:pPr>
            <w:r>
              <w:rPr>
                <w:rFonts w:ascii="Arial" w:cs="Arial" w:eastAsia="Arial" w:hAnsi="Arial"/>
                <w:sz w:val="18"/>
                <w:szCs w:val="18"/>
                <w:color w:val="auto"/>
              </w:rPr>
              <w:t>451,975</w:t>
            </w: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28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137</w:t>
            </w: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860" w:type="dxa"/>
            <w:vAlign w:val="bottom"/>
            <w:gridSpan w:val="2"/>
          </w:tcPr>
          <w:p>
            <w:pPr>
              <w:jc w:val="right"/>
              <w:ind w:right="68"/>
              <w:spacing w:after="0"/>
              <w:rPr>
                <w:sz w:val="20"/>
                <w:szCs w:val="20"/>
                <w:color w:val="auto"/>
              </w:rPr>
            </w:pPr>
            <w:r>
              <w:rPr>
                <w:rFonts w:ascii="Arial" w:cs="Arial" w:eastAsia="Arial" w:hAnsi="Arial"/>
                <w:sz w:val="18"/>
                <w:szCs w:val="18"/>
                <w:color w:val="auto"/>
              </w:rPr>
              <w:t>729,866</w:t>
            </w: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9,176</w:t>
            </w: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Accumulated deficit</w:t>
            </w:r>
          </w:p>
        </w:tc>
        <w:tc>
          <w:tcPr>
            <w:tcW w:w="2860" w:type="dxa"/>
            <w:vAlign w:val="bottom"/>
            <w:gridSpan w:val="2"/>
          </w:tcPr>
          <w:p>
            <w:pPr>
              <w:jc w:val="right"/>
              <w:ind w:right="8"/>
              <w:spacing w:after="0"/>
              <w:rPr>
                <w:sz w:val="20"/>
                <w:szCs w:val="20"/>
                <w:color w:val="auto"/>
              </w:rPr>
            </w:pPr>
            <w:r>
              <w:rPr>
                <w:rFonts w:ascii="Arial" w:cs="Arial" w:eastAsia="Arial" w:hAnsi="Arial"/>
                <w:sz w:val="18"/>
                <w:szCs w:val="18"/>
                <w:color w:val="auto"/>
              </w:rPr>
              <w:t>(309,636)</w:t>
            </w: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2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(300,447)</w:t>
            </w:r>
          </w:p>
        </w:tc>
        <w:tc>
          <w:tcPr>
            <w:tcW w:w="1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20" w:hanging="422"/>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pro forma consolidated balance sheet data gives effect to (i) the conversion of all outstanding shares of our convertible preferred stock into an aggregate</w:t>
      </w:r>
    </w:p>
    <w:p>
      <w:pPr>
        <w:spacing w:after="0" w:line="45" w:lineRule="exact"/>
        <w:rPr>
          <w:sz w:val="20"/>
          <w:szCs w:val="20"/>
          <w:color w:val="auto"/>
        </w:rPr>
      </w:pPr>
    </w:p>
    <w:p>
      <w:pPr>
        <w:ind w:left="720" w:right="140"/>
        <w:spacing w:after="0" w:line="264" w:lineRule="auto"/>
        <w:rPr>
          <w:sz w:val="20"/>
          <w:szCs w:val="20"/>
          <w:color w:val="auto"/>
        </w:rPr>
      </w:pPr>
      <w:r>
        <w:rPr>
          <w:rFonts w:ascii="Arial" w:cs="Arial" w:eastAsia="Arial" w:hAnsi="Arial"/>
          <w:sz w:val="16"/>
          <w:szCs w:val="16"/>
          <w:color w:val="auto"/>
        </w:rPr>
        <w:t>of shares of our common stock immediately prior to the completion of this offering, (ii) the related reclassification of our convertible preferred stock aggregate carrying value to permanent equity and (iii) the filing and effectiveness of our amended and restated certificate of incorporation, which will be effective immediately prior to the completion of this offering.</w:t>
      </w:r>
    </w:p>
    <w:p>
      <w:pPr>
        <w:ind w:left="720" w:hanging="422"/>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gives effect to (i) the pro forma adjustments described in footnote (1) above and (ii) the sale and</w:t>
      </w:r>
    </w:p>
    <w:p>
      <w:pPr>
        <w:spacing w:after="0" w:line="42" w:lineRule="exact"/>
        <w:rPr>
          <w:sz w:val="20"/>
          <w:szCs w:val="20"/>
          <w:color w:val="auto"/>
        </w:rPr>
      </w:pPr>
    </w:p>
    <w:p>
      <w:pPr>
        <w:jc w:val="both"/>
        <w:ind w:left="720" w:right="160"/>
        <w:spacing w:after="0" w:line="264" w:lineRule="auto"/>
        <w:rPr>
          <w:sz w:val="20"/>
          <w:szCs w:val="20"/>
          <w:color w:val="auto"/>
        </w:rPr>
      </w:pPr>
      <w:r>
        <w:rPr>
          <w:rFonts w:ascii="Arial" w:cs="Arial" w:eastAsia="Arial" w:hAnsi="Arial"/>
          <w:sz w:val="16"/>
          <w:szCs w:val="16"/>
          <w:color w:val="auto"/>
        </w:rPr>
        <w:t>issuance of shares of common stock by us in this offering, at the assumed initial public offering price of $ per share, which is the midpoint of the price range set forth on the cover page of this prospectus, after deducting the estimated underwriting discounts and commissions and estimated offering expenses payable by us.</w:t>
      </w:r>
    </w:p>
    <w:p>
      <w:pPr>
        <w:ind w:left="720" w:right="140" w:hanging="419"/>
        <w:spacing w:after="0" w:line="281" w:lineRule="auto"/>
        <w:tabs>
          <w:tab w:leader="none" w:pos="700" w:val="left"/>
        </w:tabs>
        <w:rPr>
          <w:sz w:val="20"/>
          <w:szCs w:val="20"/>
          <w:color w:val="auto"/>
        </w:rPr>
      </w:pPr>
      <w:r>
        <w:rPr>
          <w:rFonts w:ascii="Arial" w:cs="Arial" w:eastAsia="Arial" w:hAnsi="Arial"/>
          <w:sz w:val="15"/>
          <w:szCs w:val="15"/>
          <w:color w:val="auto"/>
        </w:rPr>
        <w:t>(3)</w:t>
      </w:r>
      <w:r>
        <w:rPr>
          <w:sz w:val="20"/>
          <w:szCs w:val="20"/>
          <w:color w:val="auto"/>
        </w:rPr>
        <w:tab/>
      </w:r>
      <w:r>
        <w:rPr>
          <w:rFonts w:ascii="Arial" w:cs="Arial" w:eastAsia="Arial" w:hAnsi="Arial"/>
          <w:sz w:val="15"/>
          <w:szCs w:val="15"/>
          <w:color w:val="auto"/>
        </w:rPr>
        <w:t>Each $1.00 increase or decrease in the assumed initial public offering price of per share, which is the midpoint of the price range set forth on the cover page of this prospectus, would increase or decrease, as applicable, the pro forma as adjusted amount of each of our cash, working capital, total assets,</w:t>
      </w:r>
    </w:p>
    <w:p>
      <w:pPr>
        <w:spacing w:after="0" w:line="1" w:lineRule="exact"/>
        <w:rPr>
          <w:sz w:val="20"/>
          <w:szCs w:val="20"/>
          <w:color w:val="auto"/>
        </w:rPr>
      </w:pPr>
    </w:p>
    <w:p>
      <w:pPr>
        <w:jc w:val="both"/>
        <w:ind w:left="720" w:right="120"/>
        <w:spacing w:after="0" w:line="301" w:lineRule="auto"/>
        <w:rPr>
          <w:sz w:val="20"/>
          <w:szCs w:val="20"/>
          <w:color w:val="auto"/>
        </w:rPr>
      </w:pPr>
      <w:r>
        <w:rPr>
          <w:rFonts w:ascii="Arial" w:cs="Arial" w:eastAsia="Arial" w:hAnsi="Arial"/>
          <w:sz w:val="14"/>
          <w:szCs w:val="14"/>
          <w:color w:val="auto"/>
        </w:rPr>
        <w:t>additional paid-in capital and total stockholders’ equity by $ million, assuming that the number of shares offered by us, as set forth on the cover page of this prospectus, remains the same, after deducting the estimated underwriting discounts and commissions and estimated offering expenses payable by us. Similarly, an increase or decrease of 1.0 million shares in the number of shares of common stock offered would increase or decrease, as applicable, each of</w:t>
      </w:r>
    </w:p>
    <w:p>
      <w:pPr>
        <w:spacing w:after="0" w:line="2" w:lineRule="exact"/>
        <w:rPr>
          <w:sz w:val="20"/>
          <w:szCs w:val="20"/>
          <w:color w:val="auto"/>
        </w:rPr>
      </w:pPr>
    </w:p>
    <w:p>
      <w:pPr>
        <w:ind w:left="720" w:right="80"/>
        <w:spacing w:after="0" w:line="264" w:lineRule="auto"/>
        <w:rPr>
          <w:sz w:val="20"/>
          <w:szCs w:val="20"/>
          <w:color w:val="auto"/>
        </w:rPr>
      </w:pPr>
      <w:r>
        <w:rPr>
          <w:rFonts w:ascii="Arial" w:cs="Arial" w:eastAsia="Arial" w:hAnsi="Arial"/>
          <w:sz w:val="16"/>
          <w:szCs w:val="16"/>
          <w:color w:val="auto"/>
        </w:rPr>
        <w:t>our cash, working capital, total assets, additional paid-in capital and total stockholders’ equity by $ million, assuming the initial public offering price remains the same, after deducting the estimated underwriting discounts and commissions and estimated offering expenses payable by us. The pro forma as adjusted consolidated balance sheet data discussed above is illustrative only and will depend on the actual initial public offering price and other terms of this offering determined at pricing.</w:t>
      </w:r>
    </w:p>
    <w:p>
      <w:pPr>
        <w:ind w:left="720" w:right="180" w:hanging="422"/>
        <w:spacing w:after="0" w:line="363" w:lineRule="auto"/>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audited consolidated financial statements and unaudited condensed consolidated financial statements and related notes thereto included elsewhere in this prospectus for further details regarding our current assets and current liabilities.</w:t>
      </w: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Investing in shares of our common stock involves a high degree of risk. You should carefully consider the following risks and uncertainties, together with all of the other information contained in this prospectus, including our audited consolidated financial statements and unaudited condensed consolidated financial statements and related notes included elsewhere in this prospectus, before making an investment decision. The risks described below are not the only ones facing us. Many of the following risks and uncertainties are, and will be, exacerbated by the COVID-19 pandemic and any worsening of the global business and economic environment as a result. The occurrence of any of the following risks, or of additional risks and uncertainties not presently known to us or that we currently believe to be immaterial, could materially and adversely affect our business, financial condition, reputation, or results of operations. In such case, the trading price of shares of our common stock could decline, and you may lose all or part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Limited Operating History, Financial Condition and Need for Additional Capital</w:t>
      </w:r>
    </w:p>
    <w:p>
      <w:pPr>
        <w:spacing w:after="0" w:line="229"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b w:val="1"/>
          <w:bCs w:val="1"/>
          <w:i w:val="1"/>
          <w:iCs w:val="1"/>
          <w:color w:val="auto"/>
        </w:rPr>
        <w:t>We are a clinical-stage biotechnology company and have incurred significant losses since our inception, and we expect to incur losses for the foreseeable future. We have no products approved for commercial sale and may never achieve or maintain profitability.</w:t>
      </w:r>
    </w:p>
    <w:p>
      <w:pPr>
        <w:spacing w:after="0" w:line="1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 clinical-stage biotechnology company with a limited operating history. Biotechnology product development is a highly speculative undertaking and involves a substantial degree of risk. We have incurred significant losses since our inception in November 2019, have no products approved for commercial sale, have not generated any revenue from product sales, have financed our operations principally through private placements of convertible preferred stock and convertible promissory notes and expect to incur significant losses for the foreseeable future. We expect that it will be several years, if ever, before we have a commercialized product and generate revenue from product sales. Our net loss was $99.3 million for the year ended December 31, 2020 and $210.3 million for the nine months ended September 30, 2021. As of September 30, 2021, we had an accumulated deficit of $309.6 million. Our losses have resulted principally from acquired in-process research and development from our acquisitions of assets, expenses incurred in the research and development of our product candidates and buildout of our precision neuroscience platform, as well as from costs associated with our preclinical studies and clinical trials and management and administrative costs and other expenses that we have incurred while building our business infrastructure.</w:t>
      </w:r>
    </w:p>
    <w:p>
      <w:pPr>
        <w:spacing w:after="0" w:line="18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expect our expenses and operating losses will continue to increase substantially for the foreseeable future as we expand our research and development efforts, expand the capabilities of our precision neuroscience platform, identify and acquire product candidates, complete preclinical studies and initiate additional clinical trials, seek regulatory approval and commercialization of our product candidates and operate as a public company. We anticipate that our expenses will continue to increase substantially as we:</w:t>
      </w:r>
    </w:p>
    <w:p>
      <w:pPr>
        <w:spacing w:after="0" w:line="92" w:lineRule="exact"/>
        <w:rPr>
          <w:sz w:val="20"/>
          <w:szCs w:val="20"/>
          <w:color w:val="auto"/>
        </w:rPr>
      </w:pPr>
    </w:p>
    <w:p>
      <w:pPr>
        <w:ind w:left="1080" w:right="2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clinical and preclinical development of our current and future product candidates and initiate additional preclinical studies and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build out and enhance our precision neuroscience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 of our current and future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additional product candidates, technologies, multimodal patient datasets and other assets for our business;</w:t>
      </w:r>
    </w:p>
    <w:p>
      <w:pPr>
        <w:spacing w:after="0" w:line="130"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and preclinical development, manufacturing and commercialization efforts;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develop, perfect, maintain and defend our intellectual property portfolio; and</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have devoted a significant portion of our financial resources and efforts to building our organization, acquiring technologies and companies, developing our precision neuroscience platform, research and development, identifying and developing potential product candidates, executing clinical and preclinical studies, organizing and staffing our company, business planning, establishing, maintaining and protecting our intellectual property portfolio, raising capital and providing general and administrative support for these operations. We are in the early stages of research and development and have not completed development and commercialization of any of our product candidates.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To become and remain profitable, we must succeed in identifying, developing, conducting successful clinical trials, obtaining regulatory approval for, and eventually commercializing, products that generate significant revenue. This will require us to be successful in a range of challenging activities, including completing preclinical studies and clinical trials of our product candidates, continuing to discover and develop additional product candidates, obtaining regulatory and marketing approval for any product candidates that successfully complete clinical trials, accessing manufacturing capacity, establishing marketing capabilities, commercializing and ultimately selling any products. We may never succeed in any or all of these activities and, even if we do, we may never generate revenue that is sufficient to achieve profitability. Even if we do achieve profitability, we may not be able to sustain profitability or meet outside expectations for our profitability. If we are unable to achieve or sustain profitability or to meet outside expectations for our profitability, the price of our common stock could be materially adversely affected.</w:t>
      </w:r>
    </w:p>
    <w:p>
      <w:pPr>
        <w:spacing w:after="0" w:line="17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Because of the numerous risks and uncertainties associated with pharmaceutical and biotechnology products and drug development, we are unable to accurately predict the timing or amount of increased expenses or when, or if, we will be able to achieve profitability. If we are required by the U.S. Food and Drug Administration (FDA) or comparable foreign regulatory authorities to perform studies in addition to those we currently anticipate, or if there are any delays in commencing or completing our clinical trials or the development of any of our product candidates, our expenses could increase and commercial revenue could be further delayed and become more uncertain, which will have a material adverse impact on our business.</w:t>
      </w:r>
    </w:p>
    <w:p>
      <w:pPr>
        <w:spacing w:after="0" w:line="161"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b w:val="1"/>
          <w:bCs w:val="1"/>
          <w:i w:val="1"/>
          <w:iCs w:val="1"/>
          <w:color w:val="auto"/>
        </w:rPr>
        <w:t>Our substantial contingent consideration and related obligations from our acquisitions of assets and license and collaboration agreements may result in dilution to our stockholders, may be a drain on our cash resources, or may cause us to incur debt obligations to satisfy the payment obligations.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connection with our recent acquisitions of assets, we entered into arrangements whereby the former stockholders of those companies are entitled to substantial contingent consideration payments upon the occurrence of certain events. For example, in connection with our acquisition of BlackThorn Therapeutics, Inc. (BlackThorn), a privately held company, the former BlackThorn stockholders are entitled to contingent consideration (i) with respect to NMRA-140, in the form of development and regulatory approval milestones of up to an aggregate amount of $365.0 million, including the potential for a milestone payment of $75.0 million upon completion of the Phase 2a clinical trial of NMRA-140 if certain success criteria are achieved,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(BlackThorn Milestone). With the exception of one development milestone in the amount of $10.0 million that is required to be settled in cash, the remaining BlackThorn Milestone payments may be settled in cash or shares of our equity, or a combination of both, at our sole discretion. In connection with the BlackThorn acquisition, we also became obligated under its license agreement with TSRI for, among other obligations, development and regulatory milestone payments of up to $1.5 million in aggregate for the first product from each of the TSRI programs and commercial milestone payments of up to $3.5 million in aggregate for each occurrence.</w:t>
      </w:r>
    </w:p>
    <w:p>
      <w:pPr>
        <w:spacing w:after="0" w:line="17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addition, in connection with our acquisition of Alairion, Inc. (Alairion), a privately held company, the former Alairion stockholders, are entitled to contingent consideration in the form of future milestone payments of up to $168.5 million upon the achievement of specified development and commercialization events related to the Alairion’s in-process research and development related to its drug discovery and optimization technology platform, and up to an aggregate amount of $5.0 million payable to the former holders of Syllable Life Sciences,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80"/>
        <w:spacing w:after="0" w:line="308" w:lineRule="auto"/>
        <w:rPr>
          <w:sz w:val="20"/>
          <w:szCs w:val="20"/>
          <w:color w:val="auto"/>
        </w:rPr>
      </w:pPr>
      <w:r>
        <w:rPr>
          <w:rFonts w:ascii="Arial" w:cs="Arial" w:eastAsia="Arial" w:hAnsi="Arial"/>
          <w:sz w:val="17"/>
          <w:szCs w:val="17"/>
          <w:color w:val="auto"/>
        </w:rPr>
        <w:t>Inc. (Syllable) upon achievement of certain specified development milestones. At our sole discretion, the payment of such Alairion contingent consideration and Syllable contingent consideration may be settled in cash or shares of our equity, or a combination of both.</w:t>
      </w:r>
    </w:p>
    <w:p>
      <w:pPr>
        <w:spacing w:after="0" w:line="146"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Under the terms of our September 2021 license agreements with Amgen, we are obligated to pay Amgen up to an aggregate of $720.0 million in commercial milestone payments upon the achievement of certain sales thresholds and single digit royalties on potential future net sales. In addition, under the collaboration agreement with Amgen, we are committed to making quarterly payments to Amgen for their collaboration activities over the next three years totaling $62.5 million, or $75.0 million if certain progress milestones are achieved.</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Under the terms of our February 2022 license agreement with Vanderbilt University (Vanderbilt), we are obligated to pay Vanderbilt, among other obligations, up to an aggregate of $422.0 million in development and commercial milestone payments upon the achievement of certain development milestones and sales thresholds, and mid-single digit royalties on potential future net sales.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order to satisfy our obligations to make these payments, if and when they are triggered, we may need to issue equity or convertible debt securities that may cause dilution to our stockholders, or we may use our existing cash or incur debt obligations to satisfy the payment obligations in cash, which may adversely affect our financial position. In addition, these obligations may impede our ability to raise money in future public offerings of debt or equity securities or to obtain a third party line of credit.</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See the sections titled “Management’s Discussion and Analysis of Financial Condition and Results of Operations—Recent Acquisitions of Assets” and “Management’s Discussion and Analysis of Financial Condition and Results of Operations—Strategic License and Collaboration Agreements” elsewhere in this prospectus for additional information regarding these agreements.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limited operating history may make it difficult to evaluate our prospects and likelihood of success.</w:t>
      </w:r>
    </w:p>
    <w:p>
      <w:pPr>
        <w:spacing w:after="0" w:line="22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We are a clinical-stage biotechnology company with a limited operating history upon which you can evaluate our business and prospects. Since our inception in November 2019, we have devoted substantially all of our resources and efforts to building our organization, acquiring technologies and companies, developing our precision neuroscience platform, identifying and developing potential product candidates, executing preclinical studies and clinical trials, organizing and staffing our company, business planning, establishing, maintaining and protecting our intellectual property portfolio, raising capital and providing general and administrative support for these operations. All of our product candidates are in either early clinical development or in preclinical stages of development, and we have not yet demonstrated our ability to successfully complete any late-stage or registration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you may make about our future success or viability may not be as accurate as they could be if we had a longer operating history.</w:t>
      </w:r>
    </w:p>
    <w:p>
      <w:pPr>
        <w:spacing w:after="0" w:line="16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addition, we may encounter unforeseen expenses, difficulties, complications, delays and other known and unknown factors and risks frequently experienced by clinical-stage biotechnology and biopharmaceutical companies in rapidly evolving fields. We also may need to transition from a company with a research focus to a company capable of supporting commercial activities. If we do not adequately address these risks and difficulties or successfully make such a transition, it could have a material adverse effect on our business.</w:t>
      </w:r>
    </w:p>
    <w:p>
      <w:pPr>
        <w:spacing w:after="0" w:line="171" w:lineRule="exact"/>
        <w:rPr>
          <w:sz w:val="20"/>
          <w:szCs w:val="20"/>
          <w:color w:val="auto"/>
        </w:rPr>
      </w:pPr>
    </w:p>
    <w:p>
      <w:pPr>
        <w:ind w:left="120" w:right="200"/>
        <w:spacing w:after="0" w:line="381" w:lineRule="auto"/>
        <w:rPr>
          <w:sz w:val="20"/>
          <w:szCs w:val="20"/>
          <w:color w:val="auto"/>
        </w:rPr>
      </w:pPr>
      <w:r>
        <w:rPr>
          <w:rFonts w:ascii="Arial" w:cs="Arial" w:eastAsia="Arial" w:hAnsi="Arial"/>
          <w:sz w:val="15"/>
          <w:szCs w:val="15"/>
          <w:b w:val="1"/>
          <w:bCs w:val="1"/>
          <w:i w:val="1"/>
          <w:iCs w:val="1"/>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0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time-consuming, expensive and uncertain process that takes years to complete. We expect our expenses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continue to increase in connection with our ongoing activities, particularly as we conduct clinical trials of, and seek regulatory and marketing approval for, our product candidates. Even if one or more of our product candidates is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we continue the preclinical and clinical development of our product candidates, continue to advance our precision neuroscience platform, commence additional preclinical studies and clinical trials, and continue to identify and develop additional product candidates.</w:t>
      </w:r>
    </w:p>
    <w:p>
      <w:pPr>
        <w:spacing w:after="0" w:line="17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addition, if we obtain regulatory approval for any of our product candidates, we expect to incur significant commercialization expenses related to product manufacturing, marketing, sales and distribution. Furthermore, upon the completion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regulatory approval or commercialization efforts.</w:t>
      </w:r>
    </w:p>
    <w:p>
      <w:pPr>
        <w:spacing w:after="0" w:line="176"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6"/>
          <w:szCs w:val="16"/>
          <w:color w:val="auto"/>
        </w:rPr>
        <w:t>As of September 30, 2021, we had $439.1 million of cash. Based upon our current operating plan, we believe that our existing cash as of the date of this prospectus will enable us to fund our operating expenses and capital expenditure requirements through at least the next 12 months from the date of this offering. In addition, based upon our current operating plan, we believe that the net proceeds from this offering together with our existing cash as of the date of this prospectus, will enable us to fund our operating expenses and capital expenditure requirements through at least the next</w:t>
      </w:r>
    </w:p>
    <w:p>
      <w:pPr>
        <w:spacing w:after="0" w:line="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months from the date of this offering. 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p>
    <w:p>
      <w:pPr>
        <w:spacing w:after="0" w:line="99" w:lineRule="exact"/>
        <w:rPr>
          <w:sz w:val="20"/>
          <w:szCs w:val="20"/>
          <w:color w:val="auto"/>
        </w:rPr>
      </w:pPr>
    </w:p>
    <w:p>
      <w:pPr>
        <w:ind w:left="1080" w:right="44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or future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or future product candidates;</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precision neuroscience platform at identifying target patient populations and utilizing the platform to enrich our patient population in our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or future product candidates;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acquiring or licensing additional product candidates, technologies or assets, including the timing and amount of any future milestone, royalty or other payments due in connection with such acquisition or license;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or future product candidates;</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access additional multimodal patient datasets;</w:t>
      </w:r>
    </w:p>
    <w:p>
      <w:pPr>
        <w:spacing w:after="0" w:line="130" w:lineRule="exact"/>
        <w:rPr>
          <w:rFonts w:ascii="Arial" w:cs="Arial" w:eastAsia="Arial" w:hAnsi="Arial"/>
          <w:sz w:val="18"/>
          <w:szCs w:val="18"/>
          <w:color w:val="auto"/>
        </w:rPr>
      </w:pPr>
    </w:p>
    <w:p>
      <w:pPr>
        <w:ind w:left="1080" w:right="500" w:hanging="532"/>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6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any potential interruptions or delays resulting from factors related to the COVID-19 pandemic;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 products and technologies.</w:t>
      </w:r>
    </w:p>
    <w:p>
      <w:pPr>
        <w:spacing w:after="0" w:line="225"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Our ability to raise additional funds will depend on financial, economic, political and market conditions and other factors, over which we may have no or limited control. Our ability to raise additional funds may be adversely impacted by potential worsening global economic conditions and the recent disruptions to, and volatility in, the credit and financial markets in the United States and worldwide resulting from the ongoing COVID-19 pandemic.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and adequate additional financing may not be available to us on acceptable terms, or at all.</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with our existing cash, the net proceeds from this offering, any future equity or debt financings and upfront and milestone and royalties payments, if any, received under any future licenses or collaborations. If we raise additional capital through the sale of equity or convertible debt securities,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w:t>
      </w:r>
    </w:p>
    <w:p>
      <w:pPr>
        <w:spacing w:after="0" w:line="17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identify, develop and commercialize any product candidates, or experience significant delays in doing so, our business, financial condition and results of operations will be materially adversely affected.</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ability to generate revenue from sales of any of our approved product candidates, which we do not expect will occur for at least the next several years, if ever, depends heavily on the successful identification, development, regulatory approval and eventual commercialization of any product candidates, which may never occur. We have never generated revenue from sales of any products, and we may never be able to develop, obtain regulatory approval for, or commercialize, a marketable product. All of our product candidates will require significant clinical development, regulatory approval, establishment of sufficient manufacturing supply, including commercial manufacturing supply, and may require us to build a commercial organization and make substantial investment and significant marketing efforts before we generate any revenue from product sales.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successful development of our product candidates will depend on several factors, including, but not limited to, the following:</w:t>
      </w:r>
    </w:p>
    <w:p>
      <w:pPr>
        <w:spacing w:after="0" w:line="131" w:lineRule="exact"/>
        <w:rPr>
          <w:sz w:val="20"/>
          <w:szCs w:val="20"/>
          <w:color w:val="auto"/>
        </w:rPr>
      </w:pPr>
    </w:p>
    <w:p>
      <w:pPr>
        <w:ind w:left="1080" w:right="6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and timely completion of preclinical studies and clinical trials for which the FDA, or any comparable foreign regulatory authority, agree with the design, endpoints, or implementation;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receiving regulatory approvals or authorizations for conducting future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initiation and successful patient enrollment in, and completion of, clinical trials on a timely basis;</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or any comparable foreign regulatory authority that the applicable product candidate is safe and effective as for its intended uses;</w:t>
      </w:r>
    </w:p>
    <w:p>
      <w:pPr>
        <w:spacing w:after="0" w:line="75"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or any comparable foreign regulatory authority that the applicable product candidate’s risk-benefit ratio for its proposed indication is acceptable;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timely receipt of marketing approvals for our product candidates from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any potential interruptions or delays resulting from factors related to the COVID-19 pandemic;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scaling up and scaling out, either alone or with third-party manufacturers, manufacturing capabilities of clinical supply for our clinical trials and commercial manufacturing, if any of our product candidates are approved.</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develop and commercialize our product candidates, which would materially adversely affect our business, financial condition, and results of operations.</w:t>
      </w:r>
    </w:p>
    <w:p>
      <w:pPr>
        <w:spacing w:after="0" w:line="124"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Additionally, clinical or regulatory setbacks to other companies developing similar products or within adjacent fields, including those in gene editing and gene therapy and allogenic cell-based therapies, may impact the clinical development of and regulatory pathway for our current or future product candidates, or may negatively impact the perceptions of value or risk of our technologies.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We were founded with a mission to pioneer a new era of precision medicines for the treatment of neuropsychiatric disorders and neurodegenerative diseases, a field that has seen very limited success in drug development. The ability to successfully develop drugs in this field is extremely difficult and is subject to a number of unique challenges.</w:t>
      </w:r>
    </w:p>
    <w:p>
      <w:pPr>
        <w:spacing w:after="0" w:line="184"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Drug development in the field of brain diseases, and neuropsychiatric disorders and neurodegenerative diseases in particular, has seen very limited success historically. We estimate over $110 billion have been spent on neuroscience research and development since 2019 in the United States alone, representing approximately 33% of all disease-specific spending. However, only approximately 12% of all new therapies approved during that time period have been for the treatment of brain diseases. From 2006 to 2015, clinical trial success rates for new drug candidates targeting broad neuropsychiatric disorders and other neuro-related diseases were approximately 6% and 8%, respectively, compared to success rates as high as 26% for certain other indications. Developing a product candidate for treatment of these brain diseases is extremely difficult and subjects us to a number of unique challenges, including obtaining regulatory approval from the FDA and other regulatory authorities who have only a limited set of precedents to rely on. The scientific research that forms the basis of our efforts to develop product candidates with our precision neuroscience platform is still ongoing, and we have not yet generated any clinical evidence to support the feasibility of developing therapeutic treatments based on our platform. Further, we are not aware of any FDA approved therapeutics utilizing the components of this data science based platform.</w:t>
      </w:r>
    </w:p>
    <w:p>
      <w:pPr>
        <w:spacing w:after="0" w:line="16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Given the novelty of our data science platform and technologies, we intend to work closely with the FDA and comparable foreign regulatory authorities to perform the requisite scientific analyses and evaluation of our methods in an effort to obtain regulatory approval for our product candidates; however, due to a lack of comparable experiences, the process of developing our product candidates may be more complex and time-consuming relative to other more well-known approaches to drug development. We cannot be certain that our approach will lead to the development of product candidates that effectively and safely address the underlying brain diseases.</w:t>
      </w:r>
    </w:p>
    <w:p>
      <w:pPr>
        <w:spacing w:after="0" w:line="188"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Moreover, given the history of clinical failures in this field, future clinical or regulatory failures by us or others may have result in further negative perception of the likelihood of success in this field, which may significantly and adversely affect the market price of our common stock.</w:t>
      </w:r>
    </w:p>
    <w:p>
      <w:pPr>
        <w:spacing w:after="0" w:line="14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precision neuroscience platform is based on a novel approach and unique technologies that are collectively unproven and may never prove to be successful or only provide varying degrees of success, including the ability to consistently identify and match target or distinct patient populations with precision medicines.</w:t>
      </w:r>
    </w:p>
    <w:p>
      <w:pPr>
        <w:spacing w:after="0" w:line="18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approach aims to redefine neuroscience research and development. We plan to do this by applying proprietary AI/ML methods to multimodal patient datasets in order to match defined patient populations with targeted therapeutics designed to address the underlying drivers of their disease. We have not yet proven that this strategy can be successful. For example, we may not be able to accurately identify defined patient populations using our platform on a consistent basis, or establish feasible enrollment screening criteria or recruit sufficient eligible patients meeting our screening criteria for our clinical trials to be able to efficiently and effectively conduct a trial of our product candidates.</w:t>
      </w:r>
    </w:p>
    <w:p>
      <w:pPr>
        <w:spacing w:after="0" w:line="176"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Additionally, a key element of our strategy is to use and expand our precision data science platform to build a pipeline of product candidates through the translation of Data Biopsy Signatures into clinically relevant homogeneous patient populations, which we refer to as Precision Phenotypes, with actionable data to identify relevant drug targets. We have not yet generated any clinical evidence that drug targets derived from these Precision Phenotypes can be safely or effectively drugged using our product candidates.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Moreover, while we may successfully define a patient population for a product candidate in a disease, such success may not be replicated across other diseases or product candidates. Given the complexity and variability of brain diseases, our approach may have varying degrees of success.</w:t>
      </w:r>
    </w:p>
    <w:p>
      <w:pPr>
        <w:spacing w:after="0" w:line="124" w:lineRule="exact"/>
        <w:rPr>
          <w:sz w:val="20"/>
          <w:szCs w:val="20"/>
          <w:color w:val="auto"/>
        </w:rPr>
      </w:pPr>
    </w:p>
    <w:p>
      <w:pPr>
        <w:ind w:left="120" w:right="200"/>
        <w:spacing w:after="0" w:line="340" w:lineRule="auto"/>
        <w:rPr>
          <w:sz w:val="20"/>
          <w:szCs w:val="20"/>
          <w:color w:val="auto"/>
        </w:rPr>
      </w:pPr>
      <w:r>
        <w:rPr>
          <w:rFonts w:ascii="Arial" w:cs="Arial" w:eastAsia="Arial" w:hAnsi="Arial"/>
          <w:sz w:val="15"/>
          <w:szCs w:val="15"/>
          <w:b w:val="1"/>
          <w:bCs w:val="1"/>
          <w:i w:val="1"/>
          <w:iCs w:val="1"/>
          <w:color w:val="auto"/>
        </w:rPr>
        <w:t>We have invested and expect to continue to invest in acquiring product candidates, technologies and assets, as well as research and development efforts, that further enhance our product pipeline and precision neuroscience platform. Such investments may affect our operating results, and, if the return on these investments is lower or develops more slowly than we expect, our revenue and operating results may suffer.</w:t>
      </w:r>
    </w:p>
    <w:p>
      <w:pPr>
        <w:spacing w:after="0" w:line="13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invested and expect to continue to invest in acquiring potential product candidates to enhance our product pipeline and technologies and assets to advance our precision neuroscience platform. These activities and investments involve significant time, risks, and uncertainties, including the risk that the associated expenses may affect our operating results, that such investments may not generate products that can be successfully developed or technologies that can be effectively integrated into or enhance our precision neuroscience platform, and cause significant drains on capital resources and commit us to substantial financial obligations. While we believe that we must continue to invest a significant amount of time and resources in the development of our product pipeline and precision neuroscience platform, if we do not achieve the benefits anticipated from these investments, or if the achievement of these benefits is delayed, our business, operating results and prospects may be materially adversely affected.</w:t>
      </w:r>
    </w:p>
    <w:p>
      <w:pPr>
        <w:spacing w:after="0" w:line="166"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The initiation of the Phase 2a trial of NMRA-140 occurred prior to our acquisition of BlackThorn, and will provide limited evidence to support any conclusion with regard to the precision neuroscience platform and approach we have subsequently developed.</w:t>
      </w:r>
    </w:p>
    <w:p>
      <w:pPr>
        <w:spacing w:after="0" w:line="14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When we acquired BlackThorn in September 2020, BlackThorn had already initiated the Phase 2a trial of NMRA-140, in adult patients with MDD utilizing their specific computational psychiatry and data platform to support patient stratification and objective clinical trial endpoints. Although our approach leverages parts of the platform we acquired from BlackThorn, this trial was initiated prior to the development and implementation of our full precision neuroscience platform and thus before the identification of a Precision Phenotype for evaluation of the activity of NMRA-140. We have modified the trial to increase the target enrollment and added additional digital instrumentation to further augment data generation to support our precision neuroscience approach, and we plan to leverage the genetic, digital and clinical data from this trial to define a Precision Phenotype for future development of NMRA-140. However, because the trial was initiated by BlackThorn prior to the development and application of our Precision Phenotyping approach, the actual data results from the trial may not be reflective of the breadth of our full precision neuroscience platform or provide evidence to support our approach, which may not be fully understood by some investors or market participants, potentially leading to negative effects on our stock price.</w:t>
      </w:r>
    </w:p>
    <w:p>
      <w:pPr>
        <w:spacing w:after="0" w:line="19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since our inception in November 2019, and expect to continue to grow in the future. If we fail to effectively manage our growth, we may not be able to execute on our business objectives.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experienced rapid growth since our inception in November 2019, and expect to continue to grow in the future. As of December 31, 2020, we had 53 full-time employees and, as of September 30, 2021, we had grown to 84 full-time employees. We expect continued growth in the number of our employees and the scope of our operations, particularly as we continue our current and future clinical trials and preclinical studies, initiate and conduct investigational new drug (IND)-enabling studies and build out our clinical operations, regulatory, quality and manufacturing infrastructure. In addition, to headcount growth, we have made a number of acquisitions of assets, and entered into a significant strategic collaboration with Amgen and in-licensed programs from Amgen and Vanderbilt. These activities have added significant complexity to our organization, including a number of clinical and preclinical programs that we are now developing. These programs require significant infrastructure and headcount to effectively prosecute.</w:t>
      </w:r>
    </w:p>
    <w:p>
      <w:pPr>
        <w:spacing w:after="0" w:line="16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To manage our anticipated future growth, we will continue to implement and improve our managerial, operational, and financial systems, expand our facilities, and continue to recruit and train additional qualified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personnel. Due to the complexity in managing a company that has scaled very quickly and anticipates continued growth, we may not be able to scale our headcount and operations effectively to manage the expansion of our product pipeline or recruit and train the necessary additional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addition, future growth imposes significant added responsibilities on members of management, including: identifying, recruiting, integrating, maintaining, and motivating additional employees; managing our internal development efforts effectively, including the clinical and FDA review process for our product candidates, while complying with our contractual obligations to contractors and other third parties; and improving our operational, financial and management controls, reporting systems and procedures.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currently rely on certain independent organizations, advisors, and consultants to provide certain services, including strategic, financial, business development, and research and development services, as well as certain aspects of regulatory approval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or contract manufacturing organizations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reasonable terms, or at all.</w:t>
      </w:r>
    </w:p>
    <w:p>
      <w:pPr>
        <w:spacing w:after="0" w:line="19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Our ability to develop our data driven, precision neuroscience platform and products and our future growth depends on attracting, hiring and retaining our key personnel and recruiting additional qualified personnel.</w:t>
      </w:r>
    </w:p>
    <w:p>
      <w:pPr>
        <w:spacing w:after="0" w:line="170"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Our success depends upon the continued contributions of our key management, scientific, and data science personnel, many of whom have been instrumental for us and have substantial experience with our data driven, precision neuroscience platform, underlying technologies and related product candidates. Given the specialized nature of our platform and brain diseases,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senior data scientists and neuroscientists, would delay our research and development activities. Despite our efforts to retain valuable employees, members of our team may terminate their employment with us on short notice. The competition for qualified personnel in the biotechnology and 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spacing w:after="0" w:line="16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In addition, our research and development programs, data science and clinical operations efforts depend on our ability to attract and retain highly skilled scientists, data scientists, and engineers, particularly in Massachusetts and California. There is powerful competition for skilled personnel in these geographical markets, and we have from time to time experienced, and we expect to continue to experience, difficulty in hiring and retaining employees with appropriate qualifications on acceptable terms, or at all, particularly in the data science field.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to recruit and retain highly skilled employees. If we fail to attract new personnel or fail to retain and motivate our current personnel, our business and future growth prospects would be harmed.</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may not realize the benefits of technologies that we have acquired, or will acquire in the future, or other strategic transactions that we have or will consummate.</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platform represents an aggregation of innovation and technology from multiple companies and academic institutions, including BlackThorn, Syllable and Alairion as well as Amgen, TSRI and Vanderbilt. Further, a key component of our strategy is to acquire and in-license technologies to support the growth of our product pipeline and to enhance our precision neuroscience platform. As such, we actively evaluate various strategic transactions on an ongoing basis. We may acquire other assets, businesses, products or technologies, as well as pursue joint ventures or investments in complementary businesses. The success of our strategic transactions and any future strategic transactions depends on the risks and uncertainties involved including:</w:t>
      </w:r>
    </w:p>
    <w:p>
      <w:pPr>
        <w:spacing w:after="0" w:line="9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 or joint ventures;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acquisition and integration efforts, strategic alliances or joint ventures challenges;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or joint ventures;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resulting from the COVID-19 pandemic making it more difficult to integrate acquisitions into our business.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any of these risks or uncertainties occur, we may not realize the anticipated benefit of any acquisition or strategic transaction. For example, less than one year following the acquisition of Propellex, we terminated and are no longer developing the program we acquired from Propellex. Additionally, 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Future acquisitions or dispositions could result in potentially dilutive issuances of our equity securities, the incurrence of debt, contingent liabilities or amortization expenses, impairments or write-offs of goodwill or impairments and write-offs of in-process research and development assets, any of which could harm our financial condition.</w:t>
      </w:r>
    </w:p>
    <w:p>
      <w:pPr>
        <w:spacing w:after="0" w:line="184"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We have relied on, and in the future may rely on, third-party datasets and databases to build and enhance our precision neuroscience platform data science. If we are not able to access additional data sets or develop enhancements to our precision neuroscience platform, our ability to execute on our strategy may be limited.</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ability to execute on our data driven drug development strategy depends in large part on our ability to enhance and improve our precision neuroscience platform. As part of this approach, we interrogate public, partnered and proprietary datasets across neuropsychiatric and neurodegenerative diseases, currently encompassing genetic, imaging, EEG, digital and clinical data. We rely on these datasets and data analytics for identifying or validating some of our biomarker-target relationships. The success of our precision neuroscience platform and any enhancement to our platform depends on several factors, including access to and generation of additional multimodal patient datasets, whether public, partnered or proprietary, development of more advanced proprietary machine learning capabilities and increased computational storage and processing capacity. If we are unable to access additional datasets or they are not available on acceptable terms, or if we otherwise unsuccessful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enhancing our platform, we may be limited in our precision neuroscience capabilities and not be able to fully utilize a data driven precision medicine drug development strategy.</w:t>
      </w:r>
    </w:p>
    <w:p>
      <w:pPr>
        <w:spacing w:after="0" w:line="170"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In addition, access to public data sets may be limited by governmental or other restrictions, including restrictions on commercial application by government or government sponsored organizations or privacy related restrictions. See the risk factor “We face potential liability related to the privacy of health information we utilize in the development of product candidates, as well as information we obtain from clinical trials sponsored by us from research institutions and directly from individuals” for additional information on privacy related considerations.</w:t>
      </w:r>
    </w:p>
    <w:p>
      <w:pPr>
        <w:spacing w:after="0" w:line="171"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b w:val="1"/>
          <w:bCs w:val="1"/>
          <w:i w:val="1"/>
          <w:iCs w:val="1"/>
          <w:color w:val="auto"/>
        </w:rPr>
        <w:t>The outbreak of the novel coronavirus disease, COVID-19, could materially and adversely affect our preclinical studies and development, any clinical trials we subsequently commence, and our business, financial condition and results of operations.</w:t>
      </w:r>
    </w:p>
    <w:p>
      <w:pPr>
        <w:spacing w:after="0" w:line="14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December 2019, the coronavirus disease, COVID-19, was identified in Wuhan, China. Since then, COVID-19 has spread globally. In March 2020, the World Health Organization declared COVID-19 a global pandemic and the United States declared a national emergency with respect to COVID-19. In response to the COVID-19 pandemic, “shelter in place” orders and other public health guidance measures have been implemented across much of the United States, including in the locations of our offices and those of key vendors and partners. As a result of the COVID-19 pandemic, or similar pandemics, and related “shelter in place” orders and other public health guidance measures, we have and may in the future experience disruptions that could materially and adversely impact our preclinical studies and development, any clinical trials we subsequently commence, and our business, financial condition, and results of operations. Potential disruptions to the development of our product candidates include, but are not limited to:</w:t>
      </w:r>
    </w:p>
    <w:p>
      <w:pPr>
        <w:spacing w:after="0" w:line="72" w:lineRule="exact"/>
        <w:rPr>
          <w:sz w:val="20"/>
          <w:szCs w:val="20"/>
          <w:color w:val="auto"/>
        </w:rPr>
      </w:pPr>
    </w:p>
    <w:p>
      <w:pPr>
        <w:ind w:left="1080" w:right="100" w:hanging="532"/>
        <w:spacing w:after="0" w:line="286"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interruption of key clinical trial activities, such as clinical trial site data monitoring and efficacy and safety data collection, processing and analyses, due to limitations on travel imposed or recommended by federal, state, or local governments, employers and others or interruption of clinical trial subject visits, which may impact the collection and integrity of subject data and clinical study endpoints;</w:t>
      </w:r>
    </w:p>
    <w:p>
      <w:pPr>
        <w:spacing w:after="0" w:line="70" w:lineRule="exact"/>
        <w:rPr>
          <w:rFonts w:ascii="Arial" w:cs="Arial" w:eastAsia="Arial" w:hAnsi="Arial"/>
          <w:sz w:val="17"/>
          <w:szCs w:val="17"/>
          <w:color w:val="auto"/>
        </w:rPr>
      </w:pPr>
    </w:p>
    <w:p>
      <w:pPr>
        <w:ind w:left="1080" w:right="4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initiating or expanding clinical trials, including delays or difficulties with clinical site initiation and recruiting clinical site investigators and clinical site staff;</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or other health conditions or being forced to quarantine;</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materials and reagents;</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which may result in unexpected costs, or to discontinue the clinical trials altogether;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jc w:val="both"/>
        <w:ind w:left="1080" w:right="4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disruptions in preclinical experiments and IND-enabling studies due to restrictions of on-site staff, limited or no access to animal facilities, ongoing supply chain issues that are impacting supplies of laboratory reagants and unforeseen circumstances at contract research organizations (CROs) and vendors;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532"/>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employee or other resources that would otherwise be focused on the conduct of our and preclinical work, including because of sickness of employees or their families, the desire of employees to avoid travel or contact with large groups of people, an increased reliance on working from home, school closures, or mass transit disruptions;</w:t>
      </w:r>
    </w:p>
    <w:p>
      <w:pPr>
        <w:spacing w:after="0" w:line="89"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in maintaining our corporate culture that facilitates the transfer of institutional knowledge within our organization and fosters innovation, teamwork, and a focus on execution;</w:t>
      </w:r>
    </w:p>
    <w:p>
      <w:pPr>
        <w:spacing w:after="0" w:line="75" w:lineRule="exact"/>
        <w:rPr>
          <w:rFonts w:ascii="Arial" w:cs="Arial" w:eastAsia="Arial" w:hAnsi="Arial"/>
          <w:sz w:val="18"/>
          <w:szCs w:val="18"/>
          <w:color w:val="auto"/>
        </w:rPr>
      </w:pPr>
    </w:p>
    <w:p>
      <w:pPr>
        <w:ind w:left="1080" w:right="200" w:hanging="532"/>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of the FDA or comparable regulatory authorities to accept data from clinical trials in affected geographies; and</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delays, difficulties or interruptions as a result of current or future shutdowns due to the COVID-19 pandemic in countries where we or our third-party service providers operate.</w:t>
      </w:r>
    </w:p>
    <w:p>
      <w:pPr>
        <w:spacing w:after="0" w:line="170"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To date, the COVID-19 pandemic has delayed patient enrollment in our ongoing clinical trials and may further delay our initiation of preclinical studies and clinical trials, interrupt our supply chain, disrupt regulatory activities or have other adverse effects on our business and operations.</w:t>
      </w:r>
    </w:p>
    <w:p>
      <w:pPr>
        <w:spacing w:after="0" w:line="12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COVID-19 pandemic continues to rapidly evolve. Although many countries, including certain countries in Europe and the United States, have lifted certain restrictions on travel, rises in new cases have caused certain countries to re-initiate restrictions. The extent to which the outbreak may affect our preclinical studies, clinical trials, business, financial condition and results of operations will depend on future developments, which are highly uncertain and cannot be predicted at this time, such as the ultimate geographic spread of the disease,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 Additionally, we are unable to predict if a different pandemic could have similar or different impacts on our business, financial condition or share price. Future developments in these and other areas present material uncertainty and risk with respect to our clinical trials, business, financial condition and results of operations.</w:t>
      </w:r>
    </w:p>
    <w:p>
      <w:pPr>
        <w:spacing w:after="0" w:line="18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170"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The biotechnology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pharmaceutical and biotechnology companies, academic institutions, government agencies and other public and private research organizations. These organizations may have significantly greater resources than we do and conduct similar research, seek patent protection and establish collaborative arrangements for research, development, manufacturing, and marketing of products that compete with our product candidates.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With the proliferation of new drugs and therapies for our target indications, we expect to face increasingly intense competition as new technologies become available. If we fail to stay at the forefront of technological change, we may be unable to compete effectively. Any product candidates that we successfully develop and commercialize will compete with existing therapies and new therapies that may become available in the future. The highly competitive nature of and rapid technological changes in the biotechnology and pharmaceutical industries could render our product candidates or our technology obsolete, less competitive or uneconomical. Our competitors may, among other things:</w:t>
      </w:r>
    </w:p>
    <w:p>
      <w:pPr>
        <w:spacing w:after="0" w:line="8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significantly greater financial, manufacturing, marketing, drug development, technical, and human resources than we do;</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more convenient or easier to administer, or have fewer or less severe side effects;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superior proprietary positions covering our products and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factors occur, our business, financial condition, and results of operations could be materially adversely affected.</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any collaborators may decide to market and sell products that compete with the product candidates that we have agreed to license to them, and any competition by our collaborators could also have a material adverse effect on our future business, financial condition, and results of operations.</w:t>
      </w:r>
    </w:p>
    <w:p>
      <w:pPr>
        <w:spacing w:after="0" w:line="184"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4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Because we have limited financial and managerial resources, we focus on research programs, therapeutic platforms, and product candidates that we identify for specific indications. Additionally, we have contractual commitments under the agreements we acquired for various product candidate assets, as well as our license and collaboration agreements to use commercially reasonable efforts to develop certain programs and, thus, do not have unilateral discretion to vary from such agreed to efforts. In addition, we have contractual commitments to conduct certain development plans, and thus may not have discretion to modify such development plans, including clinical trial designs, without agreement from our collaboration partner. As a result, we may forego or delay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Defects or disruptions in our precision neuroscience platform could result in diminishing our value and prospects.</w:t>
      </w:r>
    </w:p>
    <w:p>
      <w:pPr>
        <w:spacing w:after="0" w:line="225"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Our precision neuroscience platform depends upon the continuous, effective, and reliable operation of our software, hardware, databases, and related tools and functions and the integrity of our data. Our proprietary software tools, hardware, and datasets are inherently complex and may contain defects or errors. Errors may result from the interface of our proprietary software and hardware tools with our data or third-party systems and data, which we did not develop. The risk of errors is particularly significant when new software or hardware is first introduced or when new versions or enhancements of existing software or hardware are implemented. We have, from time to time, found defects in our software and hardware, and new errors in our existing software and hardware may be detected in the future. Any errors, defects, disruptions, or other performance problems with our software, hardware, or datasets could hurt our ability to gather valuable insights that drive our drug discoveries. Furthermore, our platform may produce therapeutic application insights that are inaccurate which could result in a material adverse effect on our ability to discover new product candidates. Such discovery is dependent on the integrity and completeness of our data. The occurrence of any of these events could result in diminishing value of our platform and data and have a material adverse effect on our business, operating results and prospects.</w:t>
      </w:r>
    </w:p>
    <w:p>
      <w:pPr>
        <w:spacing w:after="0" w:line="168" w:lineRule="exact"/>
        <w:rPr>
          <w:sz w:val="20"/>
          <w:szCs w:val="20"/>
          <w:color w:val="auto"/>
        </w:rPr>
      </w:pPr>
    </w:p>
    <w:p>
      <w:pPr>
        <w:ind w:left="120" w:right="260"/>
        <w:spacing w:after="0" w:line="381" w:lineRule="auto"/>
        <w:rPr>
          <w:sz w:val="20"/>
          <w:szCs w:val="20"/>
          <w:color w:val="auto"/>
        </w:rPr>
      </w:pPr>
      <w:r>
        <w:rPr>
          <w:rFonts w:ascii="Arial" w:cs="Arial" w:eastAsia="Arial" w:hAnsi="Arial"/>
          <w:sz w:val="15"/>
          <w:szCs w:val="15"/>
          <w:b w:val="1"/>
          <w:bCs w:val="1"/>
          <w:i w:val="1"/>
          <w:iCs w:val="1"/>
          <w:color w:val="auto"/>
        </w:rPr>
        <w:t>We rely upon third-party providers of cloud-based infrastructure to host our platforms. Any disruption in the operations of these third-party providers, limitations on capacity, or interference with our use could adversely affect our business, financial condition, and results of operations.</w:t>
      </w:r>
    </w:p>
    <w:p>
      <w:pPr>
        <w:spacing w:after="0" w:line="10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outsource substantially all of the technological infrastructure relating to our hosted platform to third-party hosting services, such as Amazon Web Services (AWS). We have no control over any of these third parties, and while we attempt to reduce risk by minimizing reliance on any single third party or its operations, we cannot guarantee that such third-party providers will not experience system interruptions, outages or delays, or deterioration in their performance. We need to be able to access our computational platform at any time, without interruption or degradation of performance. Our hosted platform depends on protecting the virtual cloud infrastructure hosted by third-party hosting services by maintaining its configuration, architecture, features, and interconnection specifications, as well as protecting the information stored in these virtual data centers, which is transmitted by third-party Internet service providers.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 Any limitation on the capacity of our third-party hosting services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terrorist or other attacks, and other disruptive events beyond our control could negatively affect our cloud-based solutions. A prolonged service disruption affecting our cloud-based solutions could damage our reputation or otherwise harm our business. We may also incur significant costs for using alternative equipment or taking other actions in preparation for, or in reaction to, events that damage the third-party hosting services we use.</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the our platform as well as significant delays and additional expense in arranging or creating new facilities and services and/or re-architecting our hosted software solutions for deployment on a different cloud infrastructure service provider, which could adversely affect our business, financial condition, and results of operations.</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our other data is otherwise obtained, our data may be perceived as not being secure and we may incur significant liabilities.</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use a set of proprietary tools to generate, analyze, and derive novel insights from our data. As a result, unauthorized access to or security breaches of our data, as a result of third-party action, employee or contractor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error, malfeasance, or otherwise could result in the loss or corruption of, or other damage to information, claims and litigation, indemnity obligations, damage to our reputation, and other liability. Our collaborators and other third parties we work with may also suffer similar security breaches of data that we rely on. Because the techniques used to obtain unauthorized access or sabotage systems change frequently and generally are not identified until they are launched against a target, we and those we collaborate with may be unable to anticipate these techniques or implement adequate preventative measures. In addition, if our employees or contractors fail to adhere to practices we have established to maintain a firewall between our internal drug discovery team and our teams that work with external individuals, including our collaborators, or if the technical solutions we have adopted to maintain the firewall malfunction, our collaborators may lose confidence in our ability to maintain the confidentiality of their intellectual property, we may have trouble attracting new collaborators, we may be subject to breach of contract claims by our collaborators, and we may suffer reputational and other harm as a result. Any or all of these issues could result in reputational damage or subject us to third-party lawsuits or other action or liability, which could adversely affect our operating results. Our insurance may not be adequate to cover losses associated with such events, and in any case, such insurance may not cover all of the types of costs, expenses, and losses we could incur to respond to and remediate a security breach. For more information see “Risk Factors—Our business and operations would suffer in the event of computer system failures, cyber-attacks or deficiencies in our or third parties’ cyber security.”</w:t>
      </w:r>
    </w:p>
    <w:p>
      <w:pPr>
        <w:spacing w:after="0" w:line="18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Our solutions utilize third-party open source software, and any failure to comply with the terms of one or more of these open source software licenses could adversely affect our business, subject us to litigation, or create potential liability.</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solutions include software licensed by third parties under any one or more open source licenses, and we expect to continue to incorporate open source software in our solutions in the future. While we have a process in place for monitoring the use of open source software by our employees, we cannot ensure we are aware of every instance of such use or have validated the quality or source of such software, or that we are in compliance with the terms of the applicable open source licenses or our current policies and procedures. There have been claims against companies that use open source software in their products and services asserting that the use of such open source software infringes the claimants’ intellectual property rights. As a result, we could be subject to suits by third parties claiming that what we believe to be licensed open source software infringes such third parties’ intellectual property rights. Additionally,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and required to comply with onerous conditions or restrictions on these solutions, which could disrupt the distribution and sale of these solutions. Litigation could be costly for us to defend, have a negative effect on our business, financial condition, and results of operations, or require us to devote additional research and development resources to change our solutions. Furthermore, these third-party open source providers could experience service outages, data loss, privacy breaches, cyber-attacks, and other events relating to the applications and services they provide that could diminish the utility of these services and which could harm our business as a result.</w:t>
      </w:r>
    </w:p>
    <w:p>
      <w:pPr>
        <w:spacing w:after="0" w:line="174"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Use of open source software may entail greater risks than use of third-party commercial software, as open source licensors generally do not provide warranties or other contractual protections regarding infringement claims or the quality of the code, including with respect to security vulnerabilities where open source software may be more susceptible.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The terms of various open source licenses to which we are subject have not been interpreted by courts in the relevant jurisdictions, and there is a risk that such licenses could be construed in a manner that imposes unanticipated conditions or restrictions on our ability to market or provide our software and data.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determined to be subject to an open source license, we could be required to publicly release the affected portions of our source code, re-engineer all or a portion of our solutions, or otherwise be limited in the licensing of our solutions, each of which could reduce or eliminate the value of our solutions. Disclosing our proprietary source code could allow our competitors to create similar products with lower development effort and time and ultimately could result in a loss of sales. Furthermore, any such re-engineering or other remedial efforts could require significant additional research and development resources, and we may not be able to successfully complete any such re-engineering or other remedial efforts. Any of these events could create liability for us and damage our reputation, which could have a material adverse effect on our revenue, business, results of operations, and financial condition and the market price of our shares.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and Clinical Testing of Our Product Candidates</w:t>
      </w:r>
    </w:p>
    <w:p>
      <w:pPr>
        <w:spacing w:after="0" w:line="229" w:lineRule="exact"/>
        <w:rPr>
          <w:sz w:val="20"/>
          <w:szCs w:val="20"/>
          <w:color w:val="auto"/>
        </w:rPr>
      </w:pPr>
    </w:p>
    <w:p>
      <w:pPr>
        <w:jc w:val="both"/>
        <w:ind w:left="120" w:right="340"/>
        <w:spacing w:after="0" w:line="286" w:lineRule="auto"/>
        <w:rPr>
          <w:sz w:val="20"/>
          <w:szCs w:val="20"/>
          <w:color w:val="auto"/>
        </w:rPr>
      </w:pPr>
      <w:r>
        <w:rPr>
          <w:rFonts w:ascii="Arial" w:cs="Arial" w:eastAsia="Arial" w:hAnsi="Arial"/>
          <w:sz w:val="17"/>
          <w:szCs w:val="17"/>
          <w:b w:val="1"/>
          <w:bCs w:val="1"/>
          <w:i w:val="1"/>
          <w:iCs w:val="1"/>
          <w:color w:val="auto"/>
        </w:rPr>
        <w:t>Preclinical and clinical drug development is a lengthy and expensive process, with an uncertain outcome. Our preclinical and clinical programs have and may experience delays or may never advance, which would adversely affect ability to obtain regulatory approvals or commercialize our product candidates on a timely basis or at all, which could have an adverse effect on our business.</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order to obtain FDA approval to market our product candidates, we must demonstrate the safety and efficacy of our product candidates in humans to the satisfaction of the FDA. To meet these requirements, we will have to conduct adequate and well-controlled clinical trials. Clinical testing is expensive, time-consuming and subject to uncertainty. Conducting preclinical testing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but not limited to:</w:t>
      </w:r>
    </w:p>
    <w:p>
      <w:pPr>
        <w:spacing w:after="0" w:line="100"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the approvals needed to conduct preclinical studies in animals (e.g., Institutional Animal Care and Use Committee (IACUC) approval);</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FDA’s Good Laboratory Practice (GLP) requirements and other applicable regulations;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ethics committee at each clinical site before each trial may be initiated;</w:t>
      </w:r>
    </w:p>
    <w:p>
      <w:pPr>
        <w:spacing w:after="0" w:line="142"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delays in reaching agreement on acceptable terms with prospective CROs, and clinical trial sites, the terms of which can be subject to extensive negotiation and may vary significantly among different CROs and clinical trial sites;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75"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authorities;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532"/>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89"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recruiting, screening and enrolling patients and delays caused by patients withdrawing from clinical trials or failing to return for post-treatment follow-up;</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30" w:lineRule="exact"/>
        <w:rPr>
          <w:rFonts w:ascii="Arial" w:cs="Arial" w:eastAsia="Arial" w:hAnsi="Arial"/>
          <w:sz w:val="18"/>
          <w:szCs w:val="18"/>
          <w:color w:val="auto"/>
        </w:rPr>
      </w:pPr>
    </w:p>
    <w:p>
      <w:pPr>
        <w:ind w:left="1080" w:right="240" w:hanging="532"/>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by our CROs, other third parties or us to adhere to clinical trial protocols; failure to perform in accordance with the FDA’s or any other regulatory authority’s good clinical practice (GCP) requirements, or applicable regulatory guidelines in other countries;</w:t>
      </w:r>
    </w:p>
    <w:p>
      <w:pPr>
        <w:spacing w:after="0" w:line="51" w:lineRule="exact"/>
        <w:rPr>
          <w:rFonts w:ascii="Arial" w:cs="Arial" w:eastAsia="Arial" w:hAnsi="Arial"/>
          <w:sz w:val="17"/>
          <w:szCs w:val="17"/>
          <w:color w:val="auto"/>
        </w:rPr>
      </w:pPr>
    </w:p>
    <w:p>
      <w:pPr>
        <w:ind w:left="1080" w:right="3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 of the same class of agents conducted by other companies;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the clinical trial protocols;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manufacturing organization (CMO) and delays or failure by our CMOs or us to make any necessary changes to such manufacturing process;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preclinical studies and clinical trials.</w:t>
      </w:r>
    </w:p>
    <w:p>
      <w:pPr>
        <w:spacing w:after="0" w:line="170" w:lineRule="exact"/>
        <w:rPr>
          <w:sz w:val="20"/>
          <w:szCs w:val="20"/>
          <w:color w:val="auto"/>
        </w:rPr>
      </w:pPr>
    </w:p>
    <w:p>
      <w:pPr>
        <w:ind w:left="120" w:right="180" w:firstLine="440"/>
        <w:spacing w:after="0" w:line="289" w:lineRule="auto"/>
        <w:rPr>
          <w:sz w:val="20"/>
          <w:szCs w:val="20"/>
          <w:color w:val="auto"/>
        </w:rPr>
      </w:pPr>
      <w:r>
        <w:rPr>
          <w:rFonts w:ascii="Arial" w:cs="Arial" w:eastAsia="Arial" w:hAnsi="Arial"/>
          <w:sz w:val="16"/>
          <w:szCs w:val="16"/>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For example, nonclinical safety pharmacology studies of NMRA-511 indicate that the dose limiting toxicities were CNS observations including tremor and convulsions,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which led to a partial clinical hold on our IND that was removed when we amended the protocol to include tremors as a stopping criteria.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7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Results of preclinical studies or clinical trials of any product candidates may not be predictive of the results of future preclinical studies or clinical trials.</w:t>
      </w:r>
    </w:p>
    <w:p>
      <w:pPr>
        <w:spacing w:after="0" w:line="170"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To obtain the requisite regulatory approvals to market and sell any of our product candidates, we or any collaborator for such product candidate must demonstrate through extensive preclinical studies and clinical trials that the product candidate is safe and effective in humans. Before an IND can be submitted to the FDA and become effective, which is a prerequisite for conducting clinical trials on human subjects, a product candidate must successfully progress through extensive preclinical studies, which include preclinical laboratory testing, animal studies, and formulation studies in accordance with GLP. We cannot be certain of the timely completion or outcome of any preclinical studies and cannot predict if the FDA or comparable regulatory authorities will allow our proposed clinical programs to proceed or if the outcome of our preclinical studies will ultimately support further development of our programs. We also cannot be sure that we will be able to submit INDs or similar applications with respect to our product candidates on the timelines we expect, if at all, and we cannot be sure that submission of IND or similar applications will result in the FDA or other regulatory authorities allowing clinical trials to begin.</w:t>
      </w:r>
    </w:p>
    <w:p>
      <w:pPr>
        <w:spacing w:after="0" w:line="18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Moreover, success in preclinical studies or early clinical trials does not ensure that later preclinical studies or clinical trials will be successful. A number of companies in the biotechnology and pharmaceutical industries have suffered significant setbacks in clinical trials, even after positive results in earlier preclinical studies. These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setbacks have been caused by, among other things, preclinical findings made while clinical trials were underway and safety or efficacy observations made in clinical trials, including previously unreported adverse events. The design of a clinical trial can determine whether its results will support approval of a product, and flaws in the design of a clinical trial may not become apparent until the clinical trial is well advanced. In addition, preclinical and clinical data are often susceptible to varying interpretations and analyses. Notwithstanding any potential promising results in earlier studies, we cannot be certain that we will not face similar setbacks. In addition, the results of our preclinical animal studies, including our non-human primate studies, may not be predictive of the results of outcomes in subsequent clinical trials on human subjects. Product candidates in clinical trials may fail to show the desired pharmacological properties or safety and efficacy traits despite having progressed through preclinical studies.</w:t>
      </w:r>
    </w:p>
    <w:p>
      <w:pPr>
        <w:spacing w:after="0" w:line="16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If we fail to receive positive results in preclinical studies or clinical trials of any product candidate, the development timeline and regulatory approval and commercialization prospects for that product candidate, and, correspondingly, our business and financial prospects, would be negatively impacted.</w:t>
      </w:r>
    </w:p>
    <w:p>
      <w:pPr>
        <w:spacing w:after="0" w:line="184"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b w:val="1"/>
          <w:bCs w:val="1"/>
          <w:i w:val="1"/>
          <w:iCs w:val="1"/>
          <w:color w:val="auto"/>
        </w:rPr>
        <w:t>Our product candidates may have serious adverse, undesirable, or unacceptable side effects or other properties that may delay or prevent marketing approval. If such side effects are identified following approval, if any, the commercial profile of any approved label may be limited, or we may be subject to other significant negative consequences following marketing approval, if any.</w:t>
      </w:r>
    </w:p>
    <w:p>
      <w:pPr>
        <w:spacing w:after="0" w:line="16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Undesirable side effects that may be caused by our product candidates could cause us or regulatory authorities to interrupt, delay, or halt clinical trials and could result in a more restrictive label or the delay or denial of regulatory approval by the FDA or comparable foreign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may also be required to modify our study plans based on findings in our ongoing preclinical studies or clinical trials. For example, in a rat study, at its highest dose (100 mg/kg/day) NMRA-140 was observed to have skin-related phototoxicity of erythema, edema and flaking additionally ocular phototoxicity (corneal edema). While no phototoxicity has been observed in our Phase 1 clinical trials, we are monitoring visual acuity and corneal integrity in our ongoing Phase 2a clinical trial to confirm there is no phototoxicity in humans. If phototoxicity is experienced in our clinical trials, the labeling implications of such safety warnings may limit any future product sales, if NMRA-140 is approved.</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It is possible that as we test our product candidates in larger, longer and more extensive clinical trials, including with different dosing regimens, or as the use of these product candidates becomes more widespread if they receive regulatory approval, illnesses, injuries, discomforts and other adverse events that were observed in earlier trials, as well as conditions that did not occur or went undetected in previous trials, may be reported by subjects. If such side effects become known later in development or upon approval, if any, such findings may harm our business, financial condition and prospects significantly.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the event that any of our product candidates receives marketing approval and we or others later identify undesirable or unacceptable side effects caused by such products, a number of potentially significant negative consequences could result, including:</w:t>
      </w:r>
    </w:p>
    <w:p>
      <w:pPr>
        <w:spacing w:after="0" w:line="76"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regulatory authorities may withdraw or limit approvals of such products and require us to take our approved product off the market;</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 or issue other communications containing warnings or other safety information about the product;</w:t>
      </w:r>
    </w:p>
    <w:p>
      <w:pPr>
        <w:spacing w:after="0" w:line="75" w:lineRule="exact"/>
        <w:rPr>
          <w:rFonts w:ascii="Arial" w:cs="Arial" w:eastAsia="Arial" w:hAnsi="Arial"/>
          <w:sz w:val="18"/>
          <w:szCs w:val="18"/>
          <w:color w:val="auto"/>
        </w:rPr>
      </w:pPr>
    </w:p>
    <w:p>
      <w:pPr>
        <w:ind w:left="1080" w:right="660" w:hanging="532"/>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29"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change the dose or the way the product is administered, conduct additional clinical trials, or change the labeling of the product;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or manufacture the product;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In particular, it will likely take additional time to fully analyze the results of our clinical studies data using our proprietary AI/ML methods in order to develop Data Biopsy Signatures and Precision Phenotypes. As a result, the topline or preliminary results that we report may differ from future results of the same studies, or different conclusions or considerations may qualify such results, once additional data have been received and fully evaluated, including through our data science platform and analytics.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7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vaccine candidates may be harmed, which could harm our business, prospects, financial condition or results of operations.</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will depend on enrollment and retention of patients in our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p>
    <w:p>
      <w:pPr>
        <w:spacing w:after="0" w:line="184" w:lineRule="exact"/>
        <w:rPr>
          <w:sz w:val="20"/>
          <w:szCs w:val="20"/>
          <w:color w:val="auto"/>
        </w:rPr>
      </w:pPr>
    </w:p>
    <w:p>
      <w:pPr>
        <w:jc w:val="both"/>
        <w:ind w:left="120" w:right="340" w:firstLine="440"/>
        <w:spacing w:after="0" w:line="286" w:lineRule="auto"/>
        <w:rPr>
          <w:sz w:val="20"/>
          <w:szCs w:val="20"/>
          <w:color w:val="auto"/>
        </w:rPr>
      </w:pPr>
      <w:r>
        <w:rPr>
          <w:rFonts w:ascii="Arial" w:cs="Arial" w:eastAsia="Arial" w:hAnsi="Arial"/>
          <w:sz w:val="17"/>
          <w:szCs w:val="17"/>
          <w:color w:val="auto"/>
        </w:rPr>
        <w:t>Successful and timely completion of clinical trials will require that we enroll and retain a sufficient number of patient candidates. Any clinical trials we conduct may be subject to delays for a variety of reasons, including as a result of patient enrollment taking longer than anticipated, patient withdrawal or adverse events. These types of developments could cause us to delay the trial or halt further development.</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The eligibility criteria of our clinical studies, and in particular, any eligibility criteria we may establish using our precision neuroscience approach, may limit the pool of available study participants as we will require that patients have specific characteristics that we can measure or to assure their disease is either severe enough or not too advanced to include them in a study.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Patient enrollment depends on many factors, including:</w:t>
      </w:r>
    </w:p>
    <w:p>
      <w:pPr>
        <w:spacing w:after="0" w:line="13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eligibility criteria for the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 of the clinical protocol;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the administration of our product candidates or trial completion;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competing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such patients during the COVID-19 pandemic;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new drugs approved for the indication the clinical trial is investigating;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of the drug being studied in relation to other available therapies.</w:t>
      </w:r>
    </w:p>
    <w:p>
      <w:pPr>
        <w:spacing w:after="0" w:line="23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These factors may make it difficult for us to enroll enough patients to complete our clinical trials in a timely and cost-effective manner. To date, the COVID-19 pandemic has delayed patient enrollment in our ongoing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clinical trials and may further delay our initiation of preclinical studies and clinical trials.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smaller than we believe, and even if the markets in which we compete achieve the forecasted growth, our business may not grow at similar rates, or at all.</w:t>
      </w:r>
    </w:p>
    <w:p>
      <w:pPr>
        <w:spacing w:after="0" w:line="12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We intend to initially focus our product candidate development on treatments for various neuropsychiatric disorders and neurodegenerative diseases. Our projections of addressable patient populations within any particular disease state that may benefit from treatment with our product candidates are based on our estimates. Market opportunity estimates and growth forecasts included in this prospectus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18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Even if approved, our products may not gain market acceptance, in which case we may not be able to generate product revenues, which will materially adversely affect our business, financial condition, and results of operations.</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Even if the FDA or any comparable foreign regulatory authority approves the marketing of any product candidates that we develop, physicians, healthcare providers, patients, or the medical community may not accept or use them. Additionally, the product candidates that we are developing are based on our proprietary platforms, which are new technologies. If these products do not achieve an adequate level of acceptance, we may not generate significant product revenues or any profits from operations. The degree of market acceptance of any of our product candidates will depend on a variety of factors, including:</w:t>
      </w:r>
    </w:p>
    <w:p>
      <w:pPr>
        <w:spacing w:after="0" w:line="93"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approval of other new therapies for the same indications;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publicity about our product candidates;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coverage, adequate reimbursement and sufficient payment from health maintenance organizations and other insurers, both public and private, for our product candidates, or the procedures utilizing our product candidates, if approved;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coverage by third-party payors and government authorities; and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84"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b w:val="1"/>
          <w:bCs w:val="1"/>
          <w:i w:val="1"/>
          <w:iCs w:val="1"/>
          <w:color w:val="auto"/>
        </w:rPr>
        <w:t>We currently have no marketing, sales, or distribution infrastructure and we intend to either establish a sales and marketing infrastructure or outsource this function to a third party. Either of these commercialization strategies carries substantial risks to us.</w:t>
      </w:r>
    </w:p>
    <w:p>
      <w:pPr>
        <w:spacing w:after="0" w:line="124"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Given our stage of development, we currently have no marketing, sale, and distribution capabilities. If any of our product candidates complete clinical development and are approved, we intend to either establish a sales and marketing organization with technical expertise and supporting distribution capabilities to commercialize our product candidates in a legally compliant manner, or to outsource this function to a third party. There are risks involved if we decide to establish our own sales and marketing capabilities or enter into arrangements with third parties to perform these services.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 which would have a material adverse effect on our business, financial condition, and results of operations.</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While we currently have no products that have commenced clinical trials or been approved for commercial sale, the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Even successful defense against product liability claims would require significant financial and management resources. Regardless of the merits or eventual outcome, liability claims may result in: decreased demand for our product candidates; injury to our reputation; withdrawal of clinical trial participants; initiation of investigations by regulators; costs to defend the related litigation; a diversion of management’s time and our resources; substantial monetary awards to trial participants or patients; product recalls, withdrawals or labeling, marketing or promotional restrictions; loss of revenue; exhaustion of any available insurance and our capital resources; the inability to commercialize any product candidate; and a decline in our share price.</w:t>
      </w:r>
    </w:p>
    <w:p>
      <w:pPr>
        <w:spacing w:after="0" w:line="19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Although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be unable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2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b w:val="1"/>
          <w:bCs w:val="1"/>
          <w:i w:val="1"/>
          <w:iCs w:val="1"/>
          <w:color w:val="auto"/>
        </w:rPr>
        <w:t>The development and commercialization of drug products is subject to extensive regulation, and the regulatory approval processes of the FDA and comparable foreign authorities are lengthy, time-consuming, and inherently unpredictable. If we are ultimately unable to obtain regulatory approval for our product candidates on a timely basis if at all, our business will be substantially harmed.</w:t>
      </w:r>
    </w:p>
    <w:p>
      <w:pPr>
        <w:spacing w:after="0" w:line="16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our product candidates are subject to extensive regulation. In the United States, obtaining marketing approval for a new drug requires the submission of a New Drug Application (NDA) to the FDA, and we are not permitted to market any product candidate in the United States until we obtain approval from the FDA of the NDA for that product candidate. An NDA must be supported by extensive clinical and preclinical data, as well as extensive information regarding pharmacology, chemistry, manufacturing, and controls. Outside the United States, many comparable foreign regulatory authorities employ similar approval processes.</w:t>
      </w:r>
    </w:p>
    <w:p>
      <w:pPr>
        <w:spacing w:after="0" w:line="19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not previously submitted an NDA to the FDA or similar marketing application to comparable foreign authorities, for any product candidate, and we cannot be certain that any of our product candidates will receive regulatory approval. Obtaining approval of an NDA can be a lengthy, expensive, and uncertain process, and as a company we have no experience with the preparation of an NDA submission or any other marketing application. In addition, 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3" w:lineRule="exact"/>
        <w:rPr>
          <w:rFonts w:ascii="Arial" w:cs="Arial" w:eastAsia="Arial" w:hAnsi="Arial"/>
          <w:sz w:val="16"/>
          <w:szCs w:val="16"/>
          <w:color w:val="auto"/>
        </w:rPr>
      </w:pPr>
    </w:p>
    <w:p>
      <w:pPr>
        <w:ind w:left="1080" w:hanging="532"/>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 or regulatory authorities may not accept a submission due to, among other reasons, the content or formatting of the submission;</w:t>
      </w:r>
    </w:p>
    <w:p>
      <w:pPr>
        <w:spacing w:after="0" w:line="89"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and comparable foreign regulatory authorities have substantial discretion in the approval process, and determining when or whether regulatory approval will be obtained for any of our product candidates. For example, regulatory authorities in various jurisdictions have in the past had, and may in the future have, differing requirements for, interpretations of and opinions on our preclinical and clinical data. As a result, we may be required to conduct additional preclinical studies, alter our proposed clinical trial designs, or conduct additional clinical trials to satisfy the regulatory authorities in each of the jurisdictions in which we hope to conduct clinical trials and develop and market our products, if approved. Further, even if we believe the data collected from clinical trials of our product candidates are promising, such data may not be sufficient to support approval by the FDA or any comparable foreign regulatory authority.</w:t>
      </w:r>
    </w:p>
    <w:p>
      <w:pPr>
        <w:spacing w:after="0" w:line="19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If the FDA or a comparable foreign regulatory authority approves any of our product candidates, the manufacturing processes, testing, safety, efficacy,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manufacture practices (cGMPs) and good clinical practices (GCPs) for any clinical trials that we conduct post-approval, all of which</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w:t>
      </w:r>
    </w:p>
    <w:p>
      <w:pPr>
        <w:spacing w:after="0" w:line="187" w:lineRule="exact"/>
        <w:rPr>
          <w:sz w:val="20"/>
          <w:szCs w:val="20"/>
          <w:color w:val="auto"/>
        </w:rPr>
      </w:pPr>
    </w:p>
    <w:p>
      <w:pPr>
        <w:ind w:left="120" w:right="520" w:firstLine="440"/>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quality control, and distribution.</w:t>
      </w:r>
    </w:p>
    <w:p>
      <w:pPr>
        <w:spacing w:after="0" w:line="176"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7"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30"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or require us to issue, safety-related communications, such as safety alerts, field alerts, “Dear Doctor” letters to healthcare professionals, or import alerts;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limit, or withdraw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any of our preclinical studies and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and our contract manufacturers’ facilities;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conduct a product recall.</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adverse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Moreover,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7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FDA and other regulatory agencies strictly regulate the promotional claims that may be made about drug products. These regulations include standards and restrictions for direct-to-consumer advertising, industry-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9" w:right="4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sponsored scientific and educational activities, promotional activities involving the internet and off-label promotion. For example, any regulatory approval that the FDA grants is limited to those indications and patient populations for which a drug is deemed to be safe and effective by the FDA.</w:t>
      </w:r>
    </w:p>
    <w:p>
      <w:pPr>
        <w:spacing w:after="0" w:line="12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While physicians in the United States may choose, and are generally permitted, to prescribe products in their independent medical judgment for uses that are not described in the product’s labeling and for uses that differ from those tested in clinical trials and approved by the regulatory authorities, our ability to promote any of our products candidates, if approved, will be narrowly limited to those indications and populations that are specifically approved by the FDA or such other regulatory agencies, and if we are found to have promoted such off-label uses, we may become subject to significant liability. For example, the federal government has levied large civil and criminal fines against companies for alleged improper promotion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96"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65"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6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Separately, in response to the COVID-19 pandemic, in March 2020 the FDA announced its intention to postpone most inspections of foreign manufacturing facilities and routine surveillance inspections of domestic manufacturing facilities. Subsequently, in July 2020, the FDA resumed on-site inspections of manufacturing facilities subject to a risk-based prioritization system. This risk-based assessment system is being used to identify the categories of regulatory activity that can occur within a given geographic area, ranging from mission critical inspections to resumption of all regulatory activities. Additionally, on April 15, 2021, the FDA issued a guidance document concerning voluntary remote interactive evaluations.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be appropriate. Regulatory authorities outside the United States may adopt similar restrictions or other policy measures in response to the COVID-19 pandemic. If a prolonged government shutdown occurs, or if global health concerns continue to prevent the FDA or comparable foreign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8"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b w:val="1"/>
          <w:bCs w:val="1"/>
          <w:i w:val="1"/>
          <w:iCs w:val="1"/>
          <w:color w:val="auto"/>
        </w:rPr>
        <w:t>Our business operations and current and future relationships with healthcare professionals, principal investigators, consultants, vendors, customers, and third-party payors in the United States and elsewhere are subject to applicable anti-kickback, fraud and abuse, false claims, physician payment transparency, and other healthcare laws and regulations, which could expose us to substantial penalties, contractual damages, reputation harm, administrative burdens, and diminished profits.</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Healthcare providers, healthcare facilities and institutions and third-party payors in the United States and elsewhere will play a primary role in the recommendation and prescription of any product candidates for which we obtain marketing approval. Our current and future arrangements with healthcare professionals, healthcare facilities and institutions, principal investigators, consultants, customers, and third-party payors may expose us to broadly applicable fraud and abuse and other healthcare laws, including, without limitation, the federal Anti-Kickback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regulation by the federal government and by the states and foreign jurisdictions in which we conduct our business. The applicable federal, state, and foreign healthcare laws that affect our ability to operate include, but are not limited to, the following:</w:t>
      </w:r>
    </w:p>
    <w:p>
      <w:pPr>
        <w:spacing w:after="0" w:line="84" w:lineRule="exact"/>
        <w:rPr>
          <w:sz w:val="20"/>
          <w:szCs w:val="20"/>
          <w:color w:val="auto"/>
        </w:rPr>
      </w:pPr>
    </w:p>
    <w:p>
      <w:pPr>
        <w:ind w:left="1080" w:right="400" w:hanging="532"/>
        <w:spacing w:after="0" w:line="279"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740"/>
        <w:spacing w:after="0" w:line="277" w:lineRule="auto"/>
        <w:rPr>
          <w:sz w:val="20"/>
          <w:szCs w:val="20"/>
          <w:color w:val="auto"/>
        </w:rPr>
      </w:pPr>
      <w:r>
        <w:rPr>
          <w:rFonts w:ascii="Arial" w:cs="Arial" w:eastAsia="Arial" w:hAnsi="Arial"/>
          <w:sz w:val="18"/>
          <w:szCs w:val="18"/>
          <w:color w:val="auto"/>
        </w:rPr>
        <w:t>part, under any U.S. federal healthcare program, such as Medicare and Medicaid. A person or entity does not need to have actual knowledge of the statute or specific intent to violate it in order to have committed a violation;</w:t>
      </w:r>
    </w:p>
    <w:p>
      <w:pPr>
        <w:spacing w:after="0" w:line="76" w:lineRule="exact"/>
        <w:rPr>
          <w:sz w:val="20"/>
          <w:szCs w:val="20"/>
          <w:color w:val="auto"/>
        </w:rPr>
      </w:pPr>
    </w:p>
    <w:p>
      <w:pPr>
        <w:ind w:left="1080" w:hanging="532"/>
        <w:spacing w:after="0" w:line="25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federal civil and criminal false claims laws, including the civil False Claims Act, which prohibit, among other things, including through civil whistleblower or qui tam actions,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among other things, engaging in impermissible marketing practices, such as the off-label promotion of a product for an indication for which it has not received FDA approval. In addition, the government may assert that a claim including items and services resulting from a violation of the federal Anti-Kickback Statute constitutes a false or fraudulent claim for purposes of the civil False Claims Act;</w:t>
      </w:r>
    </w:p>
    <w:p>
      <w:pPr>
        <w:spacing w:after="0" w:line="101"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healthcare fraud statute implemented under HIPAA or specific intent to violate it in order to have committed a violation;</w:t>
      </w:r>
    </w:p>
    <w:p>
      <w:pPr>
        <w:spacing w:after="0" w:line="97" w:lineRule="exact"/>
        <w:rPr>
          <w:rFonts w:ascii="Arial" w:cs="Arial" w:eastAsia="Arial" w:hAnsi="Arial"/>
          <w:sz w:val="18"/>
          <w:szCs w:val="18"/>
          <w:color w:val="auto"/>
        </w:rPr>
      </w:pPr>
    </w:p>
    <w:p>
      <w:pPr>
        <w:ind w:left="1080" w:right="60" w:hanging="532"/>
        <w:spacing w:after="0" w:line="273"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U.S. Physician Payments Sunshine Act and its implementing regulations, which requires, among other things, certain manufacturers of drugs, devices, biologics, and medical supplies that are reimbursable under Medicare, Medicaid, or the Children’s Health Insurance Program, with specific exceptions, to report annually to the Centers for Medicare and Medicaid Services, or CMS, information related to certain payments and other transfers of value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w:t>
      </w:r>
    </w:p>
    <w:p>
      <w:pPr>
        <w:spacing w:after="0" w:line="83" w:lineRule="exact"/>
        <w:rPr>
          <w:rFonts w:ascii="Arial" w:cs="Arial" w:eastAsia="Arial" w:hAnsi="Arial"/>
          <w:sz w:val="17"/>
          <w:szCs w:val="17"/>
          <w:color w:val="auto"/>
        </w:rPr>
      </w:pPr>
    </w:p>
    <w:p>
      <w:pPr>
        <w:ind w:left="1080" w:right="60" w:hanging="532"/>
        <w:spacing w:after="0" w:line="271"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w:t>
      </w:r>
    </w:p>
    <w:p>
      <w:pPr>
        <w:spacing w:after="0" w:line="83" w:lineRule="exact"/>
        <w:rPr>
          <w:rFonts w:ascii="Arial" w:cs="Arial" w:eastAsia="Arial" w:hAnsi="Arial"/>
          <w:sz w:val="17"/>
          <w:szCs w:val="17"/>
          <w:color w:val="auto"/>
        </w:rPr>
      </w:pPr>
    </w:p>
    <w:p>
      <w:pPr>
        <w:ind w:left="1080" w:right="12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similar healthcare laws and regulations in foreign jurisdictions, including reporting requirements detailing interactions with and payments to healthcare providers.</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not always possible to identify and deter employee misconduct or business noncompliance, and the precautions we take to detect and prevent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 xml:space="preserve">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We have entered into consulting and scientific advisory board arrangements with physicians and other healthcare providers, including some who could influence the use of our product candidates, if approved. Compensation under some of these arrangements includes the provision of stock or stock options in addition to cash consideration. Because of the complex and far-reaching nature of these laws, it is possible that governmental authorities could conclude that our payments to physicians may not be fair market value for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services or that our business practices do not comply with current or future statutes, regulations, agency guidance or case law involving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7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ind w:left="120" w:firstLine="440"/>
        <w:spacing w:after="0" w:line="266" w:lineRule="auto"/>
        <w:rPr>
          <w:sz w:val="20"/>
          <w:szCs w:val="20"/>
          <w:color w:val="auto"/>
        </w:rPr>
      </w:pPr>
      <w:r>
        <w:rPr>
          <w:rFonts w:ascii="Arial" w:cs="Arial" w:eastAsia="Arial" w:hAnsi="Arial"/>
          <w:sz w:val="17"/>
          <w:szCs w:val="17"/>
          <w:color w:val="auto"/>
        </w:rPr>
        <w:t>We are exposed to the risk of employee fraud or other misconduct. 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employment, foreign corrupt practices, trade restrictions and sanctions, environmental, competition, and patient privacy and other privacy laws and regulations. Misconduct by employees could include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labeling, marketing and promotion, sales commission, customer incentive programs, and other business arrangements. Employee misconduct could also involve the improper use of information obtained in the course of clinical trials, which could result in</w:t>
      </w:r>
    </w:p>
    <w:p>
      <w:pPr>
        <w:spacing w:after="0" w:line="8"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monetary fines, individual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curtailment or restructuring of our operations, any of which could adversely affect our ability to operate our business and pursue our strategy.</w:t>
      </w:r>
    </w:p>
    <w:p>
      <w:pPr>
        <w:spacing w:after="0" w:line="237"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and commercialize our product candidates and affect the prices we, or they, may obtain.</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which substantially changed the way healthcare is financed by both governmental and private payors. Among the provisions of the ACA of importance to the pharmaceutical and biotechnology industries are the following:</w:t>
      </w:r>
    </w:p>
    <w:p>
      <w:pPr>
        <w:spacing w:after="0" w:line="83" w:lineRule="exact"/>
        <w:rPr>
          <w:sz w:val="20"/>
          <w:szCs w:val="20"/>
          <w:color w:val="auto"/>
        </w:rPr>
      </w:pPr>
    </w:p>
    <w:p>
      <w:pPr>
        <w:ind w:left="1080" w:right="44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manufacturers and importers of certain branded prescription drugs are required to pay an annual, nondeductible fee according to their market share of all such sales;</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of the average manufacturer price for most branded drugs, biologics, and biosimilars and to 13.0% for generic drug, and cap of the total rebate amount for innovator drugs at 100% of the Average Manufacturer Price (AMP);</w:t>
      </w:r>
    </w:p>
    <w:p>
      <w:pPr>
        <w:spacing w:after="0" w:line="89"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certain drugs and biologics, including our product candidates, that are inhaled, infused, instilled, implanted, or injected;</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program, commonly referred to as the “340B Program;”</w:t>
      </w:r>
    </w:p>
    <w:p>
      <w:pPr>
        <w:spacing w:after="0" w:line="130" w:lineRule="exact"/>
        <w:rPr>
          <w:rFonts w:ascii="Arial" w:cs="Arial" w:eastAsia="Arial" w:hAnsi="Arial"/>
          <w:sz w:val="18"/>
          <w:szCs w:val="18"/>
          <w:color w:val="auto"/>
        </w:rPr>
      </w:pPr>
    </w:p>
    <w:p>
      <w:pPr>
        <w:ind w:left="1080" w:right="20" w:hanging="532"/>
        <w:spacing w:after="0" w:line="31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54" w:lineRule="exact"/>
        <w:rPr>
          <w:rFonts w:ascii="Arial" w:cs="Arial" w:eastAsia="Arial" w:hAnsi="Arial"/>
          <w:sz w:val="16"/>
          <w:szCs w:val="16"/>
          <w:color w:val="auto"/>
        </w:rPr>
      </w:pPr>
    </w:p>
    <w:p>
      <w:pPr>
        <w:ind w:left="1080" w:right="48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Prior to the Supreme Court’s decision, President Biden issued an Executive Order to initiate a</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For example,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Further, in August 2011, the Budget Control Act of 2011, among other things, included aggregate reductions of Medicare payments to providers of 2% per fiscal year. These reductions went into effect in April 2013 and, due to subsequent legislative amendments to the statute, will remain in effect through 2031, with the exception of a temporary suspension from May 1, 2020 through March 31, 2022, unless additional action is taken by Congress. Under current legislation the actual reduction in Medicare payments will vary from 1% in 2022 to up to 3% in the fiscal year of this sequester.</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proposed and enacted legislation and executive orders issued by the President designed to, among other things, bring more transparency to product pricing, review the relationship between pricing and manufacturer patient programs, and reform government program reimbursement methodologies for drug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also possible that additional governmental action is taken in response to the COVID-19 pandemic. Additionally, individual states in the United States have passed legislation and implemented regulations designed to control pharmaceutical and biological product pricing and costs. Similar developments have occurred outside of the United States, including in the European Union where healthcare budgetary constraints have resulted in restrictions on the pricing and reimbursement of medicines by relevant health service providers. To obtain reimbursement or pricing approval in some European Union member states, we may be required to conduct studies that compare the cost-effectiveness of our product candidates to other therapies that are considered the local standard of care.</w:t>
      </w:r>
    </w:p>
    <w:p>
      <w:pPr>
        <w:spacing w:after="0" w:line="184"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commonly referred to as “Brexit,” may adversely impact our ability to obtain regulatory approvals of our product candidates in the European Union, result in restrictions or imposition of taxes and duties for importing our product candidates into the European Union, and may require us to incur additional expenses in order to develop, manufacture and commercialize our product candidates in the European Union.</w:t>
      </w:r>
    </w:p>
    <w:p>
      <w:pPr>
        <w:spacing w:after="0" w:line="18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until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December 31, 2020 (the Transition Period), during which EU rules continued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Since a significant proportion of the regulatory framework in the United Kingdom applicable to our business and our product candidates is derived from EU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EU-wide marketing authorization from the EMA and, unless a specific agreement is entered into, a separate process for authorization of drug products, including our product candidates,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restrict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w:t>
      </w:r>
    </w:p>
    <w:p>
      <w:pPr>
        <w:spacing w:after="0" w:line="180" w:lineRule="exact"/>
        <w:rPr>
          <w:sz w:val="20"/>
          <w:szCs w:val="20"/>
          <w:color w:val="auto"/>
        </w:rPr>
      </w:pPr>
    </w:p>
    <w:p>
      <w:pPr>
        <w:ind w:left="120" w:right="80"/>
        <w:spacing w:after="0" w:line="381" w:lineRule="auto"/>
        <w:rPr>
          <w:sz w:val="20"/>
          <w:szCs w:val="20"/>
          <w:color w:val="auto"/>
        </w:rPr>
      </w:pPr>
      <w:r>
        <w:rPr>
          <w:rFonts w:ascii="Arial" w:cs="Arial" w:eastAsia="Arial" w:hAnsi="Arial"/>
          <w:sz w:val="15"/>
          <w:szCs w:val="15"/>
          <w:b w:val="1"/>
          <w:bCs w:val="1"/>
          <w:i w:val="1"/>
          <w:iCs w:val="1"/>
          <w:color w:val="auto"/>
        </w:rPr>
        <w:t>Even if we are able to commercialize any product candidate, coverage and adequate reimbursement may not be available or such product candidate may become subject to unfavorable pricing regulations or third-party coverage and reimbursement policies, which would harm our business.</w:t>
      </w:r>
    </w:p>
    <w:p>
      <w:pPr>
        <w:spacing w:after="0" w:line="10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regulations that govern regulatory approvals, pricing, and reimbursement for drug products vary widely from country to country. Some countries require approval of the sale price of a drug product before it can be marketed. In many countries, the pricing review period begins after marketing approval is granted. In some foreign markets, prescription drug product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third-party payors, such as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coverage and reimbursement. Increasingly, the third-party payors who reimburse patients or healthcare providers are requiring that drug companies provide them with predetermined discounts from list prices, and are seeking to reduce the prices charged or the amounts reimbursed for drug products. If the price we are able to charge for any products we develop, or the coverage and reimbursement provided for such products, is inadequate in light of our development and other costs, our return on investment could be affected adversely.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There may be significant delays in obtaining reimbursement for newly-approved drug products, and coverage may be more limited than the purposes for which the drug product is approved by the FDA or comparable foreign regulatory authorities. Moreover, eligibility for reimbursement does not imply that any drugs product will be reimbursed in all cases or at a rate that covers our costs, including research, development, manufacture, sale, and distribution.</w:t>
      </w:r>
    </w:p>
    <w:p>
      <w:pPr>
        <w:spacing w:after="0" w:line="18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Interim reimbursement levels for new drug products, if applicable, may also be insufficient to cover our costs and may not be made permanent. Reimbursement rates may be based on payments allowed for lower cost drug products that are already reimbursed, may be incorporated into existing payments for other services and may reflect budgetary constraints or imperfections in Medicare data. Net prices for drug products may be reduced by mandatory discounts or rebates required by third-party payors and by any future relaxation of laws that presently restrict imports of drug products from countries where they may be sold at lower prices than in the United States. Obtaining coverage and adequate reimbursement for our product candidates may be particularly difficult because of the higher prices often associated with drugs administered under the supervision of a physician.</w:t>
      </w:r>
    </w:p>
    <w:p>
      <w:pPr>
        <w:spacing w:after="0" w:line="16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Further, no uniform policy for coverage and reimbursement exists in the United States, and coverage and reimbursement can differ significantly from payor to payor. Third-party payors often follow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w:t>
      </w:r>
    </w:p>
    <w:p>
      <w:pPr>
        <w:spacing w:after="0" w:line="19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The continuing efforts of the government, insurance companies, managed care organizations, and other payors of healthcare services to contain or reduce costs of healthcare and/or impose price controls may adversely affect:</w:t>
      </w:r>
    </w:p>
    <w:p>
      <w:pPr>
        <w:spacing w:after="0" w:line="54"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inability to promptly obtain coverage and adequate reimbursement from both third-party payors for the product candidates that we may develop and for which we obtain regulatory approval could have a material and adverse effect on our business, financial condition, results of operations, and prospects.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utilize in the development of product candidates, as well as information we obtain from clinical trials sponsored by us from research institutions and directly from individuals.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and our partners and vendors are subject to various federal, state, and foreign data protection laws and regulations (i.e., laws and regulations that address data privacy and security). If we fail to comply with these laws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and regulations we may be subject to litigation, regulatory investigations, enforcement notices, enforcement actions, fines, and criminal or civil penalties, as well as adverse publicity and a potential loss of business.</w:t>
      </w:r>
    </w:p>
    <w:p>
      <w:pPr>
        <w:spacing w:after="0" w:line="170"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For example, most healthcare providers, including research institutions from which we obtain patient health information, are subject to privacy and security regulations promulgated under HIPAA, as amended by the Health Information Technology for Economic and Clinical Health Act of 2009. HIPAA imposes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We could potentially face substantial criminal or civil penalties if we violate HIPAA. For example, we could be subject to significant penalties if we knowingly receive individually identifiable health information from a HIPAA-covered healthcare provider or research institution that has not satisfied HIPAA’s requirements for disclosure of individually identifiable health information, or otherwise violate applicable HIPAA requirements related to the protection of such information. Even when HIPAA does not apply, according to the Federal Trade Commission (FTC) violating consumers’ privacy rights or failing to take appropriate steps to keep consumers’ personal information secure may constitute a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For our clinical trials,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governing the privacy of personal information or requiring notification of affected individuals and state regulators in the event of a breach of personal information. For example, the California Consumer Privacy Act (CCPA) went into effect on January 1, 2020, which establishes additional data privacy rights for residents of the State of California.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Although there are limited exemptions for health-related information, including clinical trial data, the CCPA may increase our compliance costs and potential liability. Further, the California Privacy Rights Act (CPRA) recently passed, which will significantly expand the CCPA. Most CPRA provisions will take effect on January 1, 2023, though the obligations will apply to any personal information collected after January 1, 2022.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New legislation proposed or enacted in various other states will continue to shape the data privacy environment nationally. For example, on March 2, 2021, Virginia enacted the Virginia Consumer Data Protection Act (CDPA), which becomes effective on January 1, 2023, and on June 8, 2021, Colorado enacted the Colorado Privacy Act (CPA), which takes effect on July 1, 2023. The CPA and CDPA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 Complying with the GDPR, CCPA, CPRA, CDPA, CPA or other laws, regulations, amendments to or re-interpretations of existing laws and regulations and contractual or other obligations relating to privacy, data protection, data transfers, data localization or information security may require us to make changes to our processes, incur substantial operational costs, modify our data practices and policies and restrict our business operations. Any actual or perceived failure by us to</w:t>
      </w: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comply with these laws, regulations or other obligations may lead to significant fines, penalties, regulatory investigations, lawsuits, significant costs for remediation, damage to our reputation or other liabilities.</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Any clinical trial programs and research collaborations that we engage in outside the United States may implicate international data protection laws, including, in the European Economic Area (EEA), the General Data Protection Regulation (GDPR), which became effective in 2018. The GDPR imposes stringent operational requirements for processors and controllers of personal data. Among other things, the GDPR requires detailed notices for clinical trial subjects and investigators, as well as requirements regarding the security of personal data and notification of data processing obligations or security incidents to appropriate data protection authorities or data subjects. If our privacy or data security measures fail to comply with the GDPR requirements, we may be subject to litigation, regulatory investigations, enforcement notices, and/or enforcement actions requiring us to change the way we use personal data and/or fines. In addition to statutory enforcement, a personal data breach can lead to adverse publicity and a potential loss of business. Further, from January 1, 2021, companies have had to comply with both the GDPR and the United Kingdom GDPR (UK GDPR), which, together with the amended UK Data Protection Act 2018, retains the GDPR in United Kingdom national law. The UK GDPR mirrors the fines under the GDPR, imposing fines up to the greater of €20 million (£17.5 million) or 4% of global turnover. The European Commission has adopted an adequacy decision in favor of the United Kingdom, enabling data transfers from European Union (EU) member states to the United Kingdom without additional safeguards. However, the United Kingdom adequacy decision will automatically expire in June 2025 unless the European Commission re-assesses and renews/extends that decision, and remains under review by the Commission during this period. The relationship between the United Kingdom and the EU in relation to certain aspects of data protection law remains unclear, and it is unclear how United Kingdom data protection laws and regulations will develop in the medium to longer term. If we fail to comply with United Kingdom data protection laws, we may be subject to litigation, regulatory investigations, enforcement notices, and/or enforcement actions, as well as adverse publicity and a potential loss of business.</w:t>
      </w:r>
    </w:p>
    <w:p>
      <w:pPr>
        <w:spacing w:after="0" w:line="1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Following the Schrems II case judgment on July 16, 2020, in which the Court of Justice of the European Union invalidated the EU-US Privacy Shield Framework, the European Commission has published revised standard contractual clauses for data transfers from the EEA and guidance on how to assess whether transfers can be legally made using them. There is some uncertainty around whether the revised clauses can be used for all types of data transfers, particularly whether they can be relied on for data transfers to non-EEA entities subject to the GDPR, and the UK has not yet approved their use. As government authorities issue further guidance on personal data export mechanisms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These laws and regulations may apply, not only to us, but also to vendors that store or otherwise process data on our behalf, such as information technology vendors. If such a vendor misuses data we have provided to it, or fails to safeguard such data, we may be subject to litigation, regulatory investigations, enforcement notices, and/or enforcement actions, as well as adverse publicity and a potential loss of business.</w:t>
      </w:r>
    </w:p>
    <w:p>
      <w:pPr>
        <w:spacing w:after="0" w:line="18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likely to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 Moreover, even if we take all necessary action to comply with regulatory requirements, we could be subject to a hack or data breach, which could subject us to fines and penalties, as well as reputational damage.</w:t>
      </w:r>
    </w:p>
    <w:p>
      <w:pPr>
        <w:spacing w:after="0" w:line="18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If we fail to comply with applicable federal, state, or local regulatory requirements, we could be subject to a range of regulatory actions that could affect our or any collaborators’ ability to seek to commercialize our clinical candidates. Any threatened or actual government enforcement action could also generate adverse publicity and require that we devote substantial resources that could otherwise be used in other aspects of our business.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while the raw materials for our product candidates are sourced from multiple suppliers, in some cases, the drug product is sourced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w:t>
      </w:r>
    </w:p>
    <w:p>
      <w:pPr>
        <w:spacing w:after="0" w:line="181"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54" w:lineRule="exact"/>
        <w:rPr>
          <w:sz w:val="20"/>
          <w:szCs w:val="20"/>
          <w:color w:val="auto"/>
        </w:rPr>
      </w:pPr>
    </w:p>
    <w:p>
      <w:pPr>
        <w:ind w:left="1080" w:right="38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study drug or placebo not being properly identified;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a comparable foreign regulatory authority, they will not be able to secure and/or maintain marketing</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92"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12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Supply sources could be interrupted from time to time and, if interrupted, there is no guarantee that supplies could be resumed within a reasonable time frame and at an acceptable cost or at all.</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rely on our manufacturers to purchase from third-party suppliers the materials necessary to produce our product candidates for our preclinical studies and intend to continue to rely on these third parties for any clinical trials that we undertake. There are a limited number of suppliers for raw materials that we use to manufacture our drugs and there may be a need to assess alternate suppliers to prevent a possible disruption of the manufacture of the materials necessary to produce our product candidates for our preclinical studies, clinical trials, and if approved, ultimately for commercial sale. We do not have any control over the process or timing of the acquisition of these raw materials by our manufacturers. Moreover, we currently do not have any agreements for the commercial production of these raw materials.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a new supplier must be used. The time and effort to qualify a new supplier could result in additional costs, diversion of resources, or reduced manufacturing yields, any of which would negatively impact our operating results. Although we generally do not begin a clinical trial unless we believe we have a sufficient supply of a product candidate to complete the clinical trial,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67"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87"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We do not currently have the ability to independently conduct any clinical trials. We have relied upon and plan to continue to rely upon third parties, including independent clinical investigators and third-party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9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Further, these investigators and CROs are not our employees and we will not be able to control, other than by contract, the amount of resources, including time, that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may require us to disclose our proprietary information to these parties, which could increase the risk that this information will be misappropriated. Additionally, disruptions caused by the COVID-19 pandemic may increase the likelihood that our CROs encounter difficulties or delays in initiating, enrolling, conducting, or completing our planned clinical trials. In particular, as a result of the pandemic, we have experienced difficulty in accessing animal models, specifically non-human primate models, for the preclinical evaluation of our product candidates. Delays caused by the inability to access these models may cause our development timeline to be extended beyond what we anticipate.</w:t>
      </w:r>
    </w:p>
    <w:p>
      <w:pPr>
        <w:spacing w:after="0" w:line="18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Further, some of these agreements may also be terminated by such third parties on short notice, or under certain circumstances, including our insolvency.</w:t>
      </w:r>
    </w:p>
    <w:p>
      <w:pPr>
        <w:spacing w:after="0" w:line="17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There is a limited number of third-party service providers that specialize or have the expertise required to achieve our business objectives. Many of the third parties with whom we contract may also have relationships with other commercial entities, including our competitors, for whom they may also be conducting clinical trials or other drug development activities that could harm our competitive position.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prospects.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b w:val="1"/>
          <w:bCs w:val="1"/>
          <w:i w:val="1"/>
          <w:iCs w:val="1"/>
          <w:color w:val="auto"/>
        </w:rPr>
        <w:t>We may not realize the benefits of any collaborative or licensing arrangement, and if we fail to enter into new strategic relationships our business, financial condition, commercialization prospects, and results of operations may be materially adversely affected.</w:t>
      </w:r>
    </w:p>
    <w:p>
      <w:pPr>
        <w:spacing w:after="0" w:line="146"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Our product development programs and the potential commercialization of our product candidates will require substantial additional cash to fund expenses. Therefore, for some of our product candidates, we have entered into, and in the future may decide to enter into, collaborations with pharmaceutical or biopharmaceutical companies for the development and potential commercialization of those product candidates.</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face significant competition in seeking appropriate collaborators. Collaborations are complex and time-consuming to negotiate and document. We may also be restricted under existing and future collaboration agreements from entering into agreements on certain terms with other potential collaborators. We may not be able to negotiate collaborations on acceptable terms, or at all. If our strategic collaborations do not result in the successful development and commercialization of product candidates, or if one of our collaborators terminates its agreement with us, we may not receive any future research funding or milestone or royalty payments under the collaboration. Moreover, our estimates of the potential revenue we are eligible to receive under any strategic collaborations we may enter into may include potential payments related to therapeutic programs for which our collaborators may discontinue development in the future. If that were to occur, we may have to curtail the development of a particular product candidate, reduce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w:t>
      </w:r>
    </w:p>
    <w:p>
      <w:pPr>
        <w:spacing w:after="0" w:line="17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instances where we do enter into collaborations, we could be subject to the following risks, each of which may materially harm our business, commercialization prospects, and financial condition:</w:t>
      </w:r>
    </w:p>
    <w:p>
      <w:pPr>
        <w:spacing w:after="0" w:line="76" w:lineRule="exact"/>
        <w:rPr>
          <w:sz w:val="20"/>
          <w:szCs w:val="20"/>
          <w:color w:val="auto"/>
        </w:rPr>
      </w:pPr>
    </w:p>
    <w:p>
      <w:pPr>
        <w:ind w:left="1080" w:right="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is required of us to complete our development obligations or that the collaboration partner devotes to the product development or marketing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1080" w:right="280" w:hanging="532"/>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distribution, and intellectual property rights;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w:t>
      </w:r>
    </w:p>
    <w:p>
      <w:pPr>
        <w:spacing w:after="0" w:line="142" w:lineRule="exact"/>
        <w:rPr>
          <w:rFonts w:ascii="Arial" w:cs="Arial" w:eastAsia="Arial" w:hAnsi="Arial"/>
          <w:sz w:val="17"/>
          <w:szCs w:val="17"/>
          <w:color w:val="auto"/>
        </w:rPr>
      </w:pPr>
    </w:p>
    <w:p>
      <w:pPr>
        <w:ind w:left="1080" w:right="64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75"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and our collaboration partner may disagree regarding the development plan for product candidates on which we are collaborating (for example, we may disagree with a collaboration partner regarding target indications or inclusion or exclusion criteria for a clinical trial); or</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we license products or businesses, we may not be able to realize the benefit of such transactions if we are unable to successfully integrate them with our existing operations and company culture. We cannot be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that, following a strategic transaction or license, we will achieve the results, revenue, or specific net income that justifies such transaction.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120"/>
        <w:spacing w:after="0" w:line="327" w:lineRule="auto"/>
        <w:rPr>
          <w:sz w:val="20"/>
          <w:szCs w:val="20"/>
          <w:color w:val="auto"/>
        </w:rPr>
      </w:pPr>
      <w:r>
        <w:rPr>
          <w:rFonts w:ascii="Arial" w:cs="Arial" w:eastAsia="Arial" w:hAnsi="Arial"/>
          <w:sz w:val="15"/>
          <w:szCs w:val="15"/>
          <w:b w:val="1"/>
          <w:bCs w:val="1"/>
          <w:i w:val="1"/>
          <w:iCs w:val="1"/>
          <w:color w:val="auto"/>
        </w:rPr>
        <w:t>We depend on intellectual property licensed from third parties and we are currently party to in-license agreements under which we acquired rights to use, develop, manufacture and/or commercialize certain of our proprietary technologies and product candidates. If we breach our obligations under these agreements or if any of these agreements is terminated, or otherwise experience disruptions to our business relationships with our licensors, we may be required to pay damages, lose our rights to such intellectual property and technology, or both, which would harm our business.</w:t>
      </w:r>
    </w:p>
    <w:p>
      <w:pPr>
        <w:spacing w:after="0" w:line="140"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We are dependent on patents, know-how, and proprietary technology, both our own and licensed from others. We are a party to intellectual property license agreements and in the future, we may enter into additional license agreements. For example, with respect to developing our product candidates, we have licensed certain intellectual property from Amgen, TSRI and Vanderbilt. These license agreements impose, and we expect that future license and acquisition agreements will impose, various diligence, milestone payment, royalty and other obligations on us. If we fail to comply with our obligations under these agreements, we may be required to pay damages and the licensor may have the right to terminate the license. Any termination of these licenses could result in the loss of significant rights and could harm our ability to develop, manufacture and/or commercialize our product candidates. See the section titled “Business—Intellectual Property—In-Licensing and Collaboration Agreements” for additional information regarding these key agreements.</w:t>
      </w:r>
    </w:p>
    <w:p>
      <w:pPr>
        <w:spacing w:after="0" w:line="17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16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the relevant research programs or product candidates and our business, financial condition, results of operations and prospects could suffer.</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is complicated by the rapid pace of scientific discovery in our industry.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Disputes may also arise between us and our current and future licensors regarding intellectual property subject to a license agreement, including those relating to:</w:t>
      </w:r>
    </w:p>
    <w:p>
      <w:pPr>
        <w:spacing w:after="0" w:line="76"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license agreement;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we are complying with our diligence obligations with respect to the use of the licensed technology in relation to our development and commercialization of our product candidates, and what activities satisfy those diligence obligations;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rights upon termination of the license agreements;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license agreements;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and timing of payments owed under license agreements; and</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allocation of ownership of inventions and know-how resulting from the joint creation or use of intellectual property by our licensors and by us and our partners.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resolution of any contractual interpretation dispute that may arise, if unfavorable to us, could have a material adverse effect on our business, financial condition, results of operations and prospects. Such resolution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Furthermore,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our products could suffer.</w:t>
      </w:r>
    </w:p>
    <w:p>
      <w:pPr>
        <w:spacing w:after="0" w:line="1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depend, in part, on our licensors to file, prosecute, maintain, defend, and enforce certain patents and patent applications that are material to our business.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Certain patents and patent applications relating to our product candidates are owned or controlled by certain of our licensors. In some circumstances, we may not have the right to control the preparation, filing, prosecution, maintenance, and defense of patent applications or patents covering technology that we license from third parties. In such circumstances, our licensors generally have rights to file, prosecute, maintain, and defend the licensed patents in their name, generally with our right to comment on such filing, prosecution, maintenance, and defense, with some obligation for the licensor to consider or incorporate our comments. We generally have the first right to enforce our exclusively licensed patent rights against third parties, although our ability to settle such claims often requires the consent of the licensor. If our licensors or any future licensees having rights to file, prosecute, maintain, and defend our patent rights fail to conduct these activities for patents or patent applications covering any of our product candidates, including due to the impact of the COVID-19 pandemic on our licensors’ business operations, our ability to develop and commercialize those product candidates may be adversely affected and we may not be able to prevent competitors from making, using, or selling competing products. We cannot be certain that such activities by our licensors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circumstances where we have the right to pursue such enforcement or defense, we cannot ensure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This could cause us to lose rights in any applicable intellectual property that we in-license, and as a result our ability to develop and commercialize product candidates may be adversely affected and we may be unable to prevent competitors from making, using and selling competing products.</w:t>
      </w:r>
    </w:p>
    <w:p>
      <w:pPr>
        <w:spacing w:after="0" w:line="196"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b w:val="1"/>
          <w:bCs w:val="1"/>
          <w:i w:val="1"/>
          <w:iCs w:val="1"/>
          <w:color w:val="auto"/>
        </w:rPr>
        <w:t>Given the breadth of the application of our precision neuroscience platform, in order to increase our ability to exploit our technologies, we may enter into collaborations and/or strategic partnerships in the future, and we may not realize the anticipated benefits of such collaborations or partnerships. We may not be able to do so or to realize the potential benefits of such transactions, which may cause us to alter or delay our development and commercialization plans.</w:t>
      </w:r>
    </w:p>
    <w:p>
      <w:pPr>
        <w:spacing w:after="0" w:line="18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Research and development collaborations and strategic partnerships are prevalent in the biotechnology industry. The breadth of the application of our precision neuroscience platform is an attractive technology for potential collaborations and/or strategic partnerships. These transactions are subject to numerous risks, which may include the following:</w:t>
      </w:r>
    </w:p>
    <w:p>
      <w:pPr>
        <w:spacing w:after="0" w:line="89" w:lineRule="exact"/>
        <w:rPr>
          <w:sz w:val="20"/>
          <w:szCs w:val="20"/>
          <w:color w:val="auto"/>
        </w:rPr>
      </w:pPr>
    </w:p>
    <w:p>
      <w:pPr>
        <w:ind w:left="1080" w:right="5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 and may not commit sufficient efforts and resources, or may misapply those efforts and resources;</w:t>
      </w:r>
    </w:p>
    <w:p>
      <w:pPr>
        <w:spacing w:after="0" w:line="75" w:lineRule="exact"/>
        <w:rPr>
          <w:rFonts w:ascii="Arial" w:cs="Arial" w:eastAsia="Arial" w:hAnsi="Arial"/>
          <w:sz w:val="18"/>
          <w:szCs w:val="18"/>
          <w:color w:val="auto"/>
        </w:rPr>
      </w:pPr>
    </w:p>
    <w:p>
      <w:pPr>
        <w:ind w:left="1080" w:right="440" w:hanging="532"/>
        <w:spacing w:after="0" w:line="308"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collaboration product candidates or may elect not to continue or renew development or commercialization programs based on clinical trial results or changes in their strategic focus;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delay, provide insufficient resources to, or modify or stop clinical trials for collaboration product candidates;</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could develop or acquire products outside of the collaboration that compete directly or indirectly with our products or product candidates;</w:t>
      </w:r>
    </w:p>
    <w:p>
      <w:pPr>
        <w:spacing w:after="0" w:line="75" w:lineRule="exact"/>
        <w:rPr>
          <w:rFonts w:ascii="Arial" w:cs="Arial" w:eastAsia="Arial" w:hAnsi="Arial"/>
          <w:sz w:val="18"/>
          <w:szCs w:val="18"/>
          <w:color w:val="auto"/>
        </w:rPr>
      </w:pPr>
    </w:p>
    <w:p>
      <w:pPr>
        <w:ind w:left="1080" w:right="500" w:hanging="532"/>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9"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29" w:lineRule="exact"/>
        <w:rPr>
          <w:rFonts w:ascii="Arial" w:cs="Arial" w:eastAsia="Arial" w:hAnsi="Arial"/>
          <w:sz w:val="16"/>
          <w:szCs w:val="16"/>
          <w:color w:val="auto"/>
        </w:rPr>
      </w:pPr>
    </w:p>
    <w:p>
      <w:pPr>
        <w:ind w:left="1080" w:right="94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and personnel to pursue further development or commercialization of the applicable product candidates; and</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may not have the exclusive right to commercialize such intellectual property.</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development and potential commercialization of our product candidates will require substantial additional capital to fund expenses. We may form or seek further strategic alliances, create joint ventures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collaborations, or enter into additional licensing arrangements with third parties that we believe will complement or augment our development and commercialization efforts with respect to our product candidates and any future product candidates that we may develop, including in territories outside the United States or for certain indications.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in-license agreements or strategic partnerships, we may not be able to realize the benefit of such transactions if we are unable to successfully integrate them with our existing operations and company culture, or if there are materially adverse impacts on our or the counterparty’s operations resulting from COVID-19, which could delay our timelines or otherwise adversely affect our business. We also cannot be certain that, following a strategic transaction or license, we will achieve the revenue or specific net income that justifies such transaction or such other benefits that led us to enter into the arrangement.</w:t>
      </w:r>
    </w:p>
    <w:p>
      <w:pPr>
        <w:spacing w:after="0" w:line="17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addition, we face significant competition in seeking appropriate strategic partners and the negotiation process is time-consuming and complex.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third-party for development and commercialization of a product candidate, we can expect to relinquish some or all of the control over the future success of that product candidate to the third-party.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spacing w:after="0" w:line="168"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As a result of these risks, we may not be able to realize the benefit of our existing collaboration or any future collaborations or licensing agreements we may enter into.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6"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Our product candidates may also require specific components to work effectively and efficiently, and rights to those components may be held by others. We may be unable to in-license any compositions, methods of use, processes or other third party intellectual property rights from third parties that we identify. We may fail to obtain any of these licenses at a reasonable cost or on reasonable terms, which would harm our business. In that event, we may be required to expend significant time and resources to develop or license replacement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technology. Even if we are able to obtain a license, it may be non-exclusive, thereby giving our competitors access to the same technologies licensed to us. Any delays in entering into new collaborations or strategic partnership agreements related to our product candidates could delay the development and commercialization of our product candidates in certain geographies, which could harm our business prospects, financial condition and results of operations.</w:t>
      </w:r>
    </w:p>
    <w:p>
      <w:pPr>
        <w:spacing w:after="0" w:line="18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Moreover, some of our owned and in-licensed patents or patent applications or future patents are or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Furthermore, our owned and in-licensed patents may be subject to a reservation of rights by one or more third parties. Any of the foregoing could have a material adverse effect on our competitive position, business, financial condition, results of operations and prospects.</w:t>
      </w:r>
    </w:p>
    <w:p>
      <w:pPr>
        <w:spacing w:after="0" w:line="16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for our product pipeline which may cause us to operate our business in a more costly or otherwise adverse manner that was not anticipated.</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own or license from third parties certain intellectual property rights necessary to develop our product candidates. The growth of our business will likely depend in part on our ability to acquire or in-license additional proprietary rights, including to expand our product pipeline. In that event, we may be required to expend considerable time and resources to develop or license replacement technology. For example, our programs may involve additional technologies or product candidates that may require the use of additional proprietary rights held by third parties. Furthermore, other pharmaceutical companies and academic institutions may also have filed or are planning to file patent applications potentially relevant to our business. Our product candidates may also require specific formulations or other technology to work effectively and efficiently. These formulations or technology may be covered by intellectual property rights held by others. From time to time, in order to avoid infringing these third-party rights, we may be required to license technology from additional third parties to further develop or commercialize our product candidates. We may be unable to acquire or in-license any relevant third-party intellectual property rights, including any such intellectual property rights required to manufacture, use or sell our product candidates, that we identify as necessary or important to our business operations. We may fail to obtain any of these licenses at a reasonable cost or on reasonable terms, if at all, and as a result we may be unable to develop or commercialize the affected product candidates,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access to the same technologies licensed to us.</w:t>
      </w:r>
    </w:p>
    <w:p>
      <w:pPr>
        <w:spacing w:after="0" w:line="16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6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49" w:lineRule="exact"/>
        <w:rPr>
          <w:sz w:val="20"/>
          <w:szCs w:val="20"/>
          <w:color w:val="auto"/>
        </w:rPr>
      </w:pPr>
    </w:p>
    <w:p>
      <w:pPr>
        <w:jc w:val="both"/>
        <w:ind w:left="120" w:right="60"/>
        <w:spacing w:after="0" w:line="279" w:lineRule="auto"/>
        <w:rPr>
          <w:sz w:val="20"/>
          <w:szCs w:val="20"/>
          <w:color w:val="auto"/>
        </w:rPr>
      </w:pPr>
      <w:r>
        <w:rPr>
          <w:rFonts w:ascii="Arial" w:cs="Arial" w:eastAsia="Arial" w:hAnsi="Arial"/>
          <w:sz w:val="17"/>
          <w:szCs w:val="17"/>
          <w:b w:val="1"/>
          <w:bCs w:val="1"/>
          <w:i w:val="1"/>
          <w:iCs w:val="1"/>
          <w:color w:val="auto"/>
        </w:rPr>
        <w:t>We may be dependent on intellectual property licensed or sublicensed to us from, or for which development was funded or otherwise assisted by, the U.S. government and/or government agencies, such as the National Institutes of Health, for development of our technology and product candidates. Failure to meet our own obligations to our licensors or upstream licensors, including such government agencies, may result in the loss of our rights to such intellectual property, which could harm our business.</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U.S. government and/or government agencies have provided, and in the future may provide, funding, facilities, personnel or other assistance in connection with the development of the intellectual property rights owned by or licensed to us. The U.S. government and/or government agencies may have retained rights in such intellectual property, including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For example, the research resulting in certain of our in-licensed patent rights and technology was funded in part by the U.S. government. As a result, the government may have certain rights, or march-in rights, to such patent rights and technology. These rights may permit the government to disclose our confidential information to third parties and to exercise march-in rights to use or allow third parties to use our licensed technology.</w:t>
      </w:r>
    </w:p>
    <w:p>
      <w:pPr>
        <w:spacing w:after="0" w:line="18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platform and product candidates, or if the scope of the intellectual property protection is not sufficiently broad, our competitors could develop and commercialize products similar or identical to ours, and our ability to successfully commercialize our products may be adversely affected. We cannot ensure that patent rights relating to inventions described and claimed in our pending patent applications will issue or that patents based on our patent applications will not be challenged and rendered invalid and/or unenforceable.</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or our licensors have filed, and we anticipate that in the future we will file additional patent applications both in the United States and in other countries, as appropriate. However, we cannot predict:</w:t>
      </w:r>
    </w:p>
    <w:p>
      <w:pPr>
        <w:spacing w:after="0" w:line="76"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and when any patents will issue;</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degree and range of protection any issued patents will afford us against competitors, including whether third parties will find ways to invalidate or otherwise circumvent our patents;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whether others will apply for or obtain patents claiming aspects similar to those covered by our patents and patent applications;</w:t>
      </w:r>
    </w:p>
    <w:p>
      <w:pPr>
        <w:spacing w:after="0" w:line="142" w:lineRule="exact"/>
        <w:rPr>
          <w:rFonts w:ascii="Arial" w:cs="Arial" w:eastAsia="Arial" w:hAnsi="Arial"/>
          <w:sz w:val="17"/>
          <w:szCs w:val="17"/>
          <w:color w:val="auto"/>
        </w:rPr>
      </w:pPr>
    </w:p>
    <w:p>
      <w:pPr>
        <w:ind w:left="1080" w:right="16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to defend our patent rights, which may be costly whether we win or lose; or</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patent applications that we own or in-license will result in issued patents with claims that cover our product candidates or uses thereof in the United States or in other foreign countries.</w:t>
      </w:r>
    </w:p>
    <w:p>
      <w:pPr>
        <w:spacing w:after="0" w:line="170"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platform and product candidates. We seek to protect our proprietary position by filing patent applications in the United States and abroad related to our novel discoveries and technologies that are important to our business.</w:t>
      </w:r>
    </w:p>
    <w:p>
      <w:pPr>
        <w:spacing w:after="0" w:line="184" w:lineRule="exact"/>
        <w:rPr>
          <w:sz w:val="20"/>
          <w:szCs w:val="20"/>
          <w:color w:val="auto"/>
        </w:rPr>
      </w:pPr>
    </w:p>
    <w:p>
      <w:pPr>
        <w:jc w:val="both"/>
        <w:ind w:left="120" w:right="160" w:firstLine="440"/>
        <w:spacing w:after="0" w:line="277" w:lineRule="auto"/>
        <w:rPr>
          <w:sz w:val="20"/>
          <w:szCs w:val="20"/>
          <w:color w:val="auto"/>
        </w:rPr>
      </w:pPr>
      <w:r>
        <w:rPr>
          <w:rFonts w:ascii="Arial" w:cs="Arial" w:eastAsia="Arial" w:hAnsi="Arial"/>
          <w:sz w:val="18"/>
          <w:szCs w:val="18"/>
          <w:color w:val="auto"/>
        </w:rPr>
        <w:t>Obtaining and enforcing patents is expensive and time-consuming, and we may not be able to file and prosecute all necessary or desirable patent applications or maintain and/or enforce patents that may issue based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on our patent applications, at a reasonable cost or in a timely manner, including as a result of the COVID-19 pandemic impacting our or our licensors’ operations.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ability to enforce patent rights also depends on our ability to detect infringement. It may be difficult to detect infringers who do not advertise the components or methods that are used in connection with their products and services. Such proceedings could also provoke third parties to assert claims against us, including that some or all of the claims in one or more of our patents are invalid or otherwise unenforceable.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 If we initiate lawsuits to protect or enforce our patents, or litigate against third-party claims, such proceedings would be expensive and would divert the attention of our management and technical personnel.</w:t>
      </w:r>
    </w:p>
    <w:p>
      <w:pPr>
        <w:spacing w:after="0" w:line="195"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Composition of matter patents for biological and pharmaceutical products often provide a strong form of intellectual property protection for those types of products, as such patents provide protection without regard to any method of use. We cannot be certain, however, that the claims in our pending patent applications covering the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can be difficult to prevent or prosecute.</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strength of patents in the biotechnology, pharmaceutical and data science fields can be uncertain, and evaluating the scope of such patents involves complex legal, factual and scientific analyses and has in recent years been the subject of much litigation, resulting in court decisions, including Supreme Court decisions, which have increased uncertainties as to the ability to enforce patent rights in the future.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In the event of litigation or administrative proceedings, we cannot be certain that the claims in any of our issued patents will be considered valid by courts in the United States or foreign countries. Furthermore, even if they are unchallenged, our patents and patent applications may not adequately protect our intellectual property or prevent others from designing their products to avoid being covered by our claims. If the breadth or strength of protection provided by the patent applications we hold with respect to our product candidates is threatened, this could dissuade companies from collaborating with us to develop, and could threaten our ability to commercialize, our product candidates. In addition, the laws of foreign countries may not protect our rights to the same extent as the laws of the United States, or vice versa. Further, if we encounter delays in our clinical trials, the period of time during which we could market our product candidates under patent protection would be reduced.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third-party’s pending application will issue with claims of relevant scope. Our failure to identify and correctly interpret relevant patents may negatively impact our ability to develop and market our products.</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cannot be certain that we were the first to file any patent application related to our product candidates. As a result, the issuance, scope, validity, enforceability and commercial value of our patent rights are highly uncertain. 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For U.S. applications containing a claim not entitled to priority before March 16, 2013, there is a greater level of uncertainty in the patent law in view of the passage of the America Invents Act, which brought into effect significant changes to the U.S. patent laws, including new procedures for challenging pending patent applications and issued patents.</w:t>
      </w:r>
    </w:p>
    <w:p>
      <w:pPr>
        <w:spacing w:after="0" w:line="18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reexaminations,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failure to obtain or maintain patent protection with respect to our product candidates could have a material adverse effect on our business, financial condition, results of operations and prospects.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80" w:right="10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product candidates that are similar to ours but that are not covered by the claims of the patents that we own or have exclusively licensed;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or our licensors or future collaborators might not have been the first to file patent applications covering certain of our inventions;</w:t>
      </w:r>
    </w:p>
    <w:p>
      <w:pPr>
        <w:spacing w:after="0" w:line="142" w:lineRule="exact"/>
        <w:rPr>
          <w:rFonts w:ascii="Arial" w:cs="Arial" w:eastAsia="Arial" w:hAnsi="Arial"/>
          <w:sz w:val="17"/>
          <w:szCs w:val="17"/>
          <w:color w:val="auto"/>
        </w:rPr>
      </w:pPr>
    </w:p>
    <w:p>
      <w:pPr>
        <w:ind w:left="1080" w:right="74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75" w:lineRule="exact"/>
        <w:rPr>
          <w:rFonts w:ascii="Arial" w:cs="Arial" w:eastAsia="Arial" w:hAnsi="Arial"/>
          <w:sz w:val="18"/>
          <w:szCs w:val="18"/>
          <w:color w:val="auto"/>
        </w:rPr>
      </w:pPr>
    </w:p>
    <w:p>
      <w:pPr>
        <w:ind w:left="1080" w:right="500" w:hanging="532"/>
        <w:spacing w:after="0" w:line="308"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jc w:val="both"/>
        <w:ind w:left="1080" w:right="60" w:hanging="532"/>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cannot predict the scope of protection of any patent issuing based on our patent applications, including whether the patent applications that we own or in-license will result in issued patents with claims that cover our product candidates or uses thereof in the United States or in other foreign countries;</w:t>
      </w:r>
    </w:p>
    <w:p>
      <w:pPr>
        <w:spacing w:after="0" w:line="89"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claims of any patent issuing based on our patent applications may not provide protection against competitors or any competitive advantages, or may be challenged by third parties;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enforced, a court may not hold that our patents are valid, enforceable and infringed;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need to initiate litigation or administrative proceedings to enforce and/or defend our patent rights which will be costly whether we win or lose;</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including if others obtain patents claiming subject matter similar to or improving that covered by our patents and patent applications.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ind w:left="120" w:right="660"/>
        <w:spacing w:after="0" w:line="381" w:lineRule="auto"/>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 If we are unable to protect the confidentiality of our trade secrets, our business and competitive position would be harmed.</w:t>
      </w:r>
    </w:p>
    <w:p>
      <w:pPr>
        <w:spacing w:after="0" w:line="10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candidates, technology and product discovery and development processes that involve proprietary know-how, information, or technology that is not covered by patents.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9" w:right="4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Trade secrets and confidential information, however, may be difficult to protect. We seek to protect our trade secrets, know-how and confidential information, including our proprietary processes, in part, by entering into confidentiality agreements with our employees, consultants, outside scientific advisors, contractors, and collaborators. We require our employees to enter into written employment agreements containing provisions of confidentiality and obligations to assign to us any inventions generated in the course of their employment.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Although we use reasonable efforts to protect our trade secrets, our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p>
    <w:p>
      <w:pPr>
        <w:spacing w:after="0" w:line="17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against us or our collaborators may prevent or delay our product discovery and development efforts.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 xml:space="preserve">Our commercial success depends in part on our avoiding infringement of the patents and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reexamination proceedings before the USPTO or oppositions and other comparable proceedings in foreign jurisdictions. Furthermore, patent reform and changes to patent laws add uncertainty to the possibility of challenge to our patents in the future. We cannot assure you that our product candidates and other proprietary technologies we may develop will not infringe existing or future patents owned by third parties.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in the fields in which we are developing our product candidates. We cannot provide any assurances that third-party patents do not exist which might be enforced against our current product candidates or future products, resulting in either an injunction prohibiting our sales, or, with respect to our sales, an obligation on our part to pay royalties and/or other forms of compensation to third parties. As the biotechnology and pharmaceutical industries expand and more patents are issued, the risk increases that our product candidates may give rise to claims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infringement of the patent rights of others. Third parties may assert that we infringe their patents or other intellectual property, or that we are otherwise employing their proprietary technology without authorization, and may sue us. There may be third-party patents of which we are currently unaware with claims to compositions, formulations, methods of manufacture, or methods of use or treatment that cover our product candidates. It is also possible that patents owned by third parties of which we are aware, but which we do not believe are relevant to our product candidates and other proprietary technologies we may develop, could be found to be infringed by our product candidate. Because patent applications can take many years to issue, there may be currently pending patent applications that may later result in issued patents that our product candidates may infringe. In addition, third parties, our competitors in both the United States and abroad, many of which have substantially greater resources and have made substantial investments in patent portfolios and competing technologies, may obtain patents in the future that may prevent, limit or otherwise interfere with our ability to make, use and sell our product candidates, and may claim that use of our technologies or the manufacture, use, or sale of our product candidates infringes upon these patents. If any such third-party patents were held by a court of competent jurisdiction to cover our technologies or product candidates, or if we are found to otherwise infringe a third-party’s intellectual property rights, the holders of any such patents may be able to block, including by court order, our ability to develop, manufacture or commercialize the applicable product candidate unless we obtain a license under the applicable patents or other intellectual property, or until such patents expire or are finally determined to be held invalid or unenforceable. Such a license may not be available on commercially reasonable terms or at all. Even if we were able to obtain a license, it could be non-exclusive, thereby giving our competitors access to the same technologies licensed to us. If we are unable to obtain a necessary license to a third-party patent on commercially reasonable terms, our ability to commercialize our product candidates may be impaired or delayed, which could in turn significantly harm our business.</w:t>
      </w:r>
    </w:p>
    <w:p>
      <w:pPr>
        <w:spacing w:after="0" w:line="1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pharmaceutical and biotechnology industries have produced a considerable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and there is no assurance that a court of competent jurisdiction would invalidate the claims of any such U.S. patent.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spacing w:after="0" w:line="16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Third parties asserting their patent or other intellectual property rights against us may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on a cost-effective basis or require substantial time and monetary expenditure. In that event, we would be unable to further develop and commercialize our product candidates, which could harm our business significantly. Claims that we have misappropriated the confidential information or trade secrets of third parties could have a similar negative impact on our business.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Patents are of national or regional effect, and filing, prosecuting, maintaining and defending patents on product candidates in all countries throughout the world would be prohibitively expensive, and our intellectual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property rights in some countries outside the United States can have a different scope and strength than do those in the United States. In addition, the laws of some foreign countries, particularly certain developing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products and our patents or other intellectual property rights may not be effective or adequate to prevent them from competing.</w:t>
      </w:r>
    </w:p>
    <w:p>
      <w:pPr>
        <w:spacing w:after="0" w:line="16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9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Because of the expense and uncertainty of litigation, we may conclude that even if a third-party is infringing our issued patents, any patents that may be issued as a result of our pending or future patent applications or other intellectual property rights, the risk-adjusted cost of bringing and enforcing such a claim or action, which typically last for years before they are concluded,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monetary cost of such litigation and the diversion of the attention of our management and scientific personnel could outweigh any benefit we receive as a result of the proceedings and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technology or other product candidates, or enter into development partnerships that would help us bring our product candidates to market.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59" w:right="5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other intellectual property or the intellectual property of our licensors, which could be expensive, time-consuming, and unsuccessful.</w:t>
      </w:r>
    </w:p>
    <w:p>
      <w:pPr>
        <w:spacing w:after="0" w:line="170"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Competitors may infringe our patents or other intellectual property or the intellectual property of our licensors. To cease such infringement or unauthorized use, we may be required to file patent infringement claims, which can be expensive and time-consuming and divert the time and attention of our management and scientific personnel. Our pending patent applications cannot be enforced against third parties practicing the technology claimed in such applications unless and until a patent issues from such applications. In addition, in an infringement proceeding or a declaratory judgment action,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1"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Interference or derivation proceedings provoked by third parties or brought by the USPTO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w:t>
      </w:r>
    </w:p>
    <w:p>
      <w:pPr>
        <w:spacing w:after="0" w:line="19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before the USPTO or comparable foreign authority.</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If we or one of our licensing partners initiate legal proceedings against a third party to enforce a patent covering one of our product candidates, the defendant could counterclaim we infringe their patents or that the patent covering our product candidate is invalid or unenforceable, or both. In patent litigation in the United States, defendant counterclaims alleging invalidity or unenforceability are commonplace, and there are numerous grounds upon which a third party can assert invalidity or unenforceability of a patent, including lack of novelty, obviousness, non-enablement or insufficient written description or that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invention at issue on the grounds that our patent claims do not cover the invention, or decide that the other party’s use of our patented technology falls under the safe harbor to patent infringement under 35 U.S.C. § 271I(1). With respect to the validity of our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and such an outcome may limit our ability to assert our patents against those parties or other competitors and may curtail or preclude our ability to exclude third parties from making and selling similar or competitive products. Such a loss of patent protection could have a material adverse impact on our business.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 Recent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(1) file any patent application related to our product candidates and other proprietary technologies we may develop or (2)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7"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a series of cases, the U.S. Supreme Court held that certain claims do not present patentable subject matter (</w:t>
      </w:r>
      <w:r>
        <w:rPr>
          <w:rFonts w:ascii="Arial" w:cs="Arial" w:eastAsia="Arial" w:hAnsi="Arial"/>
          <w:sz w:val="17"/>
          <w:szCs w:val="17"/>
          <w:i w:val="1"/>
          <w:iCs w:val="1"/>
          <w:color w:val="auto"/>
        </w:rPr>
        <w:t>Mayo Collaborative Services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Prometheus Laboratories, Inc. </w:t>
      </w:r>
      <w:r>
        <w:rPr>
          <w:rFonts w:ascii="Arial" w:cs="Arial" w:eastAsia="Arial" w:hAnsi="Arial"/>
          <w:sz w:val="17"/>
          <w:szCs w:val="17"/>
          <w:color w:val="auto"/>
        </w:rPr>
        <w:t>(2012);</w:t>
      </w:r>
      <w:r>
        <w:rPr>
          <w:rFonts w:ascii="Arial" w:cs="Arial" w:eastAsia="Arial" w:hAnsi="Arial"/>
          <w:sz w:val="17"/>
          <w:szCs w:val="17"/>
          <w:i w:val="1"/>
          <w:iCs w:val="1"/>
          <w:color w:val="auto"/>
        </w:rPr>
        <w:t xml:space="preserve"> Assoc. for Molecular Pathology v. Myriad Genetics, Inc. </w:t>
      </w:r>
      <w:r>
        <w:rPr>
          <w:rFonts w:ascii="Arial" w:cs="Arial" w:eastAsia="Arial" w:hAnsi="Arial"/>
          <w:sz w:val="17"/>
          <w:szCs w:val="17"/>
          <w:color w:val="auto"/>
        </w:rPr>
        <w:t>(2013);</w:t>
      </w:r>
      <w:r>
        <w:rPr>
          <w:rFonts w:ascii="Arial" w:cs="Arial" w:eastAsia="Arial" w:hAnsi="Arial"/>
          <w:sz w:val="17"/>
          <w:szCs w:val="17"/>
          <w:i w:val="1"/>
          <w:iCs w:val="1"/>
          <w:color w:val="auto"/>
        </w:rPr>
        <w:t xml:space="preserve"> Alice Corp. v. CLS Bank International </w:t>
      </w:r>
      <w:r>
        <w:rPr>
          <w:rFonts w:ascii="Arial" w:cs="Arial" w:eastAsia="Arial" w:hAnsi="Arial"/>
          <w:sz w:val="17"/>
          <w:szCs w:val="17"/>
          <w:color w:val="auto"/>
        </w:rPr>
        <w:t>(2014)).</w:t>
      </w:r>
      <w:r>
        <w:rPr>
          <w:rFonts w:ascii="Arial" w:cs="Arial" w:eastAsia="Arial" w:hAnsi="Arial"/>
          <w:sz w:val="17"/>
          <w:szCs w:val="17"/>
          <w:i w:val="1"/>
          <w:iCs w:val="1"/>
          <w:color w:val="auto"/>
        </w:rPr>
        <w:t xml:space="preserve"> </w:t>
      </w:r>
      <w:r>
        <w:rPr>
          <w:rFonts w:ascii="Arial" w:cs="Arial" w:eastAsia="Arial" w:hAnsi="Arial"/>
          <w:sz w:val="17"/>
          <w:szCs w:val="17"/>
          <w:color w:val="auto"/>
        </w:rPr>
        <w:t>Although we do not believe that any of the patents owned or licensed by us will be found invalid based on this decision, we cannot predict how future decisions by Congress, the federal courts or the USPTO may impact the value of our patents.</w:t>
      </w:r>
    </w:p>
    <w:p>
      <w:pPr>
        <w:spacing w:after="0" w:line="178"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including due to the effect of the COVID-19 pandemic on us or our patent maintenance vendors,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2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Patents have a limited lifespan. In the United States, if all maintenance fees are paid timely, the natural expiration of a patent is generally 20 years after its first effective filing date. Although various extensions may be available, the life of a patent, and the protection it affords, is limited.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medications.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 As a result, our patent portfolio may not provide us with sufficient rights to exclude others from commercializing product candidates similar or identical to ours. In addition, although upon issuance in the United States a patent’s life can be increased based on certain delays caused by the USPTO, this increase can be reduced or eliminated based on certain delays caused by the patent applicant during patent prosecution.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case, and our revenue could be reduced, possibly materially. If we do not have sufficient patent life to protect our products, our business and results of operations will be adversely affected.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may have inventorship disputes arise from conflicting obligations of consultants or others who are involved in developing our product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or our licensors may have relied on third-party consultants or collaborators or on funds from third parties, such as the U.S. government, such that we or our licensors are not the sole and exclusive owners of the patents we in-licensed. If other third parties have ownership rights or other rights to our patents, including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68"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CDMOs or other contractors or consultants, may fail or suffer security breaches.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CDMOs, and other contractors and consultants are vulnerable to damage from a variety of threats, including computer viruses and unauthorized access. Although to our knowledge we have not experienced any such material system failure, accident or security breach to date, if such an event were to occur and negatively affect our operations, it could result in a material disruption of our development programs and our business operations. Further, we cannot assure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incident were to result in an actual or perceived loss of, or damage to, our data or applications, or inappropriate disclosure of confidential or proprietary information or patient information, we could incur liability and the further development and commercialization of our product candidates could be delayed.</w:t>
      </w:r>
    </w:p>
    <w:p>
      <w:pPr>
        <w:spacing w:after="0" w:line="16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92"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We have and will enter into collaboration, license, contract research and/or manufacturing relationships with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and enforce our intellectual property rights around the world may be inadequate to obtain a significant commercial advantage from the intellectual property that we develop or license, and we may be at heightened risk of losing our proprietary intellectual property rights around the world, including outside of such countries, to the extent such theft or intrusion destroy the proprietary nature of our intellectual property.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stock price may be volatile or may decline regardless of our operating performance, resulting in substantial losses for investors.</w:t>
      </w:r>
    </w:p>
    <w:p>
      <w:pPr>
        <w:spacing w:after="0" w:line="23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market price of our common stock may be highly volatile and may fluctuate substantially as a result of a variety of factors, some of which are related in complex ways. The market price of our common stock may fluctuate significantly in response to numerous factors, many of which are beyond our control, including the factors listed below and other factors described in this “Risk Factors” section:</w:t>
      </w:r>
    </w:p>
    <w:p>
      <w:pPr>
        <w:spacing w:after="0" w:line="89" w:lineRule="exact"/>
        <w:rPr>
          <w:sz w:val="20"/>
          <w:szCs w:val="20"/>
          <w:color w:val="auto"/>
        </w:rPr>
      </w:pPr>
    </w:p>
    <w:p>
      <w:pPr>
        <w:ind w:left="1080" w:right="30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commencement, enrollment, or results of current and future preclinical studies and clinical trials we may conduct, or changes in the development status of our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30"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issuance by the FDA of a “refusal to file” letter or a request for additional information;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laws or regulations, including, but not limited to, preclinical study or clinical trial requirements for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negative clinical outcomes or other adverse events related to product candidates being developed by others in the CNS field;</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CNS programs in particular, or positive or negative recommendations or withdrawal of research coverage by securities analysts;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manufacturing, supply or distribution shortages;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variations in our results of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made by us or our competitors of new product and service offerings, acquisitions, strategic relationships, joint ventures, or capital commitments;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press reports, whether or not true, about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or perceived potential sales of our common stock by us or our stockholders in the future;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overall fluctuations in the equity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or developments in the global regulatory environment;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the stock market in general and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after this offering does not exceed the initial public offering price, you may not realize any return on, and may lose some or all of, your investment.</w:t>
      </w:r>
    </w:p>
    <w:p>
      <w:pPr>
        <w:spacing w:after="0" w:line="18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76"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timing and variations in the level of expense related to the current or future development of our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stock-based compensation estimates;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timing and status of enrollment for our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impact from the COVID-19 pandemic on us or third parties with which we engage;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potential future partners;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competition from products that compete with our product candidates, and changes in the competitive landscape of our industry, including consolidation among our competitors or partners;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60"/>
          </w:cols>
          <w:pgMar w:left="320" w:top="459" w:right="5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intellectual property infringement, misappropriation or violation lawsuit or opposition, interference or cancellation proceeding in which we may become involved;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any product candidate we may develop receive regulatory approval, the timing and terms of such approval and market acceptance and demand for such product candidates;</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any of our product candidates;</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inside and outside of the United States, either independently or working with third parties;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developments affecting current or future product candidates or those of our competitors;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general global market, political and economic conditions.</w:t>
      </w:r>
    </w:p>
    <w:p>
      <w:pPr>
        <w:spacing w:after="0" w:line="22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this offering, as of September 30, 2021, our executive officers, directors, holders of 5% or more of our capital stock and their respective</w:t>
      </w:r>
    </w:p>
    <w:p>
      <w:pPr>
        <w:spacing w:after="0" w:line="46" w:lineRule="exact"/>
        <w:rPr>
          <w:sz w:val="20"/>
          <w:szCs w:val="20"/>
          <w:color w:val="auto"/>
        </w:rPr>
      </w:pPr>
    </w:p>
    <w:p>
      <w:pPr>
        <w:ind w:left="120"/>
        <w:spacing w:after="0"/>
        <w:tabs>
          <w:tab w:leader="none" w:pos="2700" w:val="left"/>
        </w:tabs>
        <w:rPr>
          <w:sz w:val="20"/>
          <w:szCs w:val="20"/>
          <w:color w:val="auto"/>
        </w:rPr>
      </w:pPr>
      <w:r>
        <w:rPr>
          <w:rFonts w:ascii="Arial" w:cs="Arial" w:eastAsia="Arial" w:hAnsi="Arial"/>
          <w:sz w:val="18"/>
          <w:szCs w:val="18"/>
          <w:color w:val="auto"/>
        </w:rPr>
        <w:t>affiliates owned approximately</w:t>
      </w:r>
      <w:r>
        <w:rPr>
          <w:sz w:val="20"/>
          <w:szCs w:val="20"/>
          <w:color w:val="auto"/>
        </w:rPr>
        <w:tab/>
      </w:r>
      <w:r>
        <w:rPr>
          <w:rFonts w:ascii="Arial" w:cs="Arial" w:eastAsia="Arial" w:hAnsi="Arial"/>
          <w:sz w:val="16"/>
          <w:szCs w:val="16"/>
          <w:color w:val="auto"/>
        </w:rPr>
        <w:t>% of our outstanding voting stock and, upon the closing of this offering, that same group will own</w:t>
      </w:r>
    </w:p>
    <w:p>
      <w:pPr>
        <w:spacing w:after="0" w:line="9"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6"/>
          <w:szCs w:val="16"/>
          <w:color w:val="auto"/>
        </w:rPr>
        <w:t>approximately</w:t>
      </w:r>
      <w:r>
        <w:rPr>
          <w:sz w:val="20"/>
          <w:szCs w:val="20"/>
          <w:color w:val="auto"/>
        </w:rPr>
        <w:tab/>
      </w:r>
      <w:r>
        <w:rPr>
          <w:rFonts w:ascii="Arial" w:cs="Arial" w:eastAsia="Arial" w:hAnsi="Arial"/>
          <w:sz w:val="16"/>
          <w:szCs w:val="16"/>
          <w:color w:val="auto"/>
        </w:rPr>
        <w:t>% of our outstanding voting stock (assuming no exercise of the underwriters’ option to purchase additional shares). Therefore, even</w:t>
      </w:r>
    </w:p>
    <w:p>
      <w:pPr>
        <w:spacing w:after="0" w:line="32" w:lineRule="exact"/>
        <w:rPr>
          <w:sz w:val="20"/>
          <w:szCs w:val="20"/>
          <w:color w:val="auto"/>
        </w:rPr>
      </w:pPr>
    </w:p>
    <w:p>
      <w:pPr>
        <w:ind w:left="120" w:right="60"/>
        <w:spacing w:after="0" w:line="292" w:lineRule="auto"/>
        <w:rPr>
          <w:sz w:val="20"/>
          <w:szCs w:val="20"/>
          <w:color w:val="auto"/>
        </w:rPr>
      </w:pPr>
      <w:r>
        <w:rPr>
          <w:rFonts w:ascii="Arial" w:cs="Arial" w:eastAsia="Arial" w:hAnsi="Arial"/>
          <w:sz w:val="16"/>
          <w:szCs w:val="16"/>
          <w:color w:val="auto"/>
        </w:rPr>
        <w:t>after this offering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In addition, certain of our principal stockholders, including ARCH Venture Partners, have designated certain of our directors for election to the Board. This may prevent or discourage unsolicited acquisition proposals or offers for our common stock that you may feel are in your best interest as one of our stockholders.</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9" w:right="5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common stock price to fall.</w:t>
      </w:r>
    </w:p>
    <w:p>
      <w:pPr>
        <w:spacing w:after="0" w:line="22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Upon the completion of this offering, shares of common stock will be outstanding ( shares if the underwriters exercise their option to purchase additional shares from us in full), based on the number of shares outstanding as of September 30,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All shares of common stock expected to be sold in this offering will be freely tradable without restriction or further registration under the</w:t>
      </w:r>
    </w:p>
    <w:p>
      <w:pPr>
        <w:spacing w:after="0" w:line="35"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Securities Act unless held by our “affiliates” as defined in Rule 144 under the Securities Act. The resale of the remaining shares, or % of our outstanding shares of common stock following this offering, is currently prohibited or otherwise restricted, subject to certain limited exceptions,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on the 181st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“Shares Eligible for Future Sale.”</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Upon the completion of this offering, the holders of approximately shares, or % of our outstanding shares following this offering, of our common stock will have rights, subject to some 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the lock-up agreements described under “Underwriting.”</w:t>
      </w:r>
    </w:p>
    <w:p>
      <w:pPr>
        <w:spacing w:after="0" w:line="19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management team has broad discretion to use the net proceeds from this offering and its investment of these proceeds may not yield a favorable return. They may invest the net proceeds from this offering in ways with which investors disagree.</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management will have broad discretion over the use of net proceeds from this offering, and could spend the net proceeds in ways our stockholders may not agree with or that do not yield a favorable return, if at all. If we do not invest or apply the net proceeds from this offering in ways that improve our operating results, we may fail to achieve expected financial results, which could cause our stock price to decline. For additional details see the section titled “Use of Proceeds.”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you purchase shares of our common stock in our initial public offering, you will experience substantial and immediate dilution.</w:t>
      </w:r>
    </w:p>
    <w:p>
      <w:pPr>
        <w:spacing w:after="0" w:line="23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assumed initial public offering price of $ per share, which is the midpoint of the price range set forth on the cover page of this prospectus, is substantially higher than the net tangible book value per share of our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9" w:right="49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outstanding common stock immediately following the completion of this offering. If you purchase shares of common stock in this offering, you will</w:t>
      </w:r>
    </w:p>
    <w:p>
      <w:pPr>
        <w:spacing w:after="0" w:line="35"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experience substantial and immediate dilution in the pro forma net tangible book value per share of $ per share as of September 30, 2021. That is because the price that you pay will be substantially greater than the pro forma net tangible book value per share of the common stock that you acquire. This dilution is due in large part to the fact that our earlier investors paid substantially less than the assumed initial public offering price when they purchased their shares of our capital stock. You will experience additional dilution when those holding stock options exercise their right to purchase common stock under our equity incentive plans or when we otherwise issue additional shares of common stock. For additional details see the section titled “Dilution.”</w:t>
      </w:r>
    </w:p>
    <w:p>
      <w:pPr>
        <w:spacing w:after="0" w:line="194"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187" w:lineRule="exact"/>
        <w:rPr>
          <w:sz w:val="20"/>
          <w:szCs w:val="20"/>
          <w:color w:val="auto"/>
        </w:rPr>
      </w:pPr>
    </w:p>
    <w:p>
      <w:pPr>
        <w:ind w:left="120" w:right="20"/>
        <w:spacing w:after="0" w:line="381"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our amended and restated bylaws and Delaware law might discourage, delay or prevent a change in control of our company or changes in our management and, therefore, depress the market price of our common stock.</w:t>
      </w:r>
    </w:p>
    <w:p>
      <w:pPr>
        <w:spacing w:after="0" w:line="100"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each to be in effect immediately prior to the completion of this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92" w:lineRule="exact"/>
        <w:rPr>
          <w:sz w:val="20"/>
          <w:szCs w:val="20"/>
          <w:color w:val="auto"/>
        </w:rPr>
      </w:pPr>
    </w:p>
    <w:p>
      <w:pPr>
        <w:ind w:left="1080" w:right="16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 staggered Board divided into three classes serving staggered three-year terms, such that not all members of the Board will be elected at one time;</w:t>
      </w:r>
    </w:p>
    <w:p>
      <w:pPr>
        <w:spacing w:after="0" w:line="75"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our existing common stock;</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eliminate the ability of our stockholders to fill vacancies on our Board;</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our annual stockholder meetings;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permit our Board to establish the number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that our Board is expressly authorized to make, alter or repeal our amended bylaws;</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that stockholders can remove directors only for cause and only upon the approval of not less than 66-2/3% of all outstanding shares of our voting stock;</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the approval of not less than 66-2/3% of all outstanding shares of our voting stock to amend our bylaws and specific provisions of our certificate of incorporation;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jurisdictions in which certain stockholder litigation may be brought.</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a Delaware corporation, we will be subject to the anti-takeover provisions of Section 203 of the Delaware General Corporation Law, which prohibits a Delaware corporation from engaging in a business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40"/>
          </w:cols>
          <w:pgMar w:left="320" w:top="459" w:right="5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combination specified in the statute with an interested stockholder (as defined in the statute) for a period of three years after the date of the transaction in which the person first becomes an interested stockholder, unless the business combination is approved in advance by a majority of the independent directors or by the holders of at least two-thirds of the outstanding disinterested shares. The application of Section 203 of the Delaware General Corporation Law could also have the effect of delaying or preventing a change of control of our company.</w:t>
      </w:r>
    </w:p>
    <w:p>
      <w:pPr>
        <w:spacing w:after="0" w:line="17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certificate of incorporation to be in effect upon the completion of this offering will provide that, unless we consent in writing to the selection of an alternative forum, the sole and exclusive forum, to the fullest extent permitted by law, for (1) any derivative action or proceeding brought on our behalf, (2) any action asserting a breach of a fiduciary duty owed by any director, officer or other employee to us or our stockholders, (3) any action asserting a claim against us or any director, officer, or other employee arising pursuant to the Delaware General Corporation Law, (4) any action to interpret, apply, enforce, or determine the validity of our second amended and restated certificate of incorporation or amended and restated bylaws or (5)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amended and restated certificate of incorporation will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w:t>
      </w:r>
    </w:p>
    <w:p>
      <w:pPr>
        <w:spacing w:after="0" w:line="18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may be limited.</w:t>
      </w:r>
    </w:p>
    <w:p>
      <w:pPr>
        <w:spacing w:after="0" w:line="225"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(NOLs) and other pre-change tax attributes (such as research and development tax credits) to offset its post-change income or taxes may be limited. We may have experienced ownership changes in the past and may experience ownership changes as a result of our acquisitions of assets and as a result of this offering and/or subsequent shifts in our stock ownership (some of which are outside our control).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Participation in this offering by our existing stockholders and/or their affiliated entities may reduce the public float for our common stock.</w:t>
      </w:r>
    </w:p>
    <w:p>
      <w:pPr>
        <w:spacing w:after="0" w:line="248" w:lineRule="exact"/>
        <w:rPr>
          <w:sz w:val="20"/>
          <w:szCs w:val="20"/>
          <w:color w:val="auto"/>
        </w:rPr>
      </w:pPr>
    </w:p>
    <w:p>
      <w:pPr>
        <w:ind w:left="120" w:right="500" w:firstLine="440"/>
        <w:spacing w:after="0" w:line="257"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84"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 trading market for our common stock will be influenced in part by the research and reports that securities or industry analysts may publish about us, our business, our market, or our competitors. If one or more of these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trading market may not develop or be sustained.</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There has been no public market for our common stock prior to this offering. The initial public offering price for our common stock was determined through negotiations among the underwriters and us and may vary from the market price of our common stock following this offering. An active or liquid market in our common stock may not develop upon closing of this offering or, if it does develop, it may not be sustainable.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spacing w:after="0" w:line="192"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4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89" w:lineRule="exact"/>
        <w:rPr>
          <w:sz w:val="20"/>
          <w:szCs w:val="20"/>
          <w:color w:val="auto"/>
        </w:rPr>
      </w:pPr>
    </w:p>
    <w:p>
      <w:pPr>
        <w:ind w:left="1080" w:right="46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could be an emerging growth company for up to five years following the completion of our initial public offering. Our status as an emerging growth company will end as soon as any of the following takes place:</w:t>
      </w:r>
    </w:p>
    <w:p>
      <w:pPr>
        <w:spacing w:after="0" w:line="76"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our initial public offering.</w:t>
      </w:r>
    </w:p>
    <w:p>
      <w:pPr>
        <w:spacing w:after="0" w:line="225" w:lineRule="exact"/>
        <w:rPr>
          <w:sz w:val="20"/>
          <w:szCs w:val="20"/>
          <w:color w:val="auto"/>
        </w:rPr>
      </w:pPr>
    </w:p>
    <w:p>
      <w:pPr>
        <w:jc w:val="both"/>
        <w:ind w:left="120" w:right="460" w:firstLine="440"/>
        <w:spacing w:after="0" w:line="286" w:lineRule="auto"/>
        <w:rPr>
          <w:sz w:val="20"/>
          <w:szCs w:val="20"/>
          <w:color w:val="auto"/>
        </w:rPr>
      </w:pPr>
      <w:r>
        <w:rPr>
          <w:rFonts w:ascii="Arial" w:cs="Arial" w:eastAsia="Arial" w:hAnsi="Arial"/>
          <w:sz w:val="17"/>
          <w:szCs w:val="17"/>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65"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any new or revised accounting standards during the period in which we remain an emerging growth company; however, we may adopt certain new or revised accounting standards early. As a result, these financial statements may not be comparable to companies that comply with the new or revised accounting pronouncements as of public company effective dates.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more litigation, and divert management’s attention.</w:t>
      </w:r>
    </w:p>
    <w:p>
      <w:pPr>
        <w:spacing w:after="0" w:line="237"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As a public company, we will be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w:t>
      </w:r>
    </w:p>
    <w:p>
      <w:pPr>
        <w:spacing w:after="0" w:line="1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ambiguities related to their application and practice, regulatory authorities may initiate legal proceedings against us and our business may be adversely affected.</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By disclosing information in this prospectus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Unstable market and economic conditions may have serious adverse consequences on our business, financial condition and stock price.</w:t>
      </w:r>
    </w:p>
    <w:p>
      <w:pPr>
        <w:spacing w:after="0" w:line="24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future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8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170"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Pursuant to Section 404 of the Sarbanes-Oxley Act, our management will be required to report upon the effectiveness of our internal control over financial reporting when we lose our status as an “emerging growth company” and become an “accelerated filer” or a “large accelerated filer.” At that point, we will be required to have an independent registered public accounting firm attest to the effectiveness of our internal control over financial reporting. The rules governing the standards that must be met for management to assess our internal control over financial reporting are complex, judgmental and require significant documentation, testing and possible remediation. To comply with the requirements of being a reporting company under the Exchange Act,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will need to implement additional financial and management controls, reporting systems and procedures and hire additional accounting and finance staff.</w:t>
      </w:r>
    </w:p>
    <w:p>
      <w:pPr>
        <w:spacing w:after="0" w:line="170"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7"/>
          <w:szCs w:val="17"/>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we and/or our independent registered public accounting firm determines we have a material weakness or significant deficiency in our internal control over financial reporting, investors may lose confidence in the accuracy and completeness of our consolidated financial statements,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(U.S.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Policies and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but are not limited to stock-based compensation and evaluation of acquisitions of assets and other similar transactions as well as clinical trial accruals.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66"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audited or unaudited consolidated financial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statements and related notes. Such changes to existing standards or changes in their interpretation may also have an adverse effect on our reputation, business, financial position, and profit.</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and consultants are vulnerable to damage from cyberattacks, “phishing” attacks, computer viruses, unauthorized access,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3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biotechnology or pharmaceutical companies. Although we try to ensure that individuals working for or collaborating with us do not use the proprietary information or know-how of others in their work for us, we may be subject to claims that we or our employees, consultants, or independent contractors have inadvertently or otherwise used or disclosed confidential information proprietary to these third parties or our employees’ former employers, or that we caused an employee to breach the terms of his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or her non-competition or non-solicitation agreement. We may be subject to claims that patents and applications we have filed to protect inventions of our employees, consultants, advisors or other third parties,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 and be a distraction to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40"/>
          </w:cols>
          <w:pgMar w:left="320" w:top="459" w:right="5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This prospectus contains forward-looking statements, particularly in the sections titled “Prospectus Summary,” “Risk Factors,” “Management’s Discussion and Analysis of Financial Condition and Results of Operations” and “Business.”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include, but are not limited to, statements about:</w:t>
      </w:r>
    </w:p>
    <w:p>
      <w:pPr>
        <w:spacing w:after="0" w:line="93" w:lineRule="exact"/>
        <w:rPr>
          <w:sz w:val="20"/>
          <w:szCs w:val="20"/>
          <w:color w:val="auto"/>
        </w:rPr>
      </w:pPr>
    </w:p>
    <w:p>
      <w:pPr>
        <w:ind w:left="1080" w:right="6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our product candidates and any future product candidates, if approved for commercial use;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clinical and regulatory development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with regard to the results of our clinical studies, preclinical studies and research and development programs, including the timing and availability of data from such studies;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 and the timing of their enrollment;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commencement of future preclinical studies and clinical trials and research and development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acquire, discover, develop and advance product candidates into, and successfully complete, clinical trials;</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reduce the time or increase the likelihood of success of our research and development relative to the traditional drug discovery paradigm using our precision neuroscience platform;</w:t>
      </w:r>
    </w:p>
    <w:p>
      <w:pPr>
        <w:spacing w:after="0" w:line="75" w:lineRule="exact"/>
        <w:rPr>
          <w:rFonts w:ascii="Arial" w:cs="Arial" w:eastAsia="Arial" w:hAnsi="Arial"/>
          <w:sz w:val="18"/>
          <w:szCs w:val="18"/>
          <w:color w:val="auto"/>
        </w:rPr>
      </w:pPr>
    </w:p>
    <w:p>
      <w:pPr>
        <w:ind w:left="1080" w:right="800" w:hanging="532"/>
        <w:spacing w:after="0" w:line="308"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improve, and the rate of improvement in, our precision neuroscience platform, including any improvements to our multimodal patient datasets and our AI/ML methods, or to realize benefits from such improvements;</w:t>
      </w:r>
    </w:p>
    <w:p>
      <w:pPr>
        <w:spacing w:after="0" w:line="51" w:lineRule="exact"/>
        <w:rPr>
          <w:rFonts w:ascii="Arial" w:cs="Arial" w:eastAsia="Arial" w:hAnsi="Arial"/>
          <w:sz w:val="17"/>
          <w:szCs w:val="17"/>
          <w:color w:val="auto"/>
        </w:rPr>
      </w:pPr>
    </w:p>
    <w:p>
      <w:pPr>
        <w:ind w:left="1080" w:right="5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translate patient data into Data Biopsy Signatures, to develop an encyclopedia of Precision Phenotypes, as well as any improved clinical trial outcomes or therapeutic benefit for patients derived therefrom;</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related to our precision neuroscience platform, including but not limited to whether it will have the same impact as data-driven precision medicine has had on the oncology field;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achieve our mission to conquer one of the greatest medical challenges of our generation;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scale our company;</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intentions and our ability to establish collaborations and/or partnerships, and whether such collaborations and/or partnerships are successful;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including any capabilities and expectations related thereto;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keep pace with new technological developments;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impact from future regulatory, judicial, and legislative changes or developments in the United States and foreign countries;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intentions with respect to the commercialization of our product candidates, if approved;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9" w:right="49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potential effects of the COVID-19 pandemic, or other public health crises, on our preclinical and clinical programs and business;</w:t>
      </w:r>
    </w:p>
    <w:p>
      <w:pPr>
        <w:spacing w:after="0" w:line="142" w:lineRule="exact"/>
        <w:rPr>
          <w:rFonts w:ascii="Arial" w:cs="Arial" w:eastAsia="Arial" w:hAnsi="Arial"/>
          <w:sz w:val="17"/>
          <w:szCs w:val="17"/>
          <w:color w:val="auto"/>
        </w:rPr>
      </w:pPr>
    </w:p>
    <w:p>
      <w:pPr>
        <w:ind w:left="1080" w:right="1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 including additional indications for which we may pursue;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maintain our technical operations infrastructure to avoid errors, delays, or cybersecurity breaches;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our ability to retain and recruit personnel, and maintain our culture;</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including the projected terms of patent protection;</w:t>
      </w:r>
    </w:p>
    <w:p>
      <w:pPr>
        <w:spacing w:after="0" w:line="75"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will be sufficient to fund our future operating expenses and capital expenditure requirements;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products;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 in this prospectus.</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The Private Securities Litigation Reform Act of 1995 and Section 27A of the Securities Act do not protect any forward-looking statements that we make in connection with this offering.</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such information and other, similar sources and on our knowledge of, and expectations about, the markets for our products. In some cases, we do not expressly refer to the sources from which this data is derived. This information involves a number of assumptions and limitations, and you are cautioned not to give undue weight to such estimates. Projections, assumptions and estimates of our future performance and the future performance of the industry in which we operate are necessarily subject to a high degree of uncertainty and risk due to a variety of factors, including but not limited to those described in the section titled “Risk Factors” and elsewhere in this prospectus. These and other factors could cause results to differ materially from those expressed in the estimates made by independent third parties and by us.</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60"/>
          </w:cols>
          <w:pgMar w:left="320" w:top="459" w:right="5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652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160" w:type="dxa"/>
            <w:vAlign w:val="bottom"/>
          </w:tcPr>
          <w:p>
            <w:pPr>
              <w:ind w:left="3420"/>
              <w:spacing w:after="0"/>
              <w:rPr>
                <w:sz w:val="20"/>
                <w:szCs w:val="20"/>
                <w:color w:val="auto"/>
              </w:rPr>
            </w:pPr>
            <w:r>
              <w:rPr>
                <w:rFonts w:ascii="Arial" w:cs="Arial" w:eastAsia="Arial" w:hAnsi="Arial"/>
                <w:sz w:val="18"/>
                <w:szCs w:val="18"/>
                <w:b w:val="1"/>
                <w:bCs w:val="1"/>
                <w:color w:val="auto"/>
                <w:w w:val="99"/>
              </w:rPr>
              <w:t>USE OF PROCEEDS</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18"/>
        </w:trPr>
        <w:tc>
          <w:tcPr>
            <w:tcW w:w="6520" w:type="dxa"/>
            <w:vAlign w:val="bottom"/>
            <w:gridSpan w:val="2"/>
          </w:tcPr>
          <w:p>
            <w:pPr>
              <w:ind w:left="560"/>
              <w:spacing w:after="0"/>
              <w:rPr>
                <w:sz w:val="20"/>
                <w:szCs w:val="20"/>
                <w:color w:val="auto"/>
              </w:rPr>
            </w:pPr>
            <w:r>
              <w:rPr>
                <w:rFonts w:ascii="Arial" w:cs="Arial" w:eastAsia="Arial" w:hAnsi="Arial"/>
                <w:sz w:val="18"/>
                <w:szCs w:val="18"/>
                <w:color w:val="auto"/>
                <w:w w:val="98"/>
              </w:rPr>
              <w:t>We estimate that the net proceeds from this offering will be approximately $</w:t>
            </w:r>
          </w:p>
        </w:tc>
        <w:tc>
          <w:tcPr>
            <w:tcW w:w="2320" w:type="dxa"/>
            <w:vAlign w:val="bottom"/>
            <w:gridSpan w:val="2"/>
          </w:tcPr>
          <w:p>
            <w:pPr>
              <w:ind w:left="60"/>
              <w:spacing w:after="0"/>
              <w:rPr>
                <w:sz w:val="20"/>
                <w:szCs w:val="20"/>
                <w:color w:val="auto"/>
              </w:rPr>
            </w:pPr>
            <w:r>
              <w:rPr>
                <w:rFonts w:ascii="Arial" w:cs="Arial" w:eastAsia="Arial" w:hAnsi="Arial"/>
                <w:sz w:val="18"/>
                <w:szCs w:val="18"/>
                <w:color w:val="auto"/>
              </w:rPr>
              <w:t>million (or approximately $</w:t>
            </w:r>
          </w:p>
        </w:tc>
        <w:tc>
          <w:tcPr>
            <w:tcW w:w="2180" w:type="dxa"/>
            <w:vAlign w:val="bottom"/>
          </w:tcPr>
          <w:p>
            <w:pPr>
              <w:ind w:left="280"/>
              <w:spacing w:after="0"/>
              <w:rPr>
                <w:sz w:val="20"/>
                <w:szCs w:val="20"/>
                <w:color w:val="auto"/>
              </w:rPr>
            </w:pPr>
            <w:r>
              <w:rPr>
                <w:rFonts w:ascii="Arial" w:cs="Arial" w:eastAsia="Arial" w:hAnsi="Arial"/>
                <w:sz w:val="18"/>
                <w:szCs w:val="18"/>
                <w:color w:val="auto"/>
                <w:w w:val="94"/>
              </w:rPr>
              <w:t>million if the underwriters</w:t>
            </w:r>
          </w:p>
        </w:tc>
      </w:tr>
      <w:tr>
        <w:trPr>
          <w:trHeight w:val="230"/>
        </w:trPr>
        <w:tc>
          <w:tcPr>
            <w:tcW w:w="7820" w:type="dxa"/>
            <w:vAlign w:val="bottom"/>
            <w:gridSpan w:val="3"/>
          </w:tcPr>
          <w:p>
            <w:pPr>
              <w:ind w:left="120"/>
              <w:spacing w:after="0"/>
              <w:rPr>
                <w:sz w:val="20"/>
                <w:szCs w:val="20"/>
                <w:color w:val="auto"/>
              </w:rPr>
            </w:pPr>
            <w:r>
              <w:rPr>
                <w:rFonts w:ascii="Arial" w:cs="Arial" w:eastAsia="Arial" w:hAnsi="Arial"/>
                <w:sz w:val="18"/>
                <w:szCs w:val="18"/>
                <w:color w:val="auto"/>
                <w:w w:val="95"/>
              </w:rPr>
              <w:t>exercise their option to purchase additional shares in full), assuming an initial public offering price of $</w:t>
            </w:r>
          </w:p>
        </w:tc>
        <w:tc>
          <w:tcPr>
            <w:tcW w:w="3200" w:type="dxa"/>
            <w:vAlign w:val="bottom"/>
            <w:gridSpan w:val="2"/>
          </w:tcPr>
          <w:p>
            <w:pPr>
              <w:ind w:left="280"/>
              <w:spacing w:after="0"/>
              <w:rPr>
                <w:sz w:val="20"/>
                <w:szCs w:val="20"/>
                <w:color w:val="auto"/>
              </w:rPr>
            </w:pPr>
            <w:r>
              <w:rPr>
                <w:rFonts w:ascii="Arial" w:cs="Arial" w:eastAsia="Arial" w:hAnsi="Arial"/>
                <w:sz w:val="18"/>
                <w:szCs w:val="18"/>
                <w:color w:val="auto"/>
                <w:w w:val="95"/>
              </w:rPr>
              <w:t>per share, which is the midpoint of the</w:t>
            </w:r>
          </w:p>
        </w:tc>
      </w:tr>
    </w:tbl>
    <w:p>
      <w:pPr>
        <w:ind w:left="120" w:right="36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range set forth on the cover page of this prospectus, after deducting estimated underwriting discounts and commissions and estimated offering expenses payable by us.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$1.00 increase or decrease in the initial public offering price per share would increase or decrease, as applicable, our net proceeds, after</w:t>
      </w:r>
    </w:p>
    <w:p>
      <w:pPr>
        <w:spacing w:after="0" w:line="46" w:lineRule="exact"/>
        <w:rPr>
          <w:sz w:val="20"/>
          <w:szCs w:val="20"/>
          <w:color w:val="auto"/>
        </w:rPr>
      </w:pPr>
    </w:p>
    <w:p>
      <w:pPr>
        <w:ind w:left="120" w:right="200"/>
        <w:spacing w:after="0" w:line="281" w:lineRule="auto"/>
        <w:rPr>
          <w:sz w:val="20"/>
          <w:szCs w:val="20"/>
          <w:color w:val="auto"/>
        </w:rPr>
      </w:pPr>
      <w:r>
        <w:rPr>
          <w:rFonts w:ascii="Arial" w:cs="Arial" w:eastAsia="Arial" w:hAnsi="Arial"/>
          <w:sz w:val="16"/>
          <w:szCs w:val="16"/>
          <w:color w:val="auto"/>
        </w:rPr>
        <w:t>deducting estimated underwriting discounts and commissions, by $ million (assuming no exercise of the underwriters’ option to purchase additional shares). Each increase or decrease of 1.0 million shares in the number of shares offered by us would increase or decrease, as applicable, our</w:t>
      </w:r>
    </w:p>
    <w:p>
      <w:pPr>
        <w:spacing w:after="0" w:line="1" w:lineRule="exact"/>
        <w:rPr>
          <w:sz w:val="20"/>
          <w:szCs w:val="20"/>
          <w:color w:val="auto"/>
        </w:rPr>
      </w:pPr>
    </w:p>
    <w:p>
      <w:pPr>
        <w:ind w:left="120" w:right="100"/>
        <w:spacing w:after="0" w:line="290" w:lineRule="auto"/>
        <w:rPr>
          <w:sz w:val="20"/>
          <w:szCs w:val="20"/>
          <w:color w:val="auto"/>
        </w:rPr>
      </w:pPr>
      <w:r>
        <w:rPr>
          <w:rFonts w:ascii="Arial" w:cs="Arial" w:eastAsia="Arial" w:hAnsi="Arial"/>
          <w:sz w:val="17"/>
          <w:szCs w:val="17"/>
          <w:color w:val="auto"/>
        </w:rPr>
        <w:t>net proceeds by $ million, assuming an 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161"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The principal purposes of this offering are to obtain additional capital to fund our operations, create a public market for our common stock, facilitate our future access to the public equity markets, and increase awareness of our company among potential partners.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intend to use the net proceeds from this offering, together with our existing cash, as follows:</w:t>
      </w:r>
    </w:p>
    <w:p>
      <w:pPr>
        <w:spacing w:after="0" w:line="131"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the clinical and preclinical development of our current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advance our precision neuroscience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research and development activities for additional programs;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may also use a portion of the net proceeds to in-license, acquire, or invest in, complementary technologies, assets, or intellectual property. We regularly evaluate strategic opportunities; however, we have no current commitments to enter into any such license arrangements or acquisition agreements or to make any such investments.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our current operating plan, we believe that our existing cash, together with the net proceeds from this offering, will be sufficient to meet</w:t>
      </w:r>
    </w:p>
    <w:p>
      <w:pPr>
        <w:spacing w:after="0" w:line="46"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our working capital and capital expenditure needs for at least the next months. Our expected use of net proceeds from this offering represents our current intentions based upon present plans and business conditions.</w:t>
      </w:r>
    </w:p>
    <w:p>
      <w:pPr>
        <w:spacing w:after="0" w:line="18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net proceeds from this offering, together with our existing cash, will not be sufficient to fund any of our product candidates through regulatory approval, and we anticipate needing to raise additional capital to complete the development of and commercialize our product candidates. As of the date of this prospectus, we cannot predict with certainty all of the particular uses for the net proceeds to be received upon the completion of this offering, or the amounts that we will actually spend on the uses set forth above. The amounts and timing of any expenditures will vary depending on numerous factors, including the progress of our ongoing and planned clinical studies, the amount of cash used by our operations, competitive, scientific and data science developments, the rate of growth, if any, of our business, and other factors described in the section titled “Risk Factors.” Accordingly, our management will have significant discretion and flexibility in applying the net proceeds from this offering, and investors will be relying on the judgment of our management regarding the application of these net proceeds. Due to the many inherent uncertainties in the development of our product candidates, the amounts and timing of our actual expenditures may vary significantly depending on numerous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46" w:right="4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factors, including the progress of our research and development, our ability to obtain additional financing, the cost and results of our preclinical activities, the timing of clinical studies we may commence in the future, the timing of regulatory submissions, any collaborations that we may enter into with third parties for our product candidates or strategic opportunities that become available to us, and any unforeseen cash needs.</w:t>
      </w:r>
    </w:p>
    <w:p>
      <w:pPr>
        <w:spacing w:after="0" w:line="16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Pending the uses described above, we intend to invest the net proceeds from this offering in interest-bearing obligations, investment-grade instruments, certificates of deposit, or direct or guaranteed obligations of the U.S. government.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60"/>
          </w:cols>
          <w:pgMar w:left="320" w:top="459" w:right="51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in the foreseeable future. We currently anticipate that we will retain all available funds for use in the operation and expansion of our business. Any future determination as to the declaration or payment of dividends on our common stock will be made at the discretion of our board of directors and will depend upon, among other factors, our financial condition, results from operations, current and anticipated cash needs, plans for expansion and other factors that our board of directors may deem relevant.</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320" w:top="459" w:right="5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total capitalization as of September 30, 2021:</w:t>
      </w:r>
    </w:p>
    <w:p>
      <w:pPr>
        <w:spacing w:after="0" w:line="131"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 a pro forma basis to reflect the following immediately prior to the completion of this offering: (i) the conversion of all of our</w:t>
      </w:r>
    </w:p>
    <w:p>
      <w:pPr>
        <w:sectPr>
          <w:pgSz w:w="11900" w:h="16838" w:orient="portrait"/>
          <w:cols w:equalWidth="0" w:num="1">
            <w:col w:w="11140"/>
          </w:cols>
          <w:pgMar w:left="320" w:top="459" w:right="439" w:bottom="1440" w:gutter="0" w:footer="0" w:header="0"/>
        </w:sectPr>
      </w:pPr>
    </w:p>
    <w:p>
      <w:pPr>
        <w:spacing w:after="0" w:line="46" w:lineRule="exact"/>
        <w:rPr>
          <w:sz w:val="20"/>
          <w:szCs w:val="20"/>
          <w:color w:val="auto"/>
        </w:rPr>
      </w:pPr>
    </w:p>
    <w:p>
      <w:pPr>
        <w:ind w:left="1080" w:right="80"/>
        <w:spacing w:after="0" w:line="277" w:lineRule="auto"/>
        <w:rPr>
          <w:sz w:val="20"/>
          <w:szCs w:val="20"/>
          <w:color w:val="auto"/>
        </w:rPr>
      </w:pPr>
      <w:r>
        <w:rPr>
          <w:rFonts w:ascii="Arial" w:cs="Arial" w:eastAsia="Arial" w:hAnsi="Arial"/>
          <w:sz w:val="17"/>
          <w:szCs w:val="17"/>
          <w:color w:val="auto"/>
        </w:rPr>
        <w:t>outstanding convertible preferred stock into an aggregate of shares of our common stock, (ii) the related reclassification of our convertible preferred stock aggregate carrying value to permanent equity, and (iii) the filing and effectiveness of our amended and restated certificate of incorporation, which will be effective immediately prior to the completion of this offering; and</w:t>
      </w:r>
    </w:p>
    <w:p>
      <w:pPr>
        <w:sectPr>
          <w:pgSz w:w="11900" w:h="16838" w:orient="portrait"/>
          <w:cols w:equalWidth="0" w:num="1">
            <w:col w:w="11140"/>
          </w:cols>
          <w:pgMar w:left="320" w:top="459" w:right="439" w:bottom="1440" w:gutter="0" w:footer="0" w:header="0"/>
          <w:type w:val="continuous"/>
        </w:sectPr>
      </w:pPr>
    </w:p>
    <w:p>
      <w:pPr>
        <w:spacing w:after="0" w:line="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 pro forma as adjusted basis to reflect: (i) the pro forma adjustments set forth above, and (ii) the issuance and sale of shares of common stock by us in this offering at the assumed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187" w:lineRule="exact"/>
        <w:rPr>
          <w:sz w:val="20"/>
          <w:szCs w:val="20"/>
          <w:color w:val="auto"/>
        </w:rPr>
      </w:pPr>
    </w:p>
    <w:p>
      <w:pPr>
        <w:sectPr>
          <w:pgSz w:w="11900" w:h="16838" w:orient="portrait"/>
          <w:cols w:equalWidth="0" w:num="2">
            <w:col w:w="620" w:space="460"/>
            <w:col w:w="10060"/>
          </w:cols>
          <w:pgMar w:left="320" w:top="459" w:right="439" w:bottom="1440" w:gutter="0" w:footer="0" w:header="0"/>
          <w:type w:val="continuous"/>
        </w:sectPr>
      </w:pPr>
    </w:p>
    <w:p>
      <w:pPr>
        <w:ind w:left="120" w:right="40" w:firstLine="440"/>
        <w:spacing w:after="0" w:line="259" w:lineRule="auto"/>
        <w:rPr>
          <w:sz w:val="20"/>
          <w:szCs w:val="20"/>
          <w:color w:val="auto"/>
        </w:rPr>
      </w:pPr>
      <w:r>
        <w:rPr>
          <w:rFonts w:ascii="Arial" w:cs="Arial" w:eastAsia="Arial" w:hAnsi="Arial"/>
          <w:sz w:val="18"/>
          <w:szCs w:val="18"/>
          <w:color w:val="auto"/>
        </w:rPr>
        <w:t>The pro forma as adjusted information discussed below is illustrative only and will be adjusted based on the actual initial public offering price and other terms of this offering determined at pricing. This table should be read in conjunction with the section titled “Management’s Discussion and Analysis of Financial Condition and Results of Operations” and our unaudited condensed consolidated financial statements and related notes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1"/>
              </w:rPr>
              <w:t>As of September 30, 2021</w:t>
            </w: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w:t>
            </w: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Forma as</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Forma</w:t>
            </w:r>
          </w:p>
        </w:tc>
        <w:tc>
          <w:tcPr>
            <w:tcW w:w="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per share amounts)</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439,145</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Arial" w:cs="Arial" w:eastAsia="Arial" w:hAnsi="Arial"/>
                <w:sz w:val="18"/>
                <w:szCs w:val="18"/>
                <w:color w:val="auto"/>
              </w:rPr>
              <w:t>Convertible preferred stock warrant liability</w:t>
            </w:r>
          </w:p>
        </w:tc>
        <w:tc>
          <w:tcPr>
            <w:tcW w:w="9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8"/>
              </w:rPr>
              <w:t>Convertible preferred stock, $0.0001 par value per share; 755,000 shares authorized, 743,126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3"/>
              </w:rPr>
              <w:t>issued and outstanding, actual; no shares authorized, issued or outstanding, pro forma and pro forma as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15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729,866</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Stockholders’ (deficit) equity:</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Preferred stock, $0.0001 par value per share; no shares authorized, issued or outstanding, actual;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4"/>
              </w:rPr>
              <w:t>shares authorized, no shares issued or outstanding, pro forma and pro forma as adjusted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0" w:type="dxa"/>
            <w:vAlign w:val="bottom"/>
            <w:gridSpan w:val="5"/>
          </w:tcPr>
          <w:p>
            <w:pPr>
              <w:ind w:left="360"/>
              <w:spacing w:after="0" w:line="201" w:lineRule="exact"/>
              <w:rPr>
                <w:sz w:val="20"/>
                <w:szCs w:val="20"/>
                <w:color w:val="auto"/>
              </w:rPr>
            </w:pPr>
            <w:r>
              <w:rPr>
                <w:rFonts w:ascii="Arial" w:cs="Arial" w:eastAsia="Arial" w:hAnsi="Arial"/>
                <w:sz w:val="18"/>
                <w:szCs w:val="18"/>
                <w:color w:val="auto"/>
                <w:w w:val="92"/>
              </w:rPr>
              <w:t>Common stock, $0.0001 par value per share; 1,125,000 shares authorized, 248,135 shares issued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ind w:left="540"/>
              <w:spacing w:after="0"/>
              <w:rPr>
                <w:sz w:val="20"/>
                <w:szCs w:val="20"/>
                <w:color w:val="auto"/>
              </w:rPr>
            </w:pPr>
            <w:r>
              <w:rPr>
                <w:rFonts w:ascii="Arial" w:cs="Arial" w:eastAsia="Arial" w:hAnsi="Arial"/>
                <w:sz w:val="18"/>
                <w:szCs w:val="18"/>
                <w:color w:val="auto"/>
              </w:rPr>
              <w:t>outstanding, actual;</w:t>
            </w:r>
          </w:p>
        </w:tc>
        <w:tc>
          <w:tcPr>
            <w:tcW w:w="2080" w:type="dxa"/>
            <w:vAlign w:val="bottom"/>
            <w:gridSpan w:val="2"/>
          </w:tcPr>
          <w:p>
            <w:pPr>
              <w:ind w:left="120"/>
              <w:spacing w:after="0"/>
              <w:rPr>
                <w:sz w:val="20"/>
                <w:szCs w:val="20"/>
                <w:color w:val="auto"/>
              </w:rPr>
            </w:pPr>
            <w:r>
              <w:rPr>
                <w:rFonts w:ascii="Arial" w:cs="Arial" w:eastAsia="Arial" w:hAnsi="Arial"/>
                <w:sz w:val="18"/>
                <w:szCs w:val="18"/>
                <w:color w:val="auto"/>
              </w:rPr>
              <w:t>shares authorized and</w:t>
            </w:r>
          </w:p>
        </w:tc>
        <w:tc>
          <w:tcPr>
            <w:tcW w:w="3340" w:type="dxa"/>
            <w:vAlign w:val="bottom"/>
          </w:tcPr>
          <w:p>
            <w:pPr>
              <w:ind w:left="380"/>
              <w:spacing w:after="0"/>
              <w:rPr>
                <w:sz w:val="20"/>
                <w:szCs w:val="20"/>
                <w:color w:val="auto"/>
              </w:rPr>
            </w:pPr>
            <w:r>
              <w:rPr>
                <w:rFonts w:ascii="Arial" w:cs="Arial" w:eastAsia="Arial" w:hAnsi="Arial"/>
                <w:sz w:val="18"/>
                <w:szCs w:val="18"/>
                <w:color w:val="auto"/>
              </w:rPr>
              <w:t>shares issued and outstanding, pro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w w:val="93"/>
              </w:rPr>
              <w:t>forma;</w:t>
            </w:r>
          </w:p>
        </w:tc>
        <w:tc>
          <w:tcPr>
            <w:tcW w:w="2680" w:type="dxa"/>
            <w:vAlign w:val="bottom"/>
            <w:gridSpan w:val="2"/>
          </w:tcPr>
          <w:p>
            <w:pPr>
              <w:ind w:left="740"/>
              <w:spacing w:after="0"/>
              <w:rPr>
                <w:sz w:val="20"/>
                <w:szCs w:val="20"/>
                <w:color w:val="auto"/>
              </w:rPr>
            </w:pPr>
            <w:r>
              <w:rPr>
                <w:rFonts w:ascii="Arial" w:cs="Arial" w:eastAsia="Arial" w:hAnsi="Arial"/>
                <w:sz w:val="18"/>
                <w:szCs w:val="18"/>
                <w:color w:val="auto"/>
              </w:rPr>
              <w:t>shares authorized and</w:t>
            </w:r>
          </w:p>
        </w:tc>
        <w:tc>
          <w:tcPr>
            <w:tcW w:w="4280" w:type="dxa"/>
            <w:vAlign w:val="bottom"/>
            <w:gridSpan w:val="2"/>
          </w:tcPr>
          <w:p>
            <w:pPr>
              <w:ind w:left="380"/>
              <w:spacing w:after="0"/>
              <w:rPr>
                <w:sz w:val="20"/>
                <w:szCs w:val="20"/>
                <w:color w:val="auto"/>
              </w:rPr>
            </w:pPr>
            <w:r>
              <w:rPr>
                <w:rFonts w:ascii="Arial" w:cs="Arial" w:eastAsia="Arial" w:hAnsi="Arial"/>
                <w:sz w:val="18"/>
                <w:szCs w:val="18"/>
                <w:color w:val="auto"/>
              </w:rPr>
              <w:t>shares issued and outstanding, pro forma as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540"/>
              <w:spacing w:after="0"/>
              <w:rPr>
                <w:sz w:val="20"/>
                <w:szCs w:val="20"/>
                <w:color w:val="auto"/>
              </w:rPr>
            </w:pPr>
            <w:r>
              <w:rPr>
                <w:rFonts w:ascii="Arial" w:cs="Arial" w:eastAsia="Arial" w:hAnsi="Arial"/>
                <w:sz w:val="18"/>
                <w:szCs w:val="18"/>
                <w:color w:val="auto"/>
              </w:rPr>
              <w:t>adjusted</w:t>
            </w: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9,176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(309,636)</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Total stockholders’ (deficit) equity</w:t>
            </w:r>
          </w:p>
        </w:tc>
        <w:tc>
          <w:tcPr>
            <w:tcW w:w="9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(300,447)</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540" w:type="dxa"/>
            <w:vAlign w:val="bottom"/>
          </w:tcPr>
          <w:p>
            <w:pPr>
              <w:ind w:left="40"/>
              <w:spacing w:after="0"/>
              <w:rPr>
                <w:sz w:val="20"/>
                <w:szCs w:val="20"/>
                <w:color w:val="auto"/>
              </w:rPr>
            </w:pPr>
            <w:r>
              <w:rPr>
                <w:rFonts w:ascii="Arial" w:cs="Arial" w:eastAsia="Arial" w:hAnsi="Arial"/>
                <w:sz w:val="18"/>
                <w:szCs w:val="18"/>
                <w:color w:val="auto"/>
                <w:w w:val="99"/>
              </w:rPr>
              <w:t>Total capitalization</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429,556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6"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pro forma as adjusted information discussed above is illustrative only and will depend on the actual initial offering price and other terms of this offering</w:t>
      </w:r>
    </w:p>
    <w:p>
      <w:pPr>
        <w:spacing w:after="0" w:line="34" w:lineRule="exact"/>
        <w:rPr>
          <w:sz w:val="20"/>
          <w:szCs w:val="20"/>
          <w:color w:val="auto"/>
        </w:rPr>
      </w:pPr>
    </w:p>
    <w:p>
      <w:pPr>
        <w:ind w:left="540" w:right="180"/>
        <w:spacing w:after="0" w:line="276" w:lineRule="auto"/>
        <w:rPr>
          <w:sz w:val="20"/>
          <w:szCs w:val="20"/>
          <w:color w:val="auto"/>
        </w:rPr>
      </w:pPr>
      <w:r>
        <w:rPr>
          <w:rFonts w:ascii="Arial" w:cs="Arial" w:eastAsia="Arial" w:hAnsi="Arial"/>
          <w:sz w:val="16"/>
          <w:szCs w:val="16"/>
          <w:color w:val="auto"/>
        </w:rPr>
        <w:t>determined at pricing. Each $1.00 increase or decrease in the assumed initial public offering price of $ per share, which is the midpoint of the price range set forth on the cover page of this prospectus, would increase or decrease, as applicable, each of pro forma as adjusted cash, additional paid-in capital, total stockholders’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40" w:right="100"/>
        <w:spacing w:after="0" w:line="303" w:lineRule="auto"/>
        <w:rPr>
          <w:sz w:val="20"/>
          <w:szCs w:val="20"/>
          <w:color w:val="auto"/>
        </w:rPr>
      </w:pPr>
      <w:r>
        <w:rPr>
          <w:rFonts w:ascii="Arial" w:cs="Arial" w:eastAsia="Arial" w:hAnsi="Arial"/>
          <w:sz w:val="14"/>
          <w:szCs w:val="14"/>
          <w:color w:val="auto"/>
        </w:rPr>
        <w:t>equity and total capitalization by approximately $ million, assuming that the number of shares of common stock offered by us, as set forth on the cover page of this prospectus, remains the same, and after deducting estimated underwriting discounts and commissions and estimated offering expenses payable by us. Similarly, each increase or decrease of 1.0 million shares of common stock offered by us would increase or decrease, as applicable, each of pro forma as adjusted</w:t>
      </w:r>
    </w:p>
    <w:p>
      <w:pPr>
        <w:spacing w:after="0" w:line="2" w:lineRule="exact"/>
        <w:rPr>
          <w:sz w:val="20"/>
          <w:szCs w:val="20"/>
          <w:color w:val="auto"/>
        </w:rPr>
      </w:pPr>
    </w:p>
    <w:p>
      <w:pPr>
        <w:ind w:left="540" w:right="120"/>
        <w:spacing w:after="0" w:line="276" w:lineRule="auto"/>
        <w:rPr>
          <w:sz w:val="20"/>
          <w:szCs w:val="20"/>
          <w:color w:val="auto"/>
        </w:rPr>
      </w:pPr>
      <w:r>
        <w:rPr>
          <w:rFonts w:ascii="Arial" w:cs="Arial" w:eastAsia="Arial" w:hAnsi="Arial"/>
          <w:sz w:val="16"/>
          <w:szCs w:val="16"/>
          <w:color w:val="auto"/>
        </w:rPr>
        <w:t>cash, additional paid-in capital, total stockholders’ equity and total capitalization by approximately $ million, assuming that the assumed initial public offering price of $ per share, which is the midpoint of the price range set forth on the cover page of this prospectus, remains the same, and after deducting estimated underwriting discounts and commissions and estimated offering expenses payable by us.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underwriters exercise their option to purchase additional shares of our common stock in full, pro forma as adjusted cash, additional paid-in</w:t>
      </w:r>
    </w:p>
    <w:p>
      <w:pPr>
        <w:spacing w:after="0" w:line="46" w:lineRule="exact"/>
        <w:rPr>
          <w:sz w:val="20"/>
          <w:szCs w:val="20"/>
          <w:color w:val="auto"/>
        </w:rPr>
      </w:pPr>
    </w:p>
    <w:p>
      <w:pPr>
        <w:ind w:left="660" w:right="200" w:hanging="539"/>
        <w:spacing w:after="0" w:line="250" w:lineRule="auto"/>
        <w:rPr>
          <w:sz w:val="20"/>
          <w:szCs w:val="20"/>
          <w:color w:val="auto"/>
        </w:rPr>
      </w:pPr>
      <w:r>
        <w:rPr>
          <w:rFonts w:ascii="Arial" w:cs="Arial" w:eastAsia="Arial" w:hAnsi="Arial"/>
          <w:sz w:val="18"/>
          <w:szCs w:val="18"/>
          <w:color w:val="auto"/>
        </w:rPr>
        <w:t>capital, total stockholders’ equity, total capitalization and shares of common stock outstanding as of September 30, 2021 would be $</w:t>
      </w:r>
      <w:r>
        <w:rPr>
          <w:sz w:val="20"/>
          <w:szCs w:val="20"/>
          <w:color w:val="auto"/>
        </w:rPr>
        <w:t xml:space="preserve"> </w:t>
      </w:r>
      <w:r>
        <w:rPr>
          <w:rFonts w:ascii="Arial" w:cs="Arial" w:eastAsia="Arial" w:hAnsi="Arial"/>
          <w:sz w:val="18"/>
          <w:szCs w:val="18"/>
          <w:color w:val="auto"/>
        </w:rPr>
        <w:t>million, $ million, $ million, $ million, and shares, respectively.</w:t>
      </w:r>
    </w:p>
    <w:p>
      <w:pPr>
        <w:spacing w:after="0" w:line="200" w:lineRule="exact"/>
        <w:rPr>
          <w:sz w:val="20"/>
          <w:szCs w:val="20"/>
          <w:color w:val="auto"/>
        </w:rPr>
      </w:pPr>
    </w:p>
    <w:p>
      <w:pPr>
        <w:spacing w:after="0" w:line="218" w:lineRule="exact"/>
        <w:rPr>
          <w:sz w:val="20"/>
          <w:szCs w:val="20"/>
          <w:color w:val="auto"/>
        </w:rPr>
      </w:pPr>
    </w:p>
    <w:p>
      <w:pPr>
        <w:jc w:val="right"/>
        <w:ind w:left="560" w:right="580"/>
        <w:spacing w:after="0" w:line="291" w:lineRule="auto"/>
        <w:rPr>
          <w:sz w:val="20"/>
          <w:szCs w:val="20"/>
          <w:color w:val="auto"/>
        </w:rPr>
      </w:pPr>
      <w:r>
        <w:rPr>
          <w:rFonts w:ascii="Arial" w:cs="Arial" w:eastAsia="Arial" w:hAnsi="Arial"/>
          <w:sz w:val="16"/>
          <w:szCs w:val="16"/>
          <w:color w:val="auto"/>
        </w:rPr>
        <w:t>The number of shares of our common stock to be outstanding after this offering on a pro forma and pro forma as adjusted basis is based on shares of common stock outstanding as of September 30, 2021 (after giving effect to the conversion of all of our shares of convertible</w:t>
      </w:r>
    </w:p>
    <w:p>
      <w:pPr>
        <w:ind w:left="120"/>
        <w:spacing w:after="0" w:line="260" w:lineRule="auto"/>
        <w:rPr>
          <w:sz w:val="20"/>
          <w:szCs w:val="20"/>
          <w:color w:val="auto"/>
        </w:rPr>
      </w:pPr>
      <w:r>
        <w:rPr>
          <w:rFonts w:ascii="Arial" w:cs="Arial" w:eastAsia="Arial" w:hAnsi="Arial"/>
          <w:sz w:val="18"/>
          <w:szCs w:val="18"/>
          <w:color w:val="auto"/>
        </w:rPr>
        <w:t>preferred stock outstanding as of September 30, 2021 into an aggregate of shares of our common stock immediately prior to the completion of this offering) and excludes:</w:t>
      </w:r>
    </w:p>
    <w:p>
      <w:pPr>
        <w:spacing w:after="0" w:line="91" w:lineRule="exact"/>
        <w:rPr>
          <w:sz w:val="20"/>
          <w:szCs w:val="20"/>
          <w:color w:val="auto"/>
        </w:rPr>
      </w:pPr>
    </w:p>
    <w:p>
      <w:pPr>
        <w:ind w:left="1620" w:hanging="1072"/>
        <w:spacing w:after="0"/>
        <w:tabs>
          <w:tab w:leader="none" w:pos="1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shares of our common stock issuable upon the exercise of stock options outstanding as of September 30, 2021, with a weighted-</w:t>
      </w:r>
    </w:p>
    <w:p>
      <w:pPr>
        <w:spacing w:after="0" w:line="46" w:lineRule="exact"/>
        <w:rPr>
          <w:sz w:val="20"/>
          <w:szCs w:val="20"/>
          <w:color w:val="auto"/>
        </w:rPr>
      </w:pPr>
    </w:p>
    <w:p>
      <w:pPr>
        <w:ind w:left="1080"/>
        <w:spacing w:after="0"/>
        <w:tabs>
          <w:tab w:leader="none" w:pos="358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620" w:hanging="1072"/>
        <w:spacing w:after="0"/>
        <w:tabs>
          <w:tab w:leader="none" w:pos="1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shares of our common stock issuable upon the exercise of stock options granted subsequent to September 30, 2021, with a</w:t>
      </w:r>
    </w:p>
    <w:p>
      <w:pPr>
        <w:spacing w:after="0" w:line="35" w:lineRule="exact"/>
        <w:rPr>
          <w:sz w:val="20"/>
          <w:szCs w:val="20"/>
          <w:color w:val="auto"/>
        </w:rPr>
      </w:pPr>
    </w:p>
    <w:p>
      <w:pPr>
        <w:ind w:left="1080"/>
        <w:spacing w:after="0"/>
        <w:tabs>
          <w:tab w:leader="none" w:pos="430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680" w:hanging="1132"/>
        <w:spacing w:after="0"/>
        <w:tabs>
          <w:tab w:leader="none" w:pos="1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warrants outstanding as of September 30, 2021 to purchase shares of our</w:t>
      </w:r>
    </w:p>
    <w:p>
      <w:pPr>
        <w:spacing w:after="0" w:line="46" w:lineRule="exact"/>
        <w:rPr>
          <w:sz w:val="20"/>
          <w:szCs w:val="20"/>
          <w:color w:val="auto"/>
        </w:rPr>
      </w:pPr>
    </w:p>
    <w:p>
      <w:pPr>
        <w:ind w:left="1080"/>
        <w:spacing w:after="0"/>
        <w:tabs>
          <w:tab w:leader="none" w:pos="7580" w:val="left"/>
        </w:tabs>
        <w:rPr>
          <w:sz w:val="20"/>
          <w:szCs w:val="20"/>
          <w:color w:val="auto"/>
        </w:rPr>
      </w:pPr>
      <w:r>
        <w:rPr>
          <w:rFonts w:ascii="Arial" w:cs="Arial" w:eastAsia="Arial" w:hAnsi="Arial"/>
          <w:sz w:val="18"/>
          <w:szCs w:val="18"/>
          <w:color w:val="auto"/>
        </w:rPr>
        <w:t>Series A-1 convertible preferred stock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620" w:hanging="1072"/>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2020 Plan as of September 30, 2021;</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2015 Plan, which we assumed and have subsequently suspended in connection with the closing of our acquisition of BlackThorn;</w:t>
      </w:r>
    </w:p>
    <w:p>
      <w:pPr>
        <w:spacing w:after="0" w:line="75" w:lineRule="exact"/>
        <w:rPr>
          <w:rFonts w:ascii="Arial" w:cs="Arial" w:eastAsia="Arial" w:hAnsi="Arial"/>
          <w:sz w:val="18"/>
          <w:szCs w:val="18"/>
          <w:color w:val="auto"/>
        </w:rPr>
      </w:pPr>
    </w:p>
    <w:p>
      <w:pPr>
        <w:ind w:left="1080" w:right="20" w:hanging="532"/>
        <w:spacing w:after="0" w:line="263"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2022 Plan, which will become effective on the date immediately prior to the date our registration statement relating to this offering becomes effective, as well as any future increases in the number of shares of common stock reserved for issuance under the 2022 Plan; and</w:t>
      </w:r>
    </w:p>
    <w:p>
      <w:pPr>
        <w:spacing w:after="0" w:line="89" w:lineRule="exact"/>
        <w:rPr>
          <w:rFonts w:ascii="Arial" w:cs="Arial" w:eastAsia="Arial" w:hAnsi="Arial"/>
          <w:sz w:val="18"/>
          <w:szCs w:val="18"/>
          <w:color w:val="auto"/>
        </w:rPr>
      </w:pPr>
    </w:p>
    <w:p>
      <w:pPr>
        <w:ind w:left="1080" w:right="360" w:hanging="532"/>
        <w:spacing w:after="0" w:line="263"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ESPP, which will become effective on the date immediately prior to the date our registration statement relating to this offering becomes effective, as well as any future increases in the number of shares of common stock reserved for issuance under the ESPP.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you purchase shares of our common stock in this offering, your ownership interest will be diluted to the extent of the difference between the initial public offering price per share of our common stock in this offering and the pro forma as adjusted net tangible book value per share of our common stock immediately after this offering.</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September 30, 2021, we had a historical net tangible book value (deficit) of $ million, or $ per share of common stock. Our historical net tangible book value (deficit) represents our total tangible assets excluding deferred offering costs, less our total liabilities and convertible preferred stock, which is not included within stockholders’ equity (deficit), divided by the total number of shares of our common stock outstanding as of September 30, 2021.</w:t>
      </w:r>
    </w:p>
    <w:p>
      <w:pPr>
        <w:spacing w:after="0" w:line="187"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Our pro forma net tangible book value as of September 30, 2021, was $ million, or $ per share. Pro forma net tangible book value represents our total tangible assets excluding deferred offering costs, less our total liabilities, after giving effect to the automatic conversion of all</w:t>
      </w:r>
    </w:p>
    <w:p>
      <w:pPr>
        <w:ind w:left="120" w:right="200"/>
        <w:spacing w:after="0" w:line="253" w:lineRule="auto"/>
        <w:rPr>
          <w:sz w:val="20"/>
          <w:szCs w:val="20"/>
          <w:color w:val="auto"/>
        </w:rPr>
      </w:pPr>
      <w:r>
        <w:rPr>
          <w:rFonts w:ascii="Arial" w:cs="Arial" w:eastAsia="Arial" w:hAnsi="Arial"/>
          <w:sz w:val="18"/>
          <w:szCs w:val="18"/>
          <w:color w:val="auto"/>
        </w:rPr>
        <w:t>outstanding shares of our convertible preferred stock as of September 30, 2021 into an aggregate of shares of our common stock as if such conversion had occurred on September 30, 2021. Pro forma net tangible book value per share represents pro forma net tangible book value divided by the total number of shares of common stock outstanding as of September 30, 2021, after giving effect to the conversion of our convertible preferred stock.</w:t>
      </w:r>
    </w:p>
    <w:p>
      <w:pPr>
        <w:spacing w:after="0" w:line="193"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After giving further effect to the issuance and sale by us of the shares of our common stock in this offering at the assumed initial public offering price of $ per share, which is the midpoint of the estimated price range set forth on the cover page of this prospectus, and after deducting</w:t>
      </w:r>
    </w:p>
    <w:p>
      <w:pPr>
        <w:ind w:left="120"/>
        <w:spacing w:after="0"/>
        <w:rPr>
          <w:sz w:val="20"/>
          <w:szCs w:val="20"/>
          <w:color w:val="auto"/>
        </w:rPr>
      </w:pPr>
      <w:r>
        <w:rPr>
          <w:rFonts w:ascii="Arial" w:cs="Arial" w:eastAsia="Arial" w:hAnsi="Arial"/>
          <w:sz w:val="16"/>
          <w:szCs w:val="16"/>
          <w:color w:val="auto"/>
        </w:rPr>
        <w:t>estimated underwriting discounts and commissions and estimated offering expenses payable by us, our pro forma as adjusted net tangible book value as</w:t>
      </w:r>
    </w:p>
    <w:p>
      <w:pPr>
        <w:spacing w:after="0" w:line="386"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color w:val="auto"/>
        </w:rPr>
        <w:t>of September 30, 2021 would be $ million, or $ per share. This represents an immediate increase in pro forma net tangible book value to our existing stockholders of $ per share and an immediate dilution to new investors of $ per share. Dilution per share to new investors</w:t>
      </w:r>
    </w:p>
    <w:p>
      <w:pPr>
        <w:spacing w:after="0" w:line="1"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represents the difference between the price per share to be paid by new investors for the shares of common stock sold in this offering and the pro forma as adjusted net tangible book value per share immediately after this offering.</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illustrates this dilution on a per share basis:</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Assumed initial public offering price per share</w:t>
            </w:r>
          </w:p>
        </w:tc>
        <w:tc>
          <w:tcPr>
            <w:tcW w:w="1800" w:type="dxa"/>
            <w:vAlign w:val="bottom"/>
            <w:gridSpan w:val="4"/>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300"/>
              <w:spacing w:after="0"/>
              <w:rPr>
                <w:sz w:val="20"/>
                <w:szCs w:val="20"/>
                <w:color w:val="auto"/>
              </w:rPr>
            </w:pPr>
            <w:r>
              <w:rPr>
                <w:rFonts w:ascii="Arial" w:cs="Arial" w:eastAsia="Arial" w:hAnsi="Arial"/>
                <w:sz w:val="16"/>
                <w:szCs w:val="16"/>
                <w:color w:val="auto"/>
              </w:rPr>
              <w:t>Historical net tangible book value (deficit) per share as of September 30, 2021</w:t>
            </w:r>
          </w:p>
        </w:tc>
        <w:tc>
          <w:tcPr>
            <w:tcW w:w="9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82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5"/>
              </w:rPr>
              <w:t>Pro forma increase in historical net tangible book value (deficit) per share as of September 30, 2021 attributable to the</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8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 forma transactions described above</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8260" w:type="dxa"/>
            <w:vAlign w:val="bottom"/>
          </w:tcPr>
          <w:p>
            <w:pPr>
              <w:ind w:left="300"/>
              <w:spacing w:after="0"/>
              <w:rPr>
                <w:sz w:val="20"/>
                <w:szCs w:val="20"/>
                <w:color w:val="auto"/>
              </w:rPr>
            </w:pPr>
            <w:r>
              <w:rPr>
                <w:rFonts w:ascii="Arial" w:cs="Arial" w:eastAsia="Arial" w:hAnsi="Arial"/>
                <w:sz w:val="16"/>
                <w:szCs w:val="16"/>
                <w:color w:val="auto"/>
              </w:rPr>
              <w:t>Pro forma net tangible book value per share as of September 30, 2021</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2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Increase in pro forma net tangible book value per share attributable to new investors participating in this offering</w:t>
            </w:r>
          </w:p>
        </w:tc>
        <w:tc>
          <w:tcPr>
            <w:tcW w:w="3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6"/>
                <w:szCs w:val="16"/>
                <w:color w:val="auto"/>
              </w:rPr>
              <w:t>Pro forma as adjusted net tangible book value per share after this offering</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6"/>
                <w:szCs w:val="16"/>
                <w:color w:val="auto"/>
              </w:rPr>
              <w:t>Dilution in pro forma as adjusted net tangible book value per share to new investors participating in this offering</w:t>
            </w:r>
          </w:p>
        </w:tc>
        <w:tc>
          <w:tcPr>
            <w:tcW w:w="1800" w:type="dxa"/>
            <w:vAlign w:val="bottom"/>
            <w:gridSpan w:val="4"/>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dilution information discussed above is illustrative only and will change based on the actual initial public offering price and other terms of</w:t>
      </w:r>
    </w:p>
    <w:p>
      <w:pPr>
        <w:spacing w:after="0" w:line="35" w:lineRule="exact"/>
        <w:rPr>
          <w:sz w:val="20"/>
          <w:szCs w:val="20"/>
          <w:color w:val="auto"/>
        </w:rPr>
      </w:pPr>
    </w:p>
    <w:p>
      <w:pPr>
        <w:ind w:left="120" w:right="180"/>
        <w:spacing w:after="0" w:line="281" w:lineRule="auto"/>
        <w:rPr>
          <w:sz w:val="20"/>
          <w:szCs w:val="20"/>
          <w:color w:val="auto"/>
        </w:rPr>
      </w:pPr>
      <w:r>
        <w:rPr>
          <w:rFonts w:ascii="Arial" w:cs="Arial" w:eastAsia="Arial" w:hAnsi="Arial"/>
          <w:sz w:val="16"/>
          <w:szCs w:val="16"/>
          <w:color w:val="auto"/>
        </w:rPr>
        <w:t>this offering determined at pricing. Each $1.00 increase (decrease) in the assumed initial public offering price of $ per share (which is the midpoint of the estimated price range set forth on the cover page of this prospectus) would increase (decrease) pro forma as adjusted net tangible book</w:t>
      </w:r>
    </w:p>
    <w:p>
      <w:pPr>
        <w:spacing w:after="0" w:line="1"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value per share to new investors by $ , and would increase (decrease) dilution per share to new investors in this offering by $ , assuming that the number of shares offered by us, as set forth on the cover page of this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prospectus, remains the same, and after deducting estimated underwriting discounts and commissions and estimated offering expenses payable by us. Similarly, each increase or decrease of 1.0 million shares in the number of shares offered by us would increase (decrease) our pro forma as adjusted net</w:t>
      </w:r>
    </w:p>
    <w:p>
      <w:pPr>
        <w:ind w:left="120" w:right="260"/>
        <w:spacing w:after="0" w:line="255" w:lineRule="auto"/>
        <w:rPr>
          <w:sz w:val="20"/>
          <w:szCs w:val="20"/>
          <w:color w:val="auto"/>
        </w:rPr>
      </w:pPr>
      <w:r>
        <w:rPr>
          <w:rFonts w:ascii="Arial" w:cs="Arial" w:eastAsia="Arial" w:hAnsi="Arial"/>
          <w:sz w:val="18"/>
          <w:szCs w:val="18"/>
          <w:color w:val="auto"/>
        </w:rPr>
        <w:t>tangible book value by approximately $ per share and increase (decrease) the dilution to new investors by $ per share, assuming the assumed initial public offering price remains the same, and after deducting estimated underwriting discounts and commissions and estimated offering expenses payable by us.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underwriters’ option to purchase additional shares is exercised in full, the pro forma as adjusted net tangible book value per share of our</w:t>
      </w:r>
    </w:p>
    <w:p>
      <w:pPr>
        <w:spacing w:after="0" w:line="46" w:lineRule="exact"/>
        <w:rPr>
          <w:sz w:val="20"/>
          <w:szCs w:val="20"/>
          <w:color w:val="auto"/>
        </w:rPr>
      </w:pPr>
    </w:p>
    <w:p>
      <w:pPr>
        <w:ind w:left="120"/>
        <w:spacing w:after="0"/>
        <w:tabs>
          <w:tab w:leader="none" w:pos="2580" w:val="left"/>
        </w:tabs>
        <w:rPr>
          <w:sz w:val="20"/>
          <w:szCs w:val="20"/>
          <w:color w:val="auto"/>
        </w:rPr>
      </w:pPr>
      <w:r>
        <w:rPr>
          <w:rFonts w:ascii="Arial" w:cs="Arial" w:eastAsia="Arial" w:hAnsi="Arial"/>
          <w:sz w:val="18"/>
          <w:szCs w:val="18"/>
          <w:color w:val="auto"/>
        </w:rPr>
        <w:t>common stock would be $</w:t>
      </w:r>
      <w:r>
        <w:rPr>
          <w:sz w:val="20"/>
          <w:szCs w:val="20"/>
          <w:color w:val="auto"/>
        </w:rPr>
        <w:tab/>
      </w:r>
      <w:r>
        <w:rPr>
          <w:rFonts w:ascii="Arial" w:cs="Arial" w:eastAsia="Arial" w:hAnsi="Arial"/>
          <w:sz w:val="16"/>
          <w:szCs w:val="16"/>
          <w:color w:val="auto"/>
        </w:rPr>
        <w:t>per share, and the dilution in pro forma net tangible book value per share to new investors in this offering would be</w:t>
      </w:r>
    </w:p>
    <w:p>
      <w:pPr>
        <w:spacing w:after="0" w:line="9" w:lineRule="exact"/>
        <w:rPr>
          <w:sz w:val="20"/>
          <w:szCs w:val="20"/>
          <w:color w:val="auto"/>
        </w:rPr>
      </w:pPr>
    </w:p>
    <w:p>
      <w:pPr>
        <w:ind w:left="120" w:right="60" w:hanging="4"/>
        <w:spacing w:after="0" w:line="260" w:lineRule="auto"/>
        <w:tabs>
          <w:tab w:leader="none" w:pos="7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 share, in each case assuming an initial public offering price of $ per share, which is the midpoint of the price range set forth on the cover page of this prospectus.</w:t>
      </w:r>
    </w:p>
    <w:p>
      <w:pPr>
        <w:spacing w:after="0" w:line="18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following table summarizes, as of September 30, 2021, on a pro forma as adjusted basis, the number of shares of common stock purchased from us, the total consideration paid, or to be paid, and the average price per share paid, or to be paid, by existing stockholders and by the new investors,</w:t>
      </w:r>
    </w:p>
    <w:p>
      <w:pPr>
        <w:ind w:left="120" w:right="40"/>
        <w:spacing w:after="0" w:line="260" w:lineRule="auto"/>
        <w:rPr>
          <w:sz w:val="20"/>
          <w:szCs w:val="20"/>
          <w:color w:val="auto"/>
        </w:rPr>
      </w:pPr>
      <w:r>
        <w:rPr>
          <w:rFonts w:ascii="Arial" w:cs="Arial" w:eastAsia="Arial" w:hAnsi="Arial"/>
          <w:sz w:val="18"/>
          <w:szCs w:val="18"/>
          <w:color w:val="auto"/>
        </w:rPr>
        <w:t>at the assumed initial public offering price of $ per share, the midpoint of the estimated initial public offering range set forth on the cover page of this prospectus, before deducting estimated underwriting discounts and commissions and offering expenses payable by us: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460" w:type="dxa"/>
            <w:vAlign w:val="bottom"/>
            <w:gridSpan w:val="3"/>
            <w:vMerge w:val="restart"/>
          </w:tcPr>
          <w:p>
            <w:pPr>
              <w:jc w:val="right"/>
              <w:ind w:right="99"/>
              <w:spacing w:after="0"/>
              <w:rPr>
                <w:sz w:val="20"/>
                <w:szCs w:val="20"/>
                <w:color w:val="auto"/>
              </w:rPr>
            </w:pPr>
            <w:r>
              <w:rPr>
                <w:rFonts w:ascii="Arial" w:cs="Arial" w:eastAsia="Arial" w:hAnsi="Arial"/>
                <w:sz w:val="14"/>
                <w:szCs w:val="14"/>
                <w:b w:val="1"/>
                <w:bCs w:val="1"/>
                <w:color w:val="auto"/>
              </w:rPr>
              <w:t>Shares Purchased</w:t>
            </w:r>
          </w:p>
        </w:tc>
        <w:tc>
          <w:tcPr>
            <w:tcW w:w="4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7"/>
              </w:rPr>
              <w:t>Total Consideration</w:t>
            </w:r>
          </w:p>
        </w:tc>
        <w:tc>
          <w:tcPr>
            <w:tcW w:w="280" w:type="dxa"/>
            <w:vAlign w:val="bottom"/>
            <w:vMerge w:val="restart"/>
          </w:tcPr>
          <w:p>
            <w:pPr>
              <w:spacing w:after="0"/>
              <w:rPr>
                <w:sz w:val="14"/>
                <w:szCs w:val="14"/>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77"/>
        </w:trPr>
        <w:tc>
          <w:tcPr>
            <w:tcW w:w="6240" w:type="dxa"/>
            <w:vAlign w:val="bottom"/>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060" w:type="dxa"/>
            <w:vAlign w:val="bottom"/>
            <w:gridSpan w:val="2"/>
            <w:vMerge w:val="restart"/>
          </w:tcPr>
          <w:p>
            <w:pPr>
              <w:ind w:left="140"/>
              <w:spacing w:after="0" w:line="149" w:lineRule="exact"/>
              <w:rPr>
                <w:sz w:val="20"/>
                <w:szCs w:val="20"/>
                <w:color w:val="auto"/>
              </w:rPr>
            </w:pPr>
            <w:r>
              <w:rPr>
                <w:rFonts w:ascii="Arial" w:cs="Arial" w:eastAsia="Arial" w:hAnsi="Arial"/>
                <w:sz w:val="14"/>
                <w:szCs w:val="14"/>
                <w:b w:val="1"/>
                <w:bCs w:val="1"/>
                <w:color w:val="auto"/>
                <w:w w:val="96"/>
              </w:rPr>
              <w:t>Average Price</w:t>
            </w:r>
          </w:p>
        </w:tc>
        <w:tc>
          <w:tcPr>
            <w:tcW w:w="0" w:type="dxa"/>
            <w:vAlign w:val="bottom"/>
          </w:tcPr>
          <w:p>
            <w:pPr>
              <w:spacing w:after="0"/>
              <w:rPr>
                <w:sz w:val="1"/>
                <w:szCs w:val="1"/>
                <w:color w:val="auto"/>
              </w:rPr>
            </w:pPr>
          </w:p>
        </w:tc>
      </w:tr>
      <w:tr>
        <w:trPr>
          <w:trHeight w:val="52"/>
        </w:trPr>
        <w:tc>
          <w:tcPr>
            <w:tcW w:w="624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4"/>
                <w:szCs w:val="4"/>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Percent</w:t>
            </w:r>
          </w:p>
        </w:tc>
        <w:tc>
          <w:tcPr>
            <w:tcW w:w="100" w:type="dxa"/>
            <w:vAlign w:val="bottom"/>
          </w:tcPr>
          <w:p>
            <w:pPr>
              <w:spacing w:after="0"/>
              <w:rPr>
                <w:sz w:val="4"/>
                <w:szCs w:val="4"/>
                <w:color w:val="auto"/>
              </w:rPr>
            </w:pPr>
          </w:p>
        </w:tc>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4"/>
                <w:szCs w:val="4"/>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w:t>
            </w: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120" w:type="dxa"/>
            <w:vAlign w:val="bottom"/>
            <w:tcBorders>
              <w:top w:val="single" w:sz="8" w:color="auto"/>
            </w:tcBorders>
            <w:gridSpan w:val="9"/>
          </w:tcPr>
          <w:p>
            <w:pPr>
              <w:ind w:left="40"/>
              <w:spacing w:after="0" w:line="142" w:lineRule="exact"/>
              <w:rPr>
                <w:sz w:val="20"/>
                <w:szCs w:val="20"/>
                <w:color w:val="auto"/>
              </w:rPr>
            </w:pPr>
            <w:r>
              <w:rPr>
                <w:rFonts w:ascii="Arial" w:cs="Arial" w:eastAsia="Arial" w:hAnsi="Arial"/>
                <w:sz w:val="14"/>
                <w:szCs w:val="14"/>
                <w:b w:val="1"/>
                <w:bCs w:val="1"/>
                <w:color w:val="auto"/>
              </w:rPr>
              <w:t>(in thousands, except share, per share and percent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New investors</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40" w:type="dxa"/>
            <w:vAlign w:val="bottom"/>
          </w:tcPr>
          <w:p>
            <w:pPr>
              <w:ind w:left="440"/>
              <w:spacing w:after="0"/>
              <w:rPr>
                <w:sz w:val="20"/>
                <w:szCs w:val="20"/>
                <w:color w:val="auto"/>
              </w:rPr>
            </w:pPr>
            <w:r>
              <w:rPr>
                <w:rFonts w:ascii="Arial" w:cs="Arial" w:eastAsia="Arial" w:hAnsi="Arial"/>
                <w:sz w:val="18"/>
                <w:szCs w:val="18"/>
                <w:color w:val="auto"/>
                <w:w w:val="92"/>
              </w:rPr>
              <w:t>Each $1.00 increase (decrease) in the assumed initial public offering price of $</w:t>
            </w:r>
          </w:p>
        </w:tc>
        <w:tc>
          <w:tcPr>
            <w:tcW w:w="4780" w:type="dxa"/>
            <w:vAlign w:val="bottom"/>
            <w:gridSpan w:val="11"/>
          </w:tcPr>
          <w:p>
            <w:pPr>
              <w:ind w:left="400"/>
              <w:spacing w:after="0"/>
              <w:rPr>
                <w:sz w:val="20"/>
                <w:szCs w:val="20"/>
                <w:color w:val="auto"/>
              </w:rPr>
            </w:pPr>
            <w:r>
              <w:rPr>
                <w:rFonts w:ascii="Arial" w:cs="Arial" w:eastAsia="Arial" w:hAnsi="Arial"/>
                <w:sz w:val="18"/>
                <w:szCs w:val="18"/>
                <w:color w:val="auto"/>
              </w:rPr>
              <w:t>per share (which is the midpoint of the estimated initial</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public offering price range set forth on the cover page of this prospectus), would increase (decrease) the total consideration paid by new investors and</w:t>
      </w:r>
    </w:p>
    <w:p>
      <w:pPr>
        <w:spacing w:after="0" w:line="3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total consideration paid by all stockholders by approximately $ million, assuming that the number of shares offered by us, as set forth on the cover page of this prospectus, remains the same, and after deducting estimated underwriting discounts and commissions and estimated offering expenses payable by us.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above table assumes no exercise of the underwriters’ option to purchase additional shares. If the underwriters’ option to purchase additional</w:t>
      </w:r>
    </w:p>
    <w:p>
      <w:pPr>
        <w:spacing w:after="0" w:line="46"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shares were exercised in full, our existing stockholders would own % and our new investors would own % of the total number of shares of our common stock outstanding upon completion of this offering.</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addition, to the extent that any outstanding warrants to purchase Series A-1 convertible preferred stock are exercised, investors participating in this offering will experience further dilution.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21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519"/>
        </w:trPr>
        <w:tc>
          <w:tcPr>
            <w:tcW w:w="8020" w:type="dxa"/>
            <w:vAlign w:val="bottom"/>
            <w:gridSpan w:val="3"/>
          </w:tcPr>
          <w:p>
            <w:pPr>
              <w:ind w:left="560"/>
              <w:spacing w:after="0"/>
              <w:rPr>
                <w:sz w:val="20"/>
                <w:szCs w:val="20"/>
                <w:color w:val="auto"/>
              </w:rPr>
            </w:pPr>
            <w:r>
              <w:rPr>
                <w:rFonts w:ascii="Arial" w:cs="Arial" w:eastAsia="Arial" w:hAnsi="Arial"/>
                <w:sz w:val="18"/>
                <w:szCs w:val="18"/>
                <w:color w:val="auto"/>
                <w:w w:val="96"/>
              </w:rPr>
              <w:t>The foregoing tables and calculations (other than historical net tangible book value) are based on</w:t>
            </w:r>
          </w:p>
        </w:tc>
        <w:tc>
          <w:tcPr>
            <w:tcW w:w="2900" w:type="dxa"/>
            <w:vAlign w:val="bottom"/>
          </w:tcPr>
          <w:p>
            <w:pPr>
              <w:ind w:left="500"/>
              <w:spacing w:after="0"/>
              <w:rPr>
                <w:sz w:val="20"/>
                <w:szCs w:val="20"/>
                <w:color w:val="auto"/>
              </w:rPr>
            </w:pPr>
            <w:r>
              <w:rPr>
                <w:rFonts w:ascii="Arial" w:cs="Arial" w:eastAsia="Arial" w:hAnsi="Arial"/>
                <w:sz w:val="18"/>
                <w:szCs w:val="18"/>
                <w:color w:val="auto"/>
              </w:rPr>
              <w:t>shares of common stock</w:t>
            </w:r>
          </w:p>
        </w:tc>
      </w:tr>
      <w:tr>
        <w:trPr>
          <w:trHeight w:val="216"/>
        </w:trPr>
        <w:tc>
          <w:tcPr>
            <w:tcW w:w="10920" w:type="dxa"/>
            <w:vAlign w:val="bottom"/>
            <w:gridSpan w:val="4"/>
          </w:tcPr>
          <w:p>
            <w:pPr>
              <w:ind w:left="120"/>
              <w:spacing w:after="0"/>
              <w:rPr>
                <w:sz w:val="20"/>
                <w:szCs w:val="20"/>
                <w:color w:val="auto"/>
              </w:rPr>
            </w:pPr>
            <w:r>
              <w:rPr>
                <w:rFonts w:ascii="Arial" w:cs="Arial" w:eastAsia="Arial" w:hAnsi="Arial"/>
                <w:sz w:val="18"/>
                <w:szCs w:val="18"/>
                <w:color w:val="auto"/>
                <w:w w:val="95"/>
              </w:rPr>
              <w:t>outstanding as of September 30, 2021 (after giving effect to the conversion of all of our shares of convertible preferred stock outstanding as of</w:t>
            </w:r>
          </w:p>
        </w:tc>
      </w:tr>
      <w:tr>
        <w:trPr>
          <w:trHeight w:val="230"/>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September 30, 2021 into an aggregate of</w:t>
            </w:r>
          </w:p>
        </w:tc>
        <w:tc>
          <w:tcPr>
            <w:tcW w:w="7380" w:type="dxa"/>
            <w:vAlign w:val="bottom"/>
            <w:gridSpan w:val="2"/>
          </w:tcPr>
          <w:p>
            <w:pPr>
              <w:ind w:left="480"/>
              <w:spacing w:after="0"/>
              <w:rPr>
                <w:sz w:val="20"/>
                <w:szCs w:val="20"/>
                <w:color w:val="auto"/>
              </w:rPr>
            </w:pPr>
            <w:r>
              <w:rPr>
                <w:rFonts w:ascii="Arial" w:cs="Arial" w:eastAsia="Arial" w:hAnsi="Arial"/>
                <w:sz w:val="18"/>
                <w:szCs w:val="18"/>
                <w:color w:val="auto"/>
                <w:w w:val="91"/>
              </w:rPr>
              <w:t>shares of our common stock immediately prior to the completion of this offering) and excludes:</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620" w:hanging="1072"/>
        <w:spacing w:after="0"/>
        <w:tabs>
          <w:tab w:leader="none" w:pos="1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shares of our common stock issuable upon the exercise of stock options outstanding as of September 30, 2021, with a weighted-</w:t>
      </w:r>
    </w:p>
    <w:p>
      <w:pPr>
        <w:spacing w:after="0" w:line="46" w:lineRule="exact"/>
        <w:rPr>
          <w:sz w:val="20"/>
          <w:szCs w:val="20"/>
          <w:color w:val="auto"/>
        </w:rPr>
      </w:pPr>
    </w:p>
    <w:p>
      <w:pPr>
        <w:ind w:left="1080"/>
        <w:spacing w:after="0"/>
        <w:tabs>
          <w:tab w:leader="none" w:pos="322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680" w:hanging="1132"/>
        <w:spacing w:after="0"/>
        <w:tabs>
          <w:tab w:leader="none" w:pos="1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shares of our common stock issuable upon the exercise of stock options granted subsequent to September 30, 2021, with a</w:t>
      </w:r>
    </w:p>
    <w:p>
      <w:pPr>
        <w:spacing w:after="0" w:line="46" w:lineRule="exact"/>
        <w:rPr>
          <w:sz w:val="20"/>
          <w:szCs w:val="20"/>
          <w:color w:val="auto"/>
        </w:rPr>
      </w:pPr>
    </w:p>
    <w:p>
      <w:pPr>
        <w:ind w:left="1080"/>
        <w:spacing w:after="0"/>
        <w:tabs>
          <w:tab w:leader="none" w:pos="394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680" w:hanging="1132"/>
        <w:spacing w:after="0"/>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shares of common stock issuable upon the exercise of warrants outstanding as of September 30, 2021 to purchase shares of our</w:t>
      </w:r>
    </w:p>
    <w:p>
      <w:pPr>
        <w:spacing w:after="0" w:line="46" w:lineRule="exact"/>
        <w:rPr>
          <w:sz w:val="20"/>
          <w:szCs w:val="20"/>
          <w:color w:val="auto"/>
        </w:rPr>
      </w:pPr>
    </w:p>
    <w:p>
      <w:pPr>
        <w:ind w:left="1080"/>
        <w:spacing w:after="0"/>
        <w:tabs>
          <w:tab w:leader="none" w:pos="7580" w:val="left"/>
        </w:tabs>
        <w:rPr>
          <w:sz w:val="20"/>
          <w:szCs w:val="20"/>
          <w:color w:val="auto"/>
        </w:rPr>
      </w:pPr>
      <w:r>
        <w:rPr>
          <w:rFonts w:ascii="Arial" w:cs="Arial" w:eastAsia="Arial" w:hAnsi="Arial"/>
          <w:sz w:val="18"/>
          <w:szCs w:val="18"/>
          <w:color w:val="auto"/>
        </w:rPr>
        <w:t>Series A-1 convertible preferred stock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680" w:hanging="1132"/>
        <w:spacing w:after="0"/>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2020 Plan as of September 30, 2021;</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6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2015 Plan, which we assumed and have subsequently suspended in connection with the closing of our acquisition of BlackThorn;</w:t>
      </w:r>
    </w:p>
    <w:p>
      <w:pPr>
        <w:spacing w:after="0" w:line="75" w:lineRule="exact"/>
        <w:rPr>
          <w:rFonts w:ascii="Arial" w:cs="Arial" w:eastAsia="Arial" w:hAnsi="Arial"/>
          <w:sz w:val="18"/>
          <w:szCs w:val="18"/>
          <w:color w:val="auto"/>
        </w:rPr>
      </w:pPr>
    </w:p>
    <w:p>
      <w:pPr>
        <w:ind w:left="1080" w:right="80" w:hanging="532"/>
        <w:spacing w:after="0" w:line="263" w:lineRule="auto"/>
        <w:tabs>
          <w:tab w:leader="none" w:pos="16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2022 Plan, which will become effective on the date immediately prior to the date our registration statement relating to this offering becomes effective, as well as any future increases in the number of shares of common stock reserved for issuance under the 2022 Plan; and</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6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the ESPP, which will become effective on the date immediately prior to the date our registration statement relating to this offering becomes effective, as well as any future increases in the number of shares of common stock reserved for issuance under the ESPP.</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20"/>
          </w:cols>
          <w:pgMar w:left="320" w:top="446" w:right="6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the section titled “Summary Consolidated Financial Data,” and our audited consolidated financial statements and unaudited condensed consolidated financial statements and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discussed in the forward-looking statements as a result of several factors including those set forth in the section titled “Risk Factors.” See also the section titled “Special Note Regarding Forward-Looking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 clinical-stage biotechnology company pioneering a precision medicine approach for brain diseases through the integration of data science and neuroscience. High failure rates have plagued neuroscience drug development for decades, contributing to lack of targeted, effective medicines for brain diseases. Our approach aims to redefine neuroscience research and development by applying proprietary AI/ML methods to multimodal patient datasets in order to match defined patient populations with targeted therapeutics designed to address the drivers of their underlying disease. We believe our precision neuroscience approach will help us to cut through patient heterogeneity, thereby increasing the probability of clinical success and improving patient outcomes. Through our internal discovery efforts and business development activities, we have rapidly scaled a pipeline currently consisting of eight clinical and preclinical precision neuroscience programs targeting a broad range of underserved neuropsychiatric disorders and neurodegenerative diseases. Our team unites some of the world’s leading data scientists, neuroscience drug developers and company builders to usher in a new era of precision neuroscience and to accelerate the development of novel, safe and effective therapies for patients and families affected by brain diseases.</w:t>
      </w:r>
    </w:p>
    <w:p>
      <w:pPr>
        <w:spacing w:after="0" w:line="18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are building a broad pipeline of novel precision medicines for neuropsychiatric disorders and neurodegenerative disorders, each with a targeted approach to development. Since inception, we have rapidly scaled our pipeline through both internal discovery and external business development efforts. Today, our disclosed pipeline comprises nine programs, with two in clinical development, one in IND-enabling studies and six in the discovery stage,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144780</wp:posOffset>
            </wp:positionV>
            <wp:extent cx="4800600" cy="32486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006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were incorporated in November 2019 and commenced operations thereafter. To date, we have focused primarily on building our organization, acquiring technologies and companies, developing our precision neuroscience platform, identifying and developing potential product candidates, executing clinical and preclinical studies, organizing and staffing our company, business planning, establishing our intellectual property portfolio, raising capital and providing general and administrative support for these operations. We do not have any products approved for sale, we have not generated any revenue from the sale of products, and we do not expect to generate revenue from the sale of our product candidates until we complete clinical development, submit regulatory filings, and receive approvals from the applicable regulatory bodies for such product candidates, if ever.</w:t>
      </w:r>
    </w:p>
    <w:p>
      <w:pPr>
        <w:spacing w:after="0" w:line="164"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Since our inception, we have incurred significant net losses, which are primarily attributable to acquired intangible in-process research and development intangible asset (IPR&amp;D) costs pursuant to our acquisitions of BlackThorn Therapeutics, Inc. (BlackThorn), Syllable Life Sciences, Inc. (Syllable), Propellex Bio, Inc. (Propellex) and Alairion, Inc. (Alairion), each of which occurred in 2020 and has been accounted for as an acquisition of assets. We expect to continue to incur significant losses for the foreseeable future as we continue to advance the development of our precision neuroscience platform and product candidates, and as we transition to operating as a public company. Our net losses were $99.3 million for the year ended December 31, 2020 and $210.3 million for the nine months ended September 30, 2021. As of December 31, 2020 and September 30, 2021, we had accumulated deficits of $99.3 million and $309.6 million, respectively. Our primary use of our capital resources is to fund our operating expenses, which consist primarily of expenditures related to identifying, acquiring, developing, and in-licensing our technology platforms and product candidates, and conducting preclinical studies and clinical trials, and to a lesser extent, general and administrative expenditures.</w:t>
      </w:r>
    </w:p>
    <w:p>
      <w:pPr>
        <w:spacing w:after="0" w:line="166"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expect to continue to incur net operating losses for the foreseeable future. In particular, we expect our expenses and losses to increase substantially as we continue our research and development efforts, advance our product candidates through preclinical and clinical development, enhance our precision neuroscience platform and programs, expand our product pipeline, seek regulatory approval, prepare for commercialization, as well as hire additional personnel, protect our intellectual property, and incur additional costs associated with being a public company. We also expect to increase the size of our administrative function to support the growth of our business. Our net losses may fluctuate significantly from period to period, depending on the timing of our clinical trials and our expenditures on research and development activities.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primarily funded our operations to date primarily from the sale and issuance of our convertible preferred stock and convertible</w:t>
      </w:r>
    </w:p>
    <w:p>
      <w:pPr>
        <w:spacing w:after="0" w:line="35"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promissory notes. From our inception through September 30, 2021, we have raised aggregate gross cash proceeds of $ million, including from the sale of convertible preferred stock and borrowings pursuant to convertible promissory notes and cash acquired in our acquisitions of assets. As of September 30, 2021, we had $439.1 million in cash. Based upon our current operating plan, we believe that the net proceeds from this offering, together with our existing cash as of the date of this prospectus, will enable us to fund our operating expenses and capital expenditure requirements through at</w:t>
      </w:r>
    </w:p>
    <w:p>
      <w:pPr>
        <w:spacing w:after="0" w:line="2" w:lineRule="exact"/>
        <w:rPr>
          <w:sz w:val="20"/>
          <w:szCs w:val="20"/>
          <w:color w:val="auto"/>
        </w:rPr>
      </w:pPr>
    </w:p>
    <w:p>
      <w:pPr>
        <w:ind w:left="120"/>
        <w:spacing w:after="0"/>
        <w:tabs>
          <w:tab w:leader="none" w:pos="1580" w:val="left"/>
        </w:tabs>
        <w:rPr>
          <w:sz w:val="20"/>
          <w:szCs w:val="20"/>
          <w:color w:val="auto"/>
        </w:rPr>
      </w:pPr>
      <w:r>
        <w:rPr>
          <w:rFonts w:ascii="Arial" w:cs="Arial" w:eastAsia="Arial" w:hAnsi="Arial"/>
          <w:sz w:val="18"/>
          <w:szCs w:val="18"/>
          <w:color w:val="auto"/>
        </w:rPr>
        <w:t>least the next</w:t>
      </w:r>
      <w:r>
        <w:rPr>
          <w:sz w:val="20"/>
          <w:szCs w:val="20"/>
          <w:color w:val="auto"/>
        </w:rPr>
        <w:tab/>
      </w:r>
      <w:r>
        <w:rPr>
          <w:rFonts w:ascii="Arial" w:cs="Arial" w:eastAsia="Arial" w:hAnsi="Arial"/>
          <w:sz w:val="16"/>
          <w:szCs w:val="16"/>
          <w:color w:val="auto"/>
        </w:rPr>
        <w:t>months from the date of this offering.</w:t>
      </w:r>
    </w:p>
    <w:p>
      <w:pPr>
        <w:spacing w:after="0" w:line="21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will need substantial additional funding in addition to the net proceeds of this offering to support our continuing operations and pursue our long-term business plan, including to complete the development and commercialization of our product candidates, if approved.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If we are unable to raise additional capital on acceptable terms when needed, our business, results of operations, and financial condition would be adversely affected. The amount and timing of our future funding requirements will depend on many factors including the successful advancement of our platforms, programs, and product candidates. Our ability to raise additional funds may also be adversely impacted by potential worsening global economic conditions and disruptions to, and volatility in, the credit and financial markets in the United States and worldwide, such as those resulting from the ongoing COVID-19 pandemic.</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Acquisitions of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BlackThorn Therapeutics, Inc.</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September 2020, we acquired all of the outstanding equity of BlackThorn Therapeutics, Inc. (BlackThorn), a privately held company, that was utilizing novel technology-based approaches integrated with data and translational science to link behavioral deficits with brain physiology to discover and develop targeted treatments for neurobehavioral disorders. In connection with our acquisition of BlackThorn, we primarily acquired a group of similar IPR&amp;D assets, comprising two clinical-stage research and development programs involving a Kappa Opioid Receptor Antagonist (Kappa or NMRA-140) and a Vasopressin Receptor Antagonist (V1a or NMRA-511), as well as a cloud-based computational psychiatry and data platform being developed to support drug target identification, patient stratification and objective clinical trial endpoints (collectively, the BlackThorn IPR&amp;D).</w:t>
      </w:r>
    </w:p>
    <w:p>
      <w:pPr>
        <w:spacing w:after="0" w:line="164" w:lineRule="exact"/>
        <w:rPr>
          <w:sz w:val="20"/>
          <w:szCs w:val="20"/>
          <w:color w:val="auto"/>
        </w:rPr>
      </w:pPr>
    </w:p>
    <w:p>
      <w:pPr>
        <w:jc w:val="both"/>
        <w:ind w:left="120" w:right="60" w:firstLine="440"/>
        <w:spacing w:after="0" w:line="287" w:lineRule="auto"/>
        <w:rPr>
          <w:sz w:val="20"/>
          <w:szCs w:val="20"/>
          <w:color w:val="auto"/>
        </w:rPr>
      </w:pPr>
      <w:r>
        <w:rPr>
          <w:rFonts w:ascii="Arial" w:cs="Arial" w:eastAsia="Arial" w:hAnsi="Arial"/>
          <w:sz w:val="16"/>
          <w:szCs w:val="16"/>
          <w:color w:val="auto"/>
        </w:rPr>
        <w:t>The transaction was accounted for as an acquisition of assets. The total upfront consideration transferred to stockholders of BlackThorn consisted of (i) an aggregate of 45,178,495 shares of our Series A-1 convertible preferred stock, with an acquisition date fair value of $36.6 million, (ii) warrants to purchase 2,292,672 shares of our Series A-1 convertible preferred stock, with an acquisition date fair value of $0.7 million, plus (iii) cash of</w:t>
      </w:r>
    </w:p>
    <w:p>
      <w:pPr>
        <w:spacing w:after="0" w:line="2"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$0.1 million. We also agreed to settle $11.0 million in principal and accrued interest due from BlackThorn related to promissory notes that were issued between April and August 2020. As part of the acquisition, we incurred transaction costs of $1.6 million.</w:t>
      </w:r>
    </w:p>
    <w:p>
      <w:pPr>
        <w:spacing w:after="0" w:line="18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consideration transferred was allocated between the acquired BlackThorn IPR&amp;D in the amount of $48.3 million, which was included in acquired in-process research and development expenses in our consolidated statement of operations and comprehensive loss for the year ended December 31, 2020, and other net assets of $1.7 million.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former BlackThorn stockholders are entitled to contingent consideration in the form of development, regulatory approval and sales-based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milestones of up to an aggregate amount of (i) with respect to NMRA-140, in the form of development and regulatory approval milestones of up to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aggregate amount of $365.0 million, including the potential for a milestone payment of $75.0 million upon completion of the Phase 2a clinical trial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NMRA-140 if certain success criteria are achieved, and sales-based milestones of up to an aggregate amount of $450.0 million and (ii) with respect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NMRA-511, in the form of development and regulatory approval milestones of up to an aggregate amount of $100.0 million and sales-based milestones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up to an aggregate amount of $100.0 million (the BlackThorn Milestones). With the exception of one development milestone in the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 million that is required to be settled in cash, the remaining BlackThorn Milestone payments may be settled in cash or shares of our equity, or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of both, at our sole discretion. None of the BlackThorn Milestones had been achieved as of September 30, 2021, and no amounts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recognized relating to the BlackThorn contingent consideration during 2020 or the nine months ended September 30, 2021.</w:t>
      </w:r>
    </w:p>
    <w:p>
      <w:pPr>
        <w:spacing w:after="0" w:line="21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also established a carveout plan, pursuant to which each former holder of BlackThorn stock options as of immediately prior to the BlackThorn acquisition closing date was allocated a certain number of units (the BlackThorn Carveout Units) each of which represents a right to receive a portion of the BlackThorn Milestones upon the later of (i) the achievement of a BlackThorn Milestone and (ii) the vesting of the unit. As of September 30, 2021, none of the BlackThorn Milestones had been achieved or were probable of being achieved, and therefore no related expenses had been recognized.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Syllable Life Sciences, Inc.</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September 2020, we acquired all of the outstanding equity of Syllable, a privately held company focused on the development of advanced machine learning and computer vision technologies to automatically decipher body language in humans and laboratory animals. We primarily acquired proprietary rights and IPR&amp;D of a behavior analysis machine learning and computer vision software tool, which was being developed to identify and quantify behavior as an indicator of neurological conditions (the Syllable IPR&amp;D).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Syllable transaction was accounted for as an acquisition of assets. The total upfront consideration transferred to the former stockholders of Syllable consisted of 4,894,847 shares of our Series A-2 convertible preferred stock, with an estimated acquisition date fair value of $4.9 million. As part of the acquisition, we also incurred transaction costs of $0.4 million.</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consideration transferred was allocated between the acquired Syllable IPR&amp;D in the amount of $5.9 million, which was included in acquired in-process research and development expenses in our consolidated statement of operations and comprehensive loss for the year ended December 31, 2020, and net liabilities we assumed of $0.7 million.</w:t>
      </w:r>
    </w:p>
    <w:p>
      <w:pPr>
        <w:spacing w:after="0" w:line="18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former Syllable stockholders are entitled to contingent consideration in the form of future milestone payments of up to $5.0 million upon the achievement of specified development milestones (the Syllable Milestones). At our sole discretion, the payment of such contingent consideration may be settled in cash or in shares of our equity, or a combination of both. None of the Syllable Milestones had been achieved as of September 30, 2021, and no related amounts were recognized relating to the Syllable contingent consideration during 2020 or the nine months ended September 30, 2021.</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Propellex Bio, Inc.</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September 2020, we acquired all of the outstanding equity of Propellex, a privately held company focused on developing treatments for Parkinson’s disease and other neurodegenerative diseases and neurological pathologies using small molecules, and whose primary assets consisted of an exclusive license for various preclinical small-molecule inhibitors and certain preclinical research results considered to be a single identifiable IPR&amp;D asset acquired (the Propellex IPR&amp;D).</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Propellex transaction was accounted for as acquisition of assets. The total upfront consideration transferred to the former stockholders of Propellex consisted of 10,002,633 shares of our Series A-2 convertible preferred stock, with an estimated acquisition date fair value of $10.0 million. As part of the acquisition, we also incurred transaction costs of $0.5 million.</w:t>
      </w:r>
    </w:p>
    <w:p>
      <w:pPr>
        <w:spacing w:after="0" w:line="18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consideration transferred was allocated between the Propellex IPR&amp;D in the amount of $11.1 million, which was included in acquired in-process research and development expenses in our consolidated statement of operations and comprehensive loss for the year ended December 31, 2020, and net liabilities we assumed of $0.6 million.</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former Propellex stockholders are entitled to contingent consideration in the form of development and regulatory approval milestones of up to an aggregate amount of $62.5 million and in the form of sales-based milestones of up to an aggregate amount of $160.0 million (the Propellex Milestones). Except for milestones occurring on or prior to the acceptance of an investigational new drug (IND) application, which are required to be settled in stock, the remaining Propellex Milestones may be settled in cash or shares of our equity, or a combination of both, at our sole discretion. None of the Propellex Milestones had been achieved as of September 30, 2021, and no amounts were recognized relating to the Propellex contingent consideration during 2020 or the nine months ended September 30, 2021.</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April 2021, we terminated the Propellex IPR&amp;D program.</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Alairion, Inc.</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November 2020, we acquired all of the outstanding equity of Alairion, a privately held company focused on the treatment of sleep disorders. We primarily acquired a group of similar IPR&amp;D assets comprised of two preclinical research and development programs involving a H1 receptor antagonist (H1) and a GABA receptor positive allosteric modulator (GABA), as well as a drug discovery and optimization technology platform (collectively, the Alairion IPR&amp;D).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Alairion transaction was accounted for as an acquisition of assets. The total upfront consideration transferred to the former stockholders of Alairion consisted of the settlement of a senior secured promissory note of $1.8 million due from Alairion related to a promissory note that was issued in September 2020. As part of the acquisition, we incurred transaction costs of $0.3 million.</w:t>
      </w:r>
    </w:p>
    <w:p>
      <w:pPr>
        <w:spacing w:after="0" w:line="184"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consideration transferred was allocated to the acquired Alairion IPR&amp;D in the amount of $4.3 million, which was included in acquired in-process research and development expenses in our consolidated statement of operations and comprehensive loss for the year ended December 31, 2020, and net liabilities we assumed of $2.1 million.</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former Alairion stockholders are entitled to contingent consideration in the form of future milestone payments of up to $33.5 million upon the achievement of specified development events related to the Alairion IPR&amp;D and $135.0 million upon the achievement of specified commercialization events related to the Alairion IPR&amp;D (Alairion Milestones). At our sole discretion, the payment of such contingent consideration may be settled in cash or shares of our equity, or a combination of both. None of the Alairion Milestones had been achieved as of September 30, 2021, and no related amounts were recognized relating to the Alairion contingent consideration during 2020 or the nine months ended September 30, 2021.</w:t>
      </w:r>
    </w:p>
    <w:p>
      <w:pPr>
        <w:spacing w:after="0" w:line="16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additional details regarding our acquisitions of assets, see Note 6 to our audited consolidated financial statements and Note 5 to our unaudited condensed consolidated financial statements included elsewhere in this prospectus.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License and Research and Collaboration Agreements</w:t>
      </w:r>
    </w:p>
    <w:p>
      <w:pPr>
        <w:spacing w:after="0" w:line="11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We have assumed license arrangements with certain third parties as a result of our acquisitions, and have entered into several additional agreements with Amgen. Our significant agreements are summarized below. For additional details, see Note 10 to our audited consolidated financial statements and Note 8 to our unaudited condensed consolidated financial statements included elsewhere in this prospectus.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2015 TSRI License Agreement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connection with the acquisition of BlackThorn in September 2020, we gained rights under a license agreement between BlackThorn and The Scripps Research Institute (TSRI) originally entered into in November 2015, as amended in November 2017 and April 2019 (the 2015 TSRI License Agreement). Pursuant to the 2015 TSRI License Agreement, TSRI granted BlackThorn a worldwide, exclusive license under certain patent rights and a worldwide, non-exclusive license under certain know-how relating to TSRI’s Kappa Opioid Receptor (KOR or NMRA-140) program, vasopressin 1a receptor (V1aR or NMRA-511) Antagonist program and oxytocin receptors (OTR) positive allosteric modulator program (collectively, the TSRI Programs). In each case, the license agreement grants rights to use, manufacture and commercialize products (i) that are covered by the relevant licensed patents, (ii) that involve the use or incorporation of the licensed know-how or (iii) that are KOR, V1aR or OTR modulators discovered by BlackThorn within two years of the effective date of the 2015 TSRI License Agreement, for diagnostic, prophylactic and/or therapeutic treatment of humans and animals. The license is sublicensable under certain conditions. The technology licensed under the 2015 TSRI License Agreement is used in our NMRA-140 and NMRA-511 research and development programs.</w:t>
      </w:r>
    </w:p>
    <w:p>
      <w:pPr>
        <w:spacing w:after="0" w:line="18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exchange for the exclusive rights above, we are obligated, among other things, to pay TSRI (i) a nominal annual license fee due and payable on the first day of each calendar year and after the fourth anniversary creditable against any royalties due for such calendar year, (ii) development and regulatory milestone payments of up to $1.5 million in aggregate for the first product from each TSRI Program, which are contingent upon achieving specific development and regulatory milestone events and (iii) commercial milestone payments of up to $3.5 million in aggregate for each occurrence, which are contingent upon achieving specified commercialization milestone events. We are also obligated to pay tiered low-single digit royalties on future net sales of each royalty-bearing product and a percentage ranging from the mid-single digits to sub teen double digits of any sublicensing revenues we receive. The royalties are payable on a product-by-product and country-by-country basis until the later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of expiration of the last to expire valid claim in the licensed patents production in the world and ten years after the first commercial sale of such product in such country. We also paid a change of control success fee to TSRI in shares of our Series A-1 convertible preferred stock with a fair value of $0.3 million. As of September 30, 2021, we had not recorded any milestone or royalty payments under the 2015 TSRI License Agreement.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Harvard License Agreement</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connection with the acquisition of Syllable, we gained rights to a license agreement between Syllable and Harvard (the Harvard License Agreement) entered into in June 2020. Pursuant to the Harvard License Agreement, Syllable obtained an exclusive, worldwide, royalty-bearing, sublicensable license under certain patent rights and copyrights covering certain behavior imagining and behavioral tracking software, to develop and commercialize products and services based thereon.</w:t>
      </w:r>
    </w:p>
    <w:p>
      <w:pPr>
        <w:spacing w:after="0" w:line="18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Under the Harvard License Agreement, Syllable was required to pay Harvard a change of control payment, which we agreed to pay on Syllable’s behalf as part of the acquisition and which was part of the net liabilities we assumed in the transaction. In addition, we are obligated, among other things, to pay Harvard (i) nominal specified annual license maintenance fees that are creditable against any royalty amounts payable for licensed products sold in the same year, (ii) mid-single digit royalties on future net sales of each royalty-bearing product and (iii) a percentage, ranging from the high-teens to low-double-digits, of any sublicensing revenues we receive. The royalties are payable on a product-by-product and country-by-country basis until the later of expiration of the last to expire valid claim in the licensed patents covering such product and the fifteenth anniversary of the first commercial sale of such product in such country.</w:t>
      </w:r>
    </w:p>
    <w:p>
      <w:pPr>
        <w:spacing w:after="0" w:line="19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March 2021, we entered into an amendment to the Harvard License Agreement to, among other things, extend the timeline for us to meet our development and commercial milestones. Under the Harvard License Agreement, as amended, we are obligated to meet certain development and commercial milestones between December 2021 and January 2024. Failure to meet such milestones would constitute a material breach of contract and would provide Harvard with the right to immediately terminate the agreement.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Amgen Licenses and Research and Collaboration Agreement</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September 2021, we entered into two license agreements with Amgen (the Amgen Licenses) pursuant to which we obtained exclusive, worldwide licenses under specified patents and know-how to develop, manufacture, use, commercialize and distribute products containing compounds that are directed to, in one case, CK1d (the CK1d License), and in the other case, GCase (the GCase License), both for the treatment of neurodegenerative diseases and related know-how and clinical material (collectively, the Amgen IPR&amp;D Assets). The acquisition of the Amgen IPR&amp;D Assets became effective on September 30, 2021, the date the Amgen Licenses were executed.</w:t>
      </w:r>
    </w:p>
    <w:p>
      <w:pPr>
        <w:spacing w:after="0" w:line="1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Amgen Licenses were accounted for as acquisitions of assets. The total upfront consideration transferred to Amgen of 157.0 million shares of our Series A-2 convertible preferred stock, with an estimated acquisition date fair value of $157.0 million, was allocated to the Amgen IPR&amp;D Assets. The consideration transferred for the Amgen IPR&amp;D Assets was included in acquired in-process research and development expenses in our condensed consolidated statement of operations and comprehensive loss for the nine months ended September 30, 2021.</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Under the Amgen Licenses, we agreed to pay Amgen contingent consideration payable in cash up to an aggregate of $360.0 million in commercial milestone payments upon the achievement of certain sales thresholds per licensed product under the CK1d License and up to an aggregate $360.0 million in commercial milestone payments upon the achievement of certain sales thresholds per licensed product under the GCase License. We also agreed to pay tiered royalties at percentages ranging from the low to high-single-digits on annual worldwide net sales of licensed products under the CK1d License, and royalties at a low-single-digit percentage on annual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worldwide net sales of licensed products under the GCase License, payable on a licensed product-by-licensed product and country-by-country basis until the later of the expiration of the last to expire licensed patent or Neumora patent claiming the composition of matter of such licensed product and the tenth anniversary of the first commercial sale of such licensed product in such country. Under each Amgen License, the royalty payments are subject to reductions on a country-by-country basis for lack of patent coverage, generic entry, and payment obligations for third-party licenses. Additionally, under each of the Amgen Licenses, if we enter into a sublicense agreement prior to the second anniversary of the effective date of the Amgen Licenses, then we are also obligated to pay Amgen a low-double-digit percentage of sublicense income we receive for the CK1d and/or GCase programs. None of the milestones pursuant to the Amgen Licenses have been achieved as of September 30, 2021, and no amounts were recognized related to the contingent consideration milestones for the nine months ended September 30, 2021.</w:t>
      </w:r>
    </w:p>
    <w:p>
      <w:pPr>
        <w:spacing w:after="0" w:line="17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addition, until a specified period of time following the achievement of the first successful Phase 2 clinical trial for any licensed product, if we choose to sell, transfer, sublicense or divest rights to a licensed product in certain major markets, Amgen has a time-limited, exclusive right of first negotiation to enter into an agreement with us for such rights.</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Concurrently with the Amgen Licenses, we entered into a research collaboration agreement with Amgen (the Amgen Collaboration Agreement) to collectively discover drug targets, biomarkers, Precision Phenotypes and other insights associated with central nervous system (CNS) diseases utilizing Amgen’s deCODE genetics and human data research capabilities. Under the Amgen Collaboration Agreement, Amgen grants us an exclusive license under intellectual property generated in the collaboration to exploit therapeutic compounds and diagnostics for use with therapeutics in the CNS field and we grant Amgen an exclusive license under intellectual property generated in the collaboration to exploit therapeutic compounds and diagnostics for use with therapeutics outside of the CNS field.</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return for Amgen performing research activities under the agreement, we are committed to making non-refundable, non-creditable quarterly payments to Amgen over the next two years totaling $50.0 million and for the third year between $12.5 million and $25.0 million depending on whether certain progress milestones are achieved. The term of the Amgen Collaboration Agreement is up to five years, although it will terminate after three years if we and Amgen do not mutually agree upon a compensation structure for years four and five. If we and Amgen do not reach such agreement at least</w:t>
      </w:r>
    </w:p>
    <w:p>
      <w:pPr>
        <w:spacing w:after="0" w:line="1" w:lineRule="exact"/>
        <w:rPr>
          <w:sz w:val="20"/>
          <w:szCs w:val="20"/>
          <w:color w:val="auto"/>
        </w:rPr>
      </w:pPr>
    </w:p>
    <w:p>
      <w:pPr>
        <w:jc w:val="both"/>
        <w:ind w:left="120" w:right="80"/>
        <w:spacing w:after="0" w:line="255" w:lineRule="auto"/>
        <w:rPr>
          <w:sz w:val="20"/>
          <w:szCs w:val="20"/>
          <w:color w:val="auto"/>
        </w:rPr>
      </w:pPr>
      <w:r>
        <w:rPr>
          <w:rFonts w:ascii="Arial" w:cs="Arial" w:eastAsia="Arial" w:hAnsi="Arial"/>
          <w:sz w:val="18"/>
          <w:szCs w:val="18"/>
          <w:color w:val="auto"/>
        </w:rPr>
        <w:t>30 days prior to the end of year three, the Amgen Collaboration Agreement will automatically terminate upon its third anniversary. Further, either we or Amgen can terminate the Amgen Collaboration Agreement upon a material uncured breach or bankruptcy declaration by the other party, in which case all amounts that have become due through the date of termination will be non-refundable.</w:t>
      </w:r>
    </w:p>
    <w:p>
      <w:pPr>
        <w:spacing w:after="0" w:line="190"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Amgen also has an exclusive option to negotiate, and the right of first negotiation, to obtain exclusive, worldwide licenses to research, develop, commercialize and otherwise exploit up to two therapeutic compounds or any pharmaceutical product containing such therapeutic compound arising from the collaboration. That right exists with respect to each compound for up to 60 days following positive Phase 2 results for the compound.</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Upon execution of the Amgen Collaboration Agreement, we were obligated to pay Amgen, during the first quarter, $6.3 million non-refundable payment which has been as recorded within accrued liabilities, with a corresponding amount within prepaid expenses and other current assets and other assets on our condensed consolidated balance sheet as of September 30, 2021.</w:t>
      </w:r>
    </w:p>
    <w:p>
      <w:pPr>
        <w:spacing w:after="0" w:line="184" w:lineRule="exact"/>
        <w:rPr>
          <w:sz w:val="20"/>
          <w:szCs w:val="20"/>
          <w:color w:val="auto"/>
        </w:rPr>
      </w:pPr>
    </w:p>
    <w:p>
      <w:pPr>
        <w:jc w:val="center"/>
        <w:ind w:right="400"/>
        <w:spacing w:after="0" w:line="342" w:lineRule="auto"/>
        <w:rPr>
          <w:sz w:val="20"/>
          <w:szCs w:val="20"/>
          <w:color w:val="auto"/>
        </w:rPr>
      </w:pPr>
      <w:r>
        <w:rPr>
          <w:rFonts w:ascii="Arial" w:cs="Arial" w:eastAsia="Arial" w:hAnsi="Arial"/>
          <w:sz w:val="16"/>
          <w:szCs w:val="16"/>
          <w:color w:val="auto"/>
        </w:rPr>
        <w:t>Additionally, Amgen purchased 100.0 million shares of our Series A-2 preferred stock at a purchase price of $1.00 per share, for total consideration of $100.0 million. Subject to certain conditions, Amgen is also obligated to provide us additional financing of up to $100.0 million.</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Vanderbilt License Agreement and Sponsored Research Agreement</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and Vanderbilt University (Vanderbilt) entered in a license agreement in February 2022 (Vanderbilt License Agreement). Pursuant to the Vanderbilt License Agreement, we obtained an exclusive, worldwide,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royalty-bearing, sublicensable (subject to certain restrictions) license under certain patent rights and a non-exclusive, worldwide, royalty-bearing, sublicenseable (subject to certain restrictions) license under certain know-how covering small molecule positive allosteric modulators (PAMs) predominantly of the muscarinic acetylcholine receptor subtype 4 (M4), to develop, manufacture and commercialize products, processes, and services covered by such patent rights or that incorporate or use such know-how, for any and all uses. We also have an exclusive option, exercisable for a specified period of time, to obtain an exclusive license to certain patent rights conceived or developed by Vanderbilt in the course of carrying out the sponsored research pursuant to a sponsored research agreement between Neumora and Vanderbilt. The last patent expiration date for the licensed patents that are issued or expected to issue, from currently pending or provisional applications, pursuant to the Vanderbilt License Agreement is 2043, excluding any patent term adjustment or patent term extension. The licensed patent rights are subject to Vanderbilt’s right to use the patent rights for research, internal non-commercial use and educational purposes.</w:t>
      </w:r>
    </w:p>
    <w:p>
      <w:pPr>
        <w:spacing w:after="0" w:line="18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have agreed to use commercially reasonable efforts to develop and commercialize licensed products, and to achieve certain development milestones, the first within a specified period following the effective date and the other on or before June 2024. Failure to meet our obligations in accordance with the Vanderbilt License Agreement to achieve such milestones may constitute a material breach of contract that entitles Vanderbilt to terminate the Vanderbilt License Agreement.</w:t>
      </w:r>
    </w:p>
    <w:p>
      <w:pPr>
        <w:spacing w:after="0" w:line="187"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Under the Vanderbilt License Agreement, we agreed to pay an upfront fee of $13.0 million. We are also obligated to pay Vanderbilt tiered royalties at mid-single-digit percentages on net sales of royalty-bearing products, which are payable on a country-by-country and product-by-product basis until the later of expiration of the last to expire valid claim covering composition of matter in the licensed patents and the tenth anniversary of the first commercial sale of such product in such country. Under the Vanderbilt License Agreement, the royalty payments are subject to reductions on a country-by-country basis for the lack of patent coverage, generic entry and payment obligations for third-party licenses. In addition, we are obligated to pay Vanderbilt a low-double-digit percentage of sublicense income we receive for sublicenses entered into before the achievement of a specified event. We also agreed to pay Vanderbilt payments of up to $42.0 million upon achievement of specified development milestone events and up to $380.0 million upon achievement of specified commercial milestone events. To date, no milestone, royalty or other payment (other than the upfront payment described above) has been payable to Vanderbilt pursuant to the Vanderbilt License Agreement.</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Vanderbilt License Agreement will remain in force, on a country-by-country basis, until the expiration of all royalty payment obligations to Vanderbilt in such country. If we bring a patent challenge against any licensed patents, in addition to paying certain costs associated with the proceeding, Vanderbilt may convert the exclusive licenses to non-exclusive licenses or terminate the Vanderbilt License Agreement. If the licensed patents survive the patent challenge, all payments under the agreement will be increased by a specified amount. We have the right to terminate the Vanderbilt License Agreement at any time by providing Vanderbilt with 90 days’ prior notice. Vanderbilt has the right to terminate the Vanderbilt License Agreement if we file for bankruptcy. The Vanderbilt License Agreement will automatically terminate if our insurance coverage lapses and is not cured within 90 days. Vanderbilt also has the right to terminate if we fail to make payments, breach our diligence obligations or breach any other material term upon 60 days’ prior notice.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Impact</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While we are actively monitoring the impact of the COVID-19 pandemic on our business, the extent of the impact of the pandemic on our business, operations, and clinical development timelines and plans remains uncertain. To date, the COVID-19 pandemic has delayed patient enrollment in our ongoing clinical trials and may further delay our initiation of preclinical studies and clinical trials, interrupt our supply chain, disrupt regulatory activities or have other adverse effects on our business and operations. The extent of the impact of the COVID-19 pandemic on our preclinical studies or clinical trials will depend on future developments, which are highly uncertain and cannot be predicted with confidence, such as the duration or severity of the pandemic or the effectiveness of containment actions or treatments.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firstLine="440"/>
        <w:spacing w:after="0" w:line="275" w:lineRule="auto"/>
        <w:rPr>
          <w:sz w:val="20"/>
          <w:szCs w:val="20"/>
          <w:color w:val="auto"/>
        </w:rPr>
      </w:pPr>
      <w:r>
        <w:rPr>
          <w:rFonts w:ascii="Arial" w:cs="Arial" w:eastAsia="Arial" w:hAnsi="Arial"/>
          <w:sz w:val="17"/>
          <w:szCs w:val="17"/>
          <w:color w:val="auto"/>
        </w:rPr>
        <w:t>In response to the COVID-19 pandemic we have taken temporary precautionary measures intended to help minimize our risk of exposure to the virus for our employees, including implementing policies that allow our employees to work remotely and suspending most non-essential travel for our employees, none of which have had an adverse impact on our business. Certain third-party service providers have also experienced shutdowns or other business disruptions. The extent to which the COVID-19 pandemic may affect our business, operations and development timelines and plans, including the resulting impact on expenditures and capital needs, remains uncertain.</w:t>
      </w:r>
    </w:p>
    <w:p>
      <w:pPr>
        <w:spacing w:after="0" w:line="17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COVID-19 pandemic has also caused significant volatility in public equity markets and disruptions globally that could adversely affect the economies and financial markets, resulting in an economic downturn that could affect our financing prospects.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additional details regarding the COVID-19 pandemic’s impact on our business, operations and prospects, see the section titled “Risk Factors.”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Research and development expenses consist of external and internal expenses, and primarily relate to our discovery efforts and development of our platforms, programs, and product candidates. We account for acquired in-process research and development expenses from our strategic acquisitions, which accounts for a significant portion of our operating expenses, separately from research and development expenses.</w:t>
      </w:r>
    </w:p>
    <w:p>
      <w:pPr>
        <w:spacing w:after="0" w:line="14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External research and development expenses include, among others, amounts incurred with contract research organizations (CROs), contract manufacturing organizations (CMOs), preclinical testing organizations and other vendors that conduct research and development activities on our behalf. Internal research and development expenses include, among others, personnel-related costs, including salaries, benefits and stock-based compensation for employees engaged in research and development functions, laboratory supplies and other non-capital equipment utilized for in-house research, software development costs and allocated expenses including facilities costs and depreciation and amortization.</w:t>
      </w:r>
    </w:p>
    <w:p>
      <w:pPr>
        <w:spacing w:after="0" w:line="16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Because we are working on multiple research and development programs at any one time, we track our external expenses by the stage of program, clinical or preclinical. However, our internal expenses, including unallocated costs, employees and infrastructure are not directly tied to any one program and are deployed across multiple programs. As such, we do not track internal expenses on a specific program basis.</w:t>
      </w:r>
    </w:p>
    <w:p>
      <w:pPr>
        <w:spacing w:after="0" w:line="16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expense research and development costs as incurred. Amounts recorded for external goods or services incurred for research and development activities that have not yet been invoiced are included in accrued liabilities in our consolidated balance sheets and often represent estimates. We estimate accrued expenses and the related research and development expense based on the level of services performed but not yet invoiced pursuant to agreements established with our service providers, according to the progress of preclinical studies, clinical trials or related activities, and discussions with applicable personnel and service providers as to the progress or state of consummation of goods and service. Payments for these activities are based on the terms of the individual agreements, which may differ from the pattern of costs incurred, and are reflected in our consolidated financial statements as prepaid expenses or other current assets or accrued liabilities.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incur costs to further develop our precision neuroscience platform and advance our programs and product candidates through clinical development and pursue regulatory approval of our product candidates. The process of conducting the necessary preclinical and clinical research to obtain regulatory approval is costly and time-consuming, and the successful development of our product candidates is highly uncertain. As a result of the uncertainties discussed below, we are unable to determine the duration and completion costs of our research and development projects or when and to what extent we will generate revenue from the commercialization and sale of our product candidates.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may vary significantly based on factors such as:</w:t>
      </w:r>
    </w:p>
    <w:p>
      <w:pPr>
        <w:spacing w:after="0" w:line="131"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effectiveness of our precision neuroscience platform at identifying target patient populations and utilizing the platform to enrich our patient population in our clinical trials;</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employee-related costs for personnel engaged in the design, development, testing and enhancement of our precision neuroscience platform related technology;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phase of development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we establish additional collaboration or license agreements;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we choose to partner any of our product candidates and the terms of such partnership.</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 change in the outcome of any of these variables with respect to the development of any of our product candidates could significantly change the costs and timing associated with the development of that product candidate. We may never succeed in obtaining regulatory approval for any of our product candidates. We may obtain unexpected results from our preclinical studies and future clinical trials.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Acquired in-process research and development expenses consist of existing research and development projects at the time of the acquisition. Projects that qualify as IPR&amp;D assets represent those that have not yet reached technological feasibility and have no alternative future use. Our acquisitions of assets occurring in 2020 and 2021 all included IPR&amp;D assets that had not yet reached technological feasibility and had no alternative future use, which resulted in a write-off of these IPR&amp;D assets to acquired in-process research and development expenses in our consolidated statement of operations and comprehensive loss.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General and administrative expenses include, among others, personnel-related costs, including salaries, benefits, and stock-based compensation for our employees in executive, finance, and other administrative functions, legal fees, professional fees incurred for accounting, audit, and tax services, recruiting costs, and other allocated expenses, including facilities costs and depreciation and amortization not included in research and development expenses. Legal fees are included within general and administrative expenses and are related to corporate and intellectual property related matters.</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expect our general and administrative expenses to increase substantially in the foreseeable future as we continue to support our research and development activities, grow our business and, if any of our product candidates receive marketing approval, commence commercialization activities. We also anticipate incurring additional expenses associated with operating as a public company, including increased expenses related to audit, legal, regulatory,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Fair Value of Convertible Promissory Notes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Change in fair value of convertible promissory notes is related to the remeasurement of the $55.9 million in convertible promissory notes we issued in 2020 (the 2020 Bridge Notes) that were accounted for under the fair value option. Until settlement, fluctuations in the fair value are based on the remeasurement of these instruments at each reporting period. Our convertible promissory notes were settled upon the closing of our Series A-2 convertible preferred stock financing in September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Other income (expense), net consists primarily of impairment charges related to the disposal of property and equipment that were no longer in use after we early terminated one of our leases in San Francisco, California and changes in the fair value of our convertible preferred stock warrant liability.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 the Nine Months Ended September 30, 2020 and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2020 and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6,656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36,867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30,211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65,237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157,000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91,763</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4,097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16,909</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12,812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75,990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210,776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134,786</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Loss from operations</w:t>
            </w:r>
          </w:p>
        </w:tc>
        <w:tc>
          <w:tcPr>
            <w:tcW w:w="2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(75,990)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(210,776)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(134,786)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w w:val="95"/>
              </w:rPr>
              <w:t>Loss from change in fair value of convertible promissory notes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51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9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(79,274)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(210,343)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(131,069)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(79,274)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(210,343)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(131,069)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900" w:type="dxa"/>
            <w:vAlign w:val="bottom"/>
            <w:vMerge w:val="restart"/>
          </w:tcPr>
          <w:p>
            <w:pPr>
              <w:jc w:val="right"/>
              <w:ind w:right="2290"/>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our research and development expenses by program for the nine months ended September 30, 2020 and 2021:</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program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NMRA-140 program</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9,138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8,770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NMRA-511 program</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Preclinical programs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7,807</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Internal and unallocated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Personnel-related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14,132</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9,903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23"/>
        </w:trPr>
        <w:tc>
          <w:tcPr>
            <w:tcW w:w="802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36,867</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increased by $30.2 million, or 454%, from $6.7 million for the nine months ended September 30, 2020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$36.9 million for the nine months ended September 30, 2021 as we continued to progress our product candidates NMRA-140, NMRA-511 and NMRA-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94 subsequent to their acquisition in late 2020 as well as ramp up our preclinical programs for NMRA-CK1d, NMRA-NLRP3, NMRA-GRIN2A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NMRA-GRIN2B. Direct external program expenses grew by $17.8 million, of which $14.3 million was attributable to CRO costs and $3.5 million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attributable to other external research and development costs. Internal and unallocated expenses increased by $12.4 million, of which $9.9 million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attributable to personnel-related costs, including an increase of $1.1 million in stock-based compensation, as we grew our headcount; and an increase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$2.5 million in other costs, which consisted of an increase of $1.9 million in allocated facilities and rent expenses, an increase of $0.9 million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contracted research and consulting activities, which was partially offset by a decrease of $0.7 million in unallocated contract manufacturing costs.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Acquired In-Process Research and Development Expenses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Acquired in-process research and development expenses were $65.2 million for the nine months ended September 30, 2020 and were attributable to costs to acquire IPR&amp;D assets upon the closing of our acquisitions of assets, as these assets had not yet reached technological feasibility and had no alternative future use.</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Acquired in-process research and development expenses were $157.0 million for the nine months ended September 30, 2021 and were attributable to costs to acquire rights to IPR&amp;D assets upon the closing of our acquisition of licenses from Amgen, as these assets had not yet reached technological feasibility and had no alternative future use.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General and administrative expenses increased by $12.8 million, or 313%, from $4.1 million for the nine months ended September 30, 2020 to $16.9 million for the nine months ended September 30, 2021 as we expanded our administrative functions to support the growth of our business. The increase was primarily attributable to an increase of $7.5 million in personnel-related costs, including an increase of $1.1 million in stock-based compensation, as we grew our headcount, an increase of $3.2 million in professional services and consulting fees as we devoted resources to becoming a public company, an increase of $1.1 million in software technology and related costs, and an increase of $0.9 million in allocated facilities and rent expenses.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Convertible Promissory Notes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change in fair value of convertible promissory notes was $3.3 million for the nine months ended September 30, 2020 and was related to the remeasurement of our 2020 Bridge Notes prior to settlement in September 2020. The change was primarily driven by changes in the estimated timing of the 2020 Bridge Notes settlement and an increase in the probability of a qualified financing settlement scenario. There was no similar expense for the nine months ended September 30,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Other income (expense), net of $9,000 for the nine months ended September 30, 2020 was primarily attributable to interest expense from our 2020 Bridge Notes.</w:t>
      </w:r>
    </w:p>
    <w:p>
      <w:pPr>
        <w:spacing w:after="0" w:line="170"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Other income (expense), net of $0.4 million for the nine months ended September 30, 2021 was primarily attributable to a gain in the fair value of our convertible preferred stock warrant liability resulting from changes to the underlying assumptions with respect to expected term and volatility.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 the Year Ended December 31,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 ended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2020</w:t>
            </w:r>
          </w:p>
        </w:tc>
      </w:tr>
      <w:tr>
        <w:trPr>
          <w:trHeight w:val="142"/>
        </w:trPr>
        <w:tc>
          <w:tcPr>
            <w:tcW w:w="7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17,614</w:t>
            </w: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69,512</w:t>
            </w:r>
          </w:p>
        </w:tc>
      </w:tr>
      <w:tr>
        <w:trPr>
          <w:trHeight w:val="223"/>
        </w:trPr>
        <w:tc>
          <w:tcPr>
            <w:tcW w:w="72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w:t>
            </w:r>
          </w:p>
        </w:tc>
        <w:tc>
          <w:tcPr>
            <w:tcW w:w="140" w:type="dxa"/>
            <w:vAlign w:val="bottom"/>
          </w:tcPr>
          <w:p>
            <w:pPr>
              <w:spacing w:after="0"/>
              <w:rPr>
                <w:sz w:val="19"/>
                <w:szCs w:val="19"/>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95,518</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Loss from operations</w:t>
            </w:r>
          </w:p>
        </w:tc>
        <w:tc>
          <w:tcPr>
            <w:tcW w:w="2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(95,518)</w:t>
            </w:r>
          </w:p>
        </w:tc>
        <w:tc>
          <w:tcPr>
            <w:tcW w:w="14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Loss from change in fair value of convertible promissory notes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(3,275)</w:t>
            </w: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w:t>
            </w:r>
          </w:p>
        </w:tc>
      </w:tr>
      <w:tr>
        <w:trPr>
          <w:trHeight w:val="230"/>
        </w:trPr>
        <w:tc>
          <w:tcPr>
            <w:tcW w:w="72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140" w:type="dxa"/>
            <w:vAlign w:val="bottom"/>
          </w:tcPr>
          <w:p>
            <w:pPr>
              <w:spacing w:after="0"/>
              <w:rPr>
                <w:sz w:val="20"/>
                <w:szCs w:val="20"/>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(99,272)</w:t>
            </w:r>
          </w:p>
        </w:tc>
      </w:tr>
      <w:tr>
        <w:trPr>
          <w:trHeight w:val="20"/>
        </w:trPr>
        <w:tc>
          <w:tcPr>
            <w:tcW w:w="7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sectPr>
      </w:pP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our research and development expenses by program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 external program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NMRA-140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NMRA-511 program</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Internal and unallocated expenses: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Personnel-related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Other costs</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research and development expenses</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u w:val="single" w:color="auto"/>
          <w:color w:val="auto"/>
        </w:rPr>
        <w:t>December 31, 2020</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ind w:left="780" w:hanging="777"/>
        <w:spacing w:after="0"/>
        <w:tabs>
          <w:tab w:leader="none" w:pos="7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2,714</w:t>
      </w:r>
    </w:p>
    <w:p>
      <w:pPr>
        <w:spacing w:after="0" w:line="57"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6"/>
          <w:szCs w:val="16"/>
          <w:color w:val="auto"/>
        </w:rPr>
        <w:t>928</w:t>
      </w:r>
    </w:p>
    <w:p>
      <w:pPr>
        <w:spacing w:after="0" w:line="32"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6"/>
          <w:szCs w:val="16"/>
          <w:color w:val="auto"/>
        </w:rPr>
        <w:t>704</w:t>
      </w:r>
    </w:p>
    <w:p>
      <w:pPr>
        <w:spacing w:after="0" w:line="234" w:lineRule="exact"/>
        <w:rPr>
          <w:sz w:val="20"/>
          <w:szCs w:val="20"/>
          <w:color w:val="auto"/>
        </w:rPr>
      </w:pPr>
    </w:p>
    <w:p>
      <w:pPr>
        <w:ind w:left="780"/>
        <w:spacing w:after="0"/>
        <w:rPr>
          <w:sz w:val="20"/>
          <w:szCs w:val="20"/>
          <w:color w:val="auto"/>
        </w:rPr>
      </w:pPr>
      <w:r>
        <w:rPr>
          <w:rFonts w:ascii="Arial" w:cs="Arial" w:eastAsia="Arial" w:hAnsi="Arial"/>
          <w:sz w:val="15"/>
          <w:szCs w:val="15"/>
          <w:color w:val="auto"/>
        </w:rPr>
        <w:t>8,899</w:t>
      </w:r>
    </w:p>
    <w:p>
      <w:pPr>
        <w:spacing w:after="0" w:line="58" w:lineRule="exact"/>
        <w:rPr>
          <w:sz w:val="20"/>
          <w:szCs w:val="20"/>
          <w:color w:val="auto"/>
        </w:rPr>
      </w:pPr>
    </w:p>
    <w:p>
      <w:pPr>
        <w:ind w:left="780"/>
        <w:spacing w:after="0"/>
        <w:rPr>
          <w:sz w:val="20"/>
          <w:szCs w:val="20"/>
          <w:color w:val="auto"/>
        </w:rPr>
      </w:pPr>
      <w:r>
        <w:rPr>
          <w:rFonts w:ascii="Arial" w:cs="Arial" w:eastAsia="Arial" w:hAnsi="Arial"/>
          <w:sz w:val="15"/>
          <w:szCs w:val="15"/>
          <w:color w:val="auto"/>
        </w:rPr>
        <w:t>4,369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461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6" w:lineRule="exact"/>
        <w:rPr>
          <w:sz w:val="20"/>
          <w:szCs w:val="20"/>
          <w:color w:val="auto"/>
        </w:rPr>
      </w:pPr>
    </w:p>
    <w:p>
      <w:pPr>
        <w:ind w:left="680" w:hanging="677"/>
        <w:spacing w:after="0"/>
        <w:tabs>
          <w:tab w:leader="none" w:pos="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17,614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7461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461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2">
            <w:col w:w="9520" w:space="380"/>
            <w:col w:w="1240"/>
          </w:cols>
          <w:pgMar w:left="320" w:top="459" w:right="4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Research and development expenses were $17.6 million for the year ended December 31, 2020 as we ramped up our research and development operations following our strategic acquisitions. Direct external program expenses consist of $3.9 million of CRO costs and $0.4 million of other external research and development costs. Internal and unallocated expenses consist of $8.9 million of personnel-related costs, including $1.3 million of stock-based compensation, and $4.4 million of other costs primarily related to $1.8 million for contracted research and consulting activities, $1.0 million in software development and related costs, $0.7 million in unallocated contract manufacturing costs, $0.3 million in laboratory equipment and supplies, and $0.2 million in allocated facilities and depreciation and amortization.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Acquired In-Process Research and Development Expenses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Acquired in-process research and development expenses were $69.5 million for the year ended December 31, 2020 and were attributable to costs to acquire IPR&amp;D assets upon the closing of our acquisitions of assets, as these assets had not yet reached technological feasibility and had no alternative future use.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General and administrative expenses were $8.4 million for the year ended December 31, 2020 and were primarily attributable to $3.6 million of salaries and other personnel-related costs, including $0.4 million of stock-based compensation, $3.3 million for professional services and consulting fees, including $1.4 million for legal services primarily related to general corporate matters and $0.7 million for accounting and audit services, $0.7 million of other allocated costs, including facilities and rent expenses, and $0.4 million for insurance and other costs.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Convertible Promissory Notes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change in fair value of convertible promissory notes was $3.3 million for the year ended December 31, 2020 and was related to the remeasurement of our 2020 Bridge Notes prior to settlement in September 2020. The change was primarily driven by redemption discounts on certain 2020 Bridge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Other income (expense), net was $0.5 million for the year ended December 31, 2020 and was primarily attributable to $0.4 million for impairment charges related to the disposal of property and equipment that were no longer in use after we early terminated one of our leases in San Francisco, California.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 the Period from November 22, 2019 (Inception) to December 31,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period from November 22, 2019 (inception) to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November 22,</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4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2019 (Inception) to</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7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5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Loss from operations</w:t>
            </w:r>
          </w:p>
        </w:tc>
        <w:tc>
          <w:tcPr>
            <w:tcW w:w="5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700" w:type="dxa"/>
            <w:vAlign w:val="bottom"/>
            <w:vMerge w:val="restart"/>
          </w:tcPr>
          <w:p>
            <w:pPr>
              <w:jc w:val="right"/>
              <w:ind w:right="3830"/>
              <w:spacing w:after="0"/>
              <w:rPr>
                <w:sz w:val="20"/>
                <w:szCs w:val="20"/>
                <w:color w:val="auto"/>
              </w:rPr>
            </w:pPr>
            <w:r>
              <w:rPr>
                <w:rFonts w:ascii="Arial" w:cs="Arial" w:eastAsia="Arial" w:hAnsi="Arial"/>
                <w:sz w:val="18"/>
                <w:szCs w:val="18"/>
                <w:color w:val="auto"/>
              </w:rPr>
              <w:t>107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General and administrative expenses were $21,000 for the period from November 22, 2019 (inception) to December 31, 2019 and were primarily attributable to legal and formation start-up costs. Our principal operations commenced in January 2020 when we hired our executive management team and initiated our fundraising and business development activities.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Net Loss Per Common Share Information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Immediately prior to the completion of this offering, all outstanding shares of our convertible preferred stock will convert into shares of our common stock. The unaudited pro forma basic and diluted net loss per common share for the year ended December 31, 2020 and nine months ended September 30, 2021 was computed using the weighted-average number of shares of common stock outstanding, including the pro forma effect of the conversion of all outstanding shares of convertible preferred stock into shares of common stock, as if such conversion had occurred at January 1, 2020 or January 1, 2021 irrespective of when the convertible preferred stock was issued. Pro forma net loss per share does not include the shares expected to be sold in this offering.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provides the computation of unaudited pro forma basic and diluted net loss per common share for the period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ind w:left="240"/>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6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4"/>
                <w:szCs w:val="14"/>
                <w:b w:val="1"/>
                <w:bCs w:val="1"/>
                <w:color w:val="auto"/>
                <w:w w:val="90"/>
              </w:rPr>
              <w:t>December 31, 2020</w:t>
            </w:r>
          </w:p>
        </w:tc>
        <w:tc>
          <w:tcPr>
            <w:tcW w:w="6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September 30, 2021</w:t>
            </w:r>
          </w:p>
        </w:tc>
      </w:tr>
      <w:tr>
        <w:trPr>
          <w:trHeight w:val="142"/>
        </w:trPr>
        <w:tc>
          <w:tcPr>
            <w:tcW w:w="6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20" w:type="dxa"/>
            <w:vAlign w:val="bottom"/>
            <w:tcBorders>
              <w:top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w w:val="99"/>
              </w:rPr>
              <w:t>(in thousands except per share amounts)</w:t>
            </w:r>
          </w:p>
        </w:tc>
        <w:tc>
          <w:tcPr>
            <w:tcW w:w="6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w:t>
            </w: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convertible preferred shares outstanding</w:t>
            </w:r>
          </w:p>
        </w:tc>
        <w:tc>
          <w:tcPr>
            <w:tcW w:w="10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940" w:type="dxa"/>
            <w:vAlign w:val="bottom"/>
          </w:tcPr>
          <w:p>
            <w:pPr>
              <w:ind w:left="540"/>
              <w:spacing w:after="0"/>
              <w:rPr>
                <w:sz w:val="20"/>
                <w:szCs w:val="20"/>
                <w:color w:val="auto"/>
              </w:rPr>
            </w:pPr>
            <w:r>
              <w:rPr>
                <w:rFonts w:ascii="Arial" w:cs="Arial" w:eastAsia="Arial" w:hAnsi="Arial"/>
                <w:sz w:val="18"/>
                <w:szCs w:val="18"/>
                <w:color w:val="auto"/>
              </w:rPr>
              <w:t>Pro forma weighted-average common shares outstanding, basic and diluted</w:t>
            </w:r>
          </w:p>
        </w:tc>
        <w:tc>
          <w:tcPr>
            <w:tcW w:w="10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common share outstanding, basic and diluted</w:t>
            </w:r>
          </w:p>
        </w:tc>
        <w:tc>
          <w:tcPr>
            <w:tcW w:w="2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As of September 30, 2021, we held $439.1 million of cash. We have primarily funded our operations with the net proceeds from the sale and issuance of our convertible preferred stock and convertible promissory notes. From inception through September 30, 2021, we have raised aggregate</w:t>
      </w:r>
    </w:p>
    <w:p>
      <w:pPr>
        <w:ind w:left="120" w:right="80"/>
        <w:spacing w:after="0" w:line="260" w:lineRule="auto"/>
        <w:rPr>
          <w:sz w:val="20"/>
          <w:szCs w:val="20"/>
          <w:color w:val="auto"/>
        </w:rPr>
      </w:pPr>
      <w:r>
        <w:rPr>
          <w:rFonts w:ascii="Arial" w:cs="Arial" w:eastAsia="Arial" w:hAnsi="Arial"/>
          <w:sz w:val="18"/>
          <w:szCs w:val="18"/>
          <w:color w:val="auto"/>
        </w:rPr>
        <w:t>cash proceeds $ million, including from the sale of convertible preferred stock and borrowings pursuant to convertible promissory notes and cash acquired in our acquisitions of assets.</w:t>
      </w:r>
    </w:p>
    <w:p>
      <w:pPr>
        <w:spacing w:after="0" w:line="185"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During the three and nine months ended September 30, 2021, we issued and sold 191,250,000 shares of our convertible preferred stock in additional closings, resulting in aggregate cash proceeds of $191.3 million. We also issued and sold 100,000,000 shares of our convertible preferred stock in connection with the collaboration and license agreements with Amgen, resulting in cash proceeds of $100.0 million.</w:t>
      </w:r>
    </w:p>
    <w:p>
      <w:pPr>
        <w:spacing w:after="0" w:line="14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Since our inception, we have not generated any revenue from the sale of products and we have incurred significant net losses and negative cash flows from operations. Our primary use of our capital resources is to fund our operating expenses, which consist primarily of expenditures related to identifying, acquiring, developing, and in-licensing our technology platforms, programs, and product candidates, and conducting preclinical studies and clinical trials, and to a lesser extent, general and administrative expenditures. We have not yet commercialized any products and we do not expect to generate revenue from sales of any product candidates for a number of</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years, if ever. We had accumulated deficits of $99.3 million and $309.6 million as of December 31, 2020 and September 30, 2021, respectively.</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expect our expenses and operating losses will increase substantially over the foreseeable future as we continue our research and development efforts, advance our product candidates through preclinical and clinical development, enhance our precision neuroscience platform and programs, expand our product pipeline, seek regulatory approval, prepare for commercialization, as well as hire additional personnel, protect our intellectual property and incur additional costs associated with being a public company. We also expect to increase the size of our administrative function to support the growth of our business. Our net losses may fluctuate significantly from period to period, depending on the factors described below. We are subject to the risks typically related to the development of new products, and we may encounter unforeseen expenses, difficulties, complications, delays, and other unknown factors that may adversely affect our business. The expected increase in expenses will be driven in large part by our ongoing activities, and our future capital requirements will depend on many factors, including:</w:t>
      </w:r>
    </w:p>
    <w:p>
      <w:pPr>
        <w:spacing w:after="0" w:line="84" w:lineRule="exact"/>
        <w:rPr>
          <w:sz w:val="20"/>
          <w:szCs w:val="20"/>
          <w:color w:val="auto"/>
        </w:rPr>
      </w:pPr>
    </w:p>
    <w:p>
      <w:pPr>
        <w:ind w:left="1080" w:right="44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or future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or future product candidates;</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effectiveness of our precision neuroscience platform at identifying target patient populations and utilizing the platform to enrich our patient population in our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or future product candidates;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associated with acquiring or licensing additional product candidates, technologies or assets, including the timing and amount of any future milestone, royalty or other payments due in connection with such acquisition or license;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or future product candidates;</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access additional multimodal patient datasets;</w:t>
      </w:r>
    </w:p>
    <w:p>
      <w:pPr>
        <w:spacing w:after="0" w:line="130" w:lineRule="exact"/>
        <w:rPr>
          <w:rFonts w:ascii="Arial" w:cs="Arial" w:eastAsia="Arial" w:hAnsi="Arial"/>
          <w:sz w:val="18"/>
          <w:szCs w:val="18"/>
          <w:color w:val="auto"/>
        </w:rPr>
      </w:pPr>
    </w:p>
    <w:p>
      <w:pPr>
        <w:ind w:left="1080" w:right="500" w:hanging="532"/>
        <w:spacing w:after="0" w:line="34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29" w:lineRule="exact"/>
        <w:rPr>
          <w:rFonts w:ascii="Arial" w:cs="Arial" w:eastAsia="Arial" w:hAnsi="Arial"/>
          <w:sz w:val="16"/>
          <w:szCs w:val="16"/>
          <w:color w:val="auto"/>
        </w:rPr>
      </w:pPr>
    </w:p>
    <w:p>
      <w:pPr>
        <w:ind w:left="1080" w:right="46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addressing any potential interruptions or delays resulting from factors related to the COVID-19 pandemic;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 products and technologies.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Based upon our current operating plan, we believe that our existing cash as of the date of this prospectus will enable us to fund our operating expenses and capital expenditure requirements through at least the next 12 months from the date of this offering. In addition, based upon our current operating plan, we believe that the net proceeds from this offering together with our existing cash as of the date of this prospectus, will enable us to fund</w:t>
      </w:r>
    </w:p>
    <w:p>
      <w:pPr>
        <w:spacing w:after="0" w:line="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our operating expenses and capital expenditure requirements through at least the next months from the date of this offering. However, we anticipate that we will need to raise additional financing in the future to fund our operations, including the commercialization of any approved product candidates. 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w:t>
      </w:r>
    </w:p>
    <w:p>
      <w:pPr>
        <w:spacing w:after="0" w:line="19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To complete the development and commercialization of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179"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nine months ended September 30, 2020 and 2021:</w:t>
      </w:r>
    </w:p>
    <w:p>
      <w:pPr>
        <w:spacing w:after="0" w:line="244"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Nine Months Ended</w:t>
      </w:r>
    </w:p>
    <w:p>
      <w:pPr>
        <w:jc w:val="center"/>
        <w:ind w:left="53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4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tcPr>
          <w:p>
            <w:pPr>
              <w:jc w:val="right"/>
              <w:ind w:right="103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80" w:type="dxa"/>
            <w:vAlign w:val="bottom"/>
            <w:gridSpan w:val="3"/>
          </w:tcPr>
          <w:p>
            <w:pPr>
              <w:jc w:val="right"/>
              <w:ind w:right="347"/>
              <w:spacing w:after="0" w:line="142" w:lineRule="exact"/>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0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700" w:type="dxa"/>
            <w:vAlign w:val="bottom"/>
            <w:gridSpan w:val="2"/>
          </w:tcPr>
          <w:p>
            <w:pPr>
              <w:jc w:val="right"/>
              <w:ind w:right="150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(10,248)</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(46,068)</w:t>
            </w: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(10,927)</w:t>
            </w:r>
          </w:p>
        </w:tc>
        <w:tc>
          <w:tcPr>
            <w:tcW w:w="7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w:t>
            </w: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218,298</w:t>
            </w:r>
          </w:p>
        </w:tc>
        <w:tc>
          <w:tcPr>
            <w:tcW w:w="700" w:type="dxa"/>
            <w:vAlign w:val="bottom"/>
          </w:tcPr>
          <w:p>
            <w:pPr>
              <w:spacing w:after="0"/>
              <w:rPr>
                <w:sz w:val="18"/>
                <w:szCs w:val="18"/>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293,865</w:t>
            </w:r>
          </w:p>
        </w:tc>
      </w:tr>
      <w:tr>
        <w:trPr>
          <w:trHeight w:val="27"/>
        </w:trPr>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increase in cash and restricted cash</w:t>
            </w:r>
          </w:p>
        </w:tc>
        <w:tc>
          <w:tcPr>
            <w:tcW w:w="2700" w:type="dxa"/>
            <w:vAlign w:val="bottom"/>
            <w:gridSpan w:val="2"/>
            <w:shd w:val="clear" w:color="auto" w:fill="CCEEFF"/>
          </w:tcPr>
          <w:p>
            <w:pPr>
              <w:jc w:val="right"/>
              <w:ind w:right="150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197,123</w:t>
            </w:r>
          </w:p>
        </w:tc>
        <w:tc>
          <w:tcPr>
            <w:tcW w:w="70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247,168</w:t>
            </w:r>
          </w:p>
        </w:tc>
      </w:tr>
      <w:tr>
        <w:trPr>
          <w:trHeight w:val="20"/>
        </w:trPr>
        <w:tc>
          <w:tcPr>
            <w:tcW w:w="4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2700" w:type="dxa"/>
            <w:vAlign w:val="bottom"/>
            <w:gridSpan w:val="2"/>
          </w:tcPr>
          <w:p>
            <w:pPr>
              <w:jc w:val="right"/>
              <w:ind w:right="1448"/>
              <w:spacing w:after="0"/>
              <w:rPr>
                <w:sz w:val="20"/>
                <w:szCs w:val="20"/>
                <w:color w:val="auto"/>
              </w:rPr>
            </w:pPr>
            <w:r>
              <w:rPr>
                <w:rFonts w:ascii="Arial" w:cs="Arial" w:eastAsia="Arial" w:hAnsi="Arial"/>
                <w:sz w:val="18"/>
                <w:szCs w:val="18"/>
                <w:color w:val="auto"/>
              </w:rPr>
              <w:t>110</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in operating activities for the nine months ended September 30, 2020 was $10.2 million, which consisted of a net loss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$79.3 million and our net operating assets and liabilities of $0.9 million, which were partially offset by $69.9 million in non-cash charges. Our net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assets and liabilities primarily resulted from a decrease of $0.3 million in accounts payable and accrued liabilities, an increase of $0.3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 prepaid expenses and other current assets and an increase of $0.2 million in other assets as we established principal operations. The non-cash charges</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primarily consisted of $65.2 million of IPR&amp;D assets acquired that were expensed to acquired in-process research and development upon acquisition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assets had not yet reached technological feasibility and had no alternative future use, $3.3 million fair value loss on remeasurement of the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Bridge Notes accounted for under the fair value option, including $0.4 million of noncash interest expense, $0.9 million of stock-based compensation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$0.4 million of other noncash expense.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in operating activities for the nine months ended September 30, 2021 was $46.1 million, which consisted of a net loss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$210.3 million, which was partially offset by $160.8 million in non-cash charges and our net operating assets and liabilities of $3.5 million.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non-cash charges primarily consisted of $157.0 million of IPR&amp;D assets acquired from Amgen that were expensed to acquired in-process research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development upon acquisition as the assets had not yet reached technological feasibility and had no alternative future use, $3.1 million of stock-based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$0.7 million of noncash operating lease expense and $0.4 million of depreciation and amortization, partially offset by $0.4 million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noncash expense. Our net operating assets and liabilities primarily resulted from an increase of $4.1 million in accounts payable and accrued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liabilities as we grew our operations, partially offset by a decrease of $0.6 million in operating lease liabilities.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2020 was $10.9 million, which consisted of $12.8 million in purchases of promissory notes receivable related to our strategic acquisitions, partially offset by $1.8 million in cash acquired in connection with our acquisitions of assets.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2021 was $0.6 million, which consisted of purchases of property and equipment primarily to support our research and development activities.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Net cash provided by financing activities for the nine months ended September 30, 2020 was $218.3 million, which consisted primarily of net proceeds of $159.2 million from the issuance and sale of shares of our Series A-2 convertible preferred stock, proceeds of $55.9 million from the issuance of our 2020 Bridge Notes and proceeds of $3.2 million from the issuance and sale of shares of our common stock.</w:t>
      </w:r>
    </w:p>
    <w:p>
      <w:pPr>
        <w:spacing w:after="0" w:line="16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2021 was $293.9 million, which consisted of net proceeds of $291.2 million from the issuance and sale of shares of our Series A-2 convertible preferred stock, proceeds of $1.7 million from exercise of stock options and proceeds of $1.0 million from the issuance and sale of shares of our common stock.</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40"/>
          </w:cols>
          <w:pgMar w:left="320" w:top="459" w:right="5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Period from November 22, 2019</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gridSpan w:val="3"/>
          </w:tcPr>
          <w:p>
            <w:pPr>
              <w:ind w:left="1940"/>
              <w:spacing w:after="0" w:line="142" w:lineRule="exact"/>
              <w:rPr>
                <w:sz w:val="20"/>
                <w:szCs w:val="20"/>
                <w:color w:val="auto"/>
              </w:rPr>
            </w:pPr>
            <w:r>
              <w:rPr>
                <w:rFonts w:ascii="Arial" w:cs="Arial" w:eastAsia="Arial" w:hAnsi="Arial"/>
                <w:sz w:val="14"/>
                <w:szCs w:val="14"/>
                <w:b w:val="1"/>
                <w:bCs w:val="1"/>
                <w:color w:val="auto"/>
              </w:rPr>
              <w:t>(in thousands)</w:t>
            </w:r>
          </w:p>
        </w:tc>
        <w:tc>
          <w:tcPr>
            <w:tcW w:w="1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ind w:left="19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80"/>
              <w:spacing w:after="0"/>
              <w:rPr>
                <w:sz w:val="20"/>
                <w:szCs w:val="20"/>
                <w:color w:val="auto"/>
              </w:rPr>
            </w:pPr>
            <w:r>
              <w:rPr>
                <w:rFonts w:ascii="Arial" w:cs="Arial" w:eastAsia="Arial" w:hAnsi="Arial"/>
                <w:sz w:val="18"/>
                <w:szCs w:val="18"/>
                <w:color w:val="auto"/>
              </w:rPr>
              <w:t>(26,760)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(11,237)</w:t>
            </w:r>
          </w:p>
        </w:tc>
        <w:tc>
          <w:tcPr>
            <w:tcW w:w="0" w:type="dxa"/>
            <w:vAlign w:val="bottom"/>
          </w:tcPr>
          <w:p>
            <w:pPr>
              <w:spacing w:after="0"/>
              <w:rPr>
                <w:sz w:val="1"/>
                <w:szCs w:val="1"/>
                <w:color w:val="auto"/>
              </w:rPr>
            </w:pP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increase in cash and restricted 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192,102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Net cash used in operating activities for the year ended December 31, 2020 was $26.8 million, which consisted of a net loss of $99.3 million and our net operating assets and liabilities of $3.1 million, which were partially offset by $75.6 million in non-cash charges. Our net operating assets and liabilities primarily resulted from a decrease of $2.3 million in accounts payable and accrued liabilities, an increase of $0.4 million in prepaid expenses and a decrease of $0.3 million in operating lease liabilities as we established principal operations. The non-cash charges primarily consisted of</w:t>
      </w:r>
    </w:p>
    <w:p>
      <w:pPr>
        <w:spacing w:after="0" w:line="1" w:lineRule="exact"/>
        <w:rPr>
          <w:sz w:val="20"/>
          <w:szCs w:val="20"/>
          <w:color w:val="auto"/>
        </w:rPr>
      </w:pPr>
    </w:p>
    <w:p>
      <w:pPr>
        <w:ind w:left="120" w:right="140"/>
        <w:spacing w:after="0" w:line="295" w:lineRule="auto"/>
        <w:rPr>
          <w:sz w:val="20"/>
          <w:szCs w:val="20"/>
          <w:color w:val="auto"/>
        </w:rPr>
      </w:pPr>
      <w:r>
        <w:rPr>
          <w:rFonts w:ascii="Arial" w:cs="Arial" w:eastAsia="Arial" w:hAnsi="Arial"/>
          <w:sz w:val="16"/>
          <w:szCs w:val="16"/>
          <w:color w:val="auto"/>
        </w:rPr>
        <w:t>$69.5 million of IPR&amp;D assets acquired that were expensed to acquired in-process research and development upon acquisition as the assets had not yet reached technological feasibility and had no alternative future use, $3.3 million fair value loss on remeasurement of the 2020 Bridge Notes accounted for under the fair value option, including $0.4 million of noncash interest expense, $1.7 million of stock-based compensation, $0.4 million of impairment of property and equipment, $0.4 million of noncash operating lease expense and $0.1 million of depreciation and amortization.</w:t>
      </w:r>
    </w:p>
    <w:p>
      <w:pPr>
        <w:spacing w:after="0" w:line="16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Net cash used in operating activities for the period from November 22, 2019 (inception) through December 31, 2019 consisted of a net loss of $21,000, offset by an increase in accrued liabilities of $21,000. We were incorporated on November 22, 2019 (inception) and did not commence principal operations until January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Net cash used in investing activities for the year ended December 31, 2020 was $11.2 million, which consisted of $12.8 million in purchases of promissory notes receivable related to our strategic acquisitions and $1.3 million purchase of property and equipment as we established principal operations, partially offset by $2.8 million of cash acquired in connection with our acquisitions of assets.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2020 was $230.1 million, which consisted primarily of net proceeds of $171.0 million from the issuance and sale of shares of our Series A-2 convertible preferred stock, proceeds of $55.9 million from the issuance of our 2020 Bridge Notes and net proceeds of $3.2 million from the issuance and sale of shares of our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and other commitments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Payments Due by Period</w:t>
            </w:r>
          </w:p>
        </w:tc>
        <w:tc>
          <w:tcPr>
            <w:tcW w:w="1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1"/>
              </w:rPr>
              <w:t>Less than 1 Year</w:t>
            </w: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to 3 Years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More than 5 Years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4"/>
                <w:szCs w:val="14"/>
                <w:b w:val="1"/>
                <w:bCs w:val="1"/>
                <w:color w:val="auto"/>
              </w:rPr>
              <w:t>3 to 5 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operating lease obligations relate to our office and laboratory facilities located in Massachusetts and California with noncancelable lease terms expiring between 2021 and 2023. The table does not include the operating lease we entered into in March 2021 for our office space in South San Francisco, California, which commenced in April 2021 and ends in December 2023. Payments associated with this operating lease agreement will result in additional operating lease obligations not included in the above table of approximately $1.3 million plus operating expenses.</w:t>
      </w:r>
    </w:p>
    <w:p>
      <w:pPr>
        <w:spacing w:after="0" w:line="15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table also does not include amounts that will be due to Amgen under our September 2021 research and collaboration arrangement over the next three years totaling $62.5 million, or $75.0 million if certain progress milestones are achieved before the end of the first two years.</w:t>
      </w:r>
    </w:p>
    <w:p>
      <w:pPr>
        <w:spacing w:after="0" w:line="12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2020, we entered in a number of acquisitions of assets that are summarized in the subsection titled “Recent Acquisitions of Assets” above. As part of these acquisitions of assets, we are obligated to pay cash and/or stock for future contingent payments that are dependent upon future events, and in some cases, vesting by the recipient of the contingent payment, such as our achievement of certain development, regulatory, and commercial milestones. We have also assumed license arrangements with various third parties, primarily as a result of our acquisitions, and have entered into additional agreements that are summarized in the subsection titled “Strategic License and Research and Collaboration Agreements” above. In accordance with these agreements, we are obligated to pay, among other items, future contingent payments that are dependent upon future events such as our achievement of certain development, regulatory, and commercial milestones royalties, and sublicensing revenue in the future, as applicable. As of December 31, 2020, the timing and likelihood of achieving the milestones and generating future product sales are uncertain and therefore, any related payments are not included in the table above.</w:t>
      </w:r>
    </w:p>
    <w:p>
      <w:pPr>
        <w:spacing w:after="0" w:line="18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addition, we enter into agreements in the normal course of business with CROs, CMOs and other vendors for research and development services. Such agreements generally provide for termination upon limited written notice. These payments are therefore not included in our contractual obligations table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Since our inception, we did not have, and we do not currently have, any off-balance sheet arrangements as defined in the rules and regulations of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Our management’s discussion and analysis of the financial condition and results of operations is based on our consolidated financial statements, which have been prepared in accordance with the U.S. generally accepted accounting principles, or GAAP. The preparation of our consolidated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While our significant accounting policies are described in Note 2 to our audited consolidated financial statements and our unaudited condensed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We evaluate mergers, acquisitions and other similar transactions to assess whether the transaction should be accounted for as a business combination or an acquisition of assets. We first identify who is the acquiring entity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by determining if the target is a legal entity or a group of assets or liabilities. If control over a legal entity is being evaluated, we also evaluate if the target is a variable interest or voting interest entity. For acquisitions of voting interest entities, we apply a screen test to determine if substantially all of the fair value of the gross assets acquired is concentrated in a single identifiable asset or group of similar identifiable assets. If the screen is met, the transaction is accounted for as an acquisition of assets. If the screen is not met, further determination is required as to whether we have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17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For an acquisition of assets, a cost accumulation model is used to determine the cost of the acquisition. Common stock and convertible preferred stock issued as consideration in an acquisition of assets are generally measured based on the acquisition date fair value of the equity interests issued. We also determine if any components of a transaction should be accounted for as a part of an acquisition of assets and which should be accounted for separately. Direct transaction costs are recognized as part of the cost of an acquisition of assets. We also evaluate which elements of a transaction should be accounted for as a part of an acquisition of assets and which should be accounted for separately.</w:t>
      </w:r>
    </w:p>
    <w:p>
      <w:pPr>
        <w:spacing w:after="0" w:line="176"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cost of an acquisition of assets, including transaction costs, are allocated to identifiable assets acquired and liabilities assumed based on a relative fair value basis. Goodwill is not recognized in an acquisition of assets. Any difference between the cost of an acquisition of assets and the fair value of the net assets acquired is allocated to the non-monetary identifiable assets based on their relative fair values. Assets acquired as part of an acquisition of assets that are considered to be IPR&amp;D are immediately expensed unless there is an alternative future use in other research and development projects.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to upfront consideration, our acquisition of assets may also include contingent consideration payments to be made for future milestone events or royalties on net sales of future products. We assess whether such contingent consideration is subject to liability classification and fair value measurement or meets the definition of a derivative. Contingent consideration payments in an acquisition of assets not required to be classified as a liability, or are accounted for as derivatives that qualify for a scope exception from derivative accounting, are recognized when the contingency is resolved, and the consideration is paid or becomes payable. Contingent consideration payments required to be classified as a liability, or accounted for as derivatives and do not qualify for a scope exception from derivative accounting, are recorded at fair value on the date of the acquisition and are subsequently remeasured to fair value at each reporting date. At the time a contingent consideration payment is made, we will determine whether the payment should be expensed or capitalized as an intangible asset based on the status of the IPR&amp;D project. Further, any future payments that are contingent upon continued services to us are treated as compensation and are recognized beginning when it is probable such amounts will become payable through the date that the contingency is met.</w:t>
      </w:r>
    </w:p>
    <w:p>
      <w:pPr>
        <w:spacing w:after="0" w:line="18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We classify cash payments related to purchased intangibles in an acquisition of assets, including IPR&amp;D assets, as a cash outflow from investing activities because we expect to generate future income and cash flows from these assets if they can be developed into commercially successful products.</w:t>
      </w:r>
    </w:p>
    <w:p>
      <w:pPr>
        <w:spacing w:after="0" w:line="124"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If the target legal entity is determined to be a variable interest entity and not a business, all tangible and intangible assets acquired, including any IPR&amp;D assets but excluding goodwill, and liabilities assumed, including contingent consideration, are recorded at their fair values. If the acquisition is determined to be a business combination, all tangible and intangible assets acquired, including any IPR&amp;D asset, and liabilities assumed, including contingent consideration, are recorded at their fair value. Goodwill is recognized for any difference between the consideration transferred and our fair value determination. In addition, direct transaction costs in connection with business combinations are expensed as incurred, rather than capitalized.</w:t>
      </w:r>
    </w:p>
    <w:p>
      <w:pPr>
        <w:spacing w:after="0" w:line="16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To date, we have obtained control over, and are considered the accounting acquiror of, all of the entities we have acquired. None of the legal entities we acquired were considered to be variable interest entities, had ever generated revenue, have significant continuing physical facilities or an employee base that will not be integrated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into working to support our combined operations, nor did they have any market distribution system, sales force, customers base, long term operating rights or material production techniques or trade names of significance.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 and Related Accrued Expenses</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We record research and development expenses to operations as incurred. Research and development expenses represent costs incurred by us for the discovery and development of our product candidates and the development of our precision neuroscience platform technology and include: internal research and development expense, including personnel-related expenses (such as salaries, benefits and non-cash stock-based compensation) and other expenses, including laboratory supplies and other non-capital equipment utilized for in-house research, research and consulting expenses, software development costs, license fees and allocated expenses, including facilities costs and depreciation and amortization; external research and development expenses incurred under arrangements with vendors conducting research and development services on our behalf, such as CROs, preclinical testing organizations, or CMOs. Costs to develop our technologies are recorded as research and development expense unless the criteria to be capitalized as internal-use software costs is met.</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entered into various agreements with CROs and other vendors for clinical, non-clinical and manufacturing services. Payments made prior to the receipt of goods or services to be used in research and development are capitalized and recognized as expense in the period in which the related goods are received or services are realized or consumed. If the costs have been prepaid, this expense reduces the prepaid expenses in the consolidated balance sheets, and if not yet invoiced, the costs are included in accrued liabilities in the consolidated balance sheets. These costs are a significant component of our research and development expenses. We record amortization of prepaid expenses for these costs based on the estimated amount of work completed and in accordance with agreements established with these third parties. Such payments are evaluated for current or noncurrent classification based on when they will be realized. We estimate and record accrued research and development expenses based on the level of services performed but not yet invoiced pursuant to agreements established with our service providers, according to the progress of preclinical studies, clinical trials or related activities, and discussions with applicable personnel and service providers as to the progress or state of consummation of goods and services.</w:t>
      </w:r>
    </w:p>
    <w:p>
      <w:pPr>
        <w:spacing w:after="0" w:line="185"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During the course of a clinical trial, the rate of expense recognition is adjusted if actual results differ from our estimates. We make judgments and estimates of accrued expenses as of each balance sheet date in our consolidated financial statements based on the facts and circumstances known at that time. The clinical trial accrual is dependent in part upon the timely and accurate reporting of CROs, CMOs and other third-party vendors. Although we do not expect our estimates to be materially different from amounts actually incurred, our estimates may vary from the actual results. To date, we have not experienced material differences between our accrued expenses and actual expenses.</w:t>
      </w:r>
    </w:p>
    <w:p>
      <w:pPr>
        <w:spacing w:after="0" w:line="17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have and may continue to enter into license agreements to access and utilize certain technology. We evaluate if the license agreement is an acquisition of an asset or a business. To date, none of our license agreements have been considered to be an acquisition of a business. For acquisitions of assets, the upfront payments to acquire such licenses, as well as any future milestone payments made before product approval, are immediately recognized as acquired in-process research and development expense when due, provided there is no alternative future use of the rights in other research and development projects. These license agreements may also include contingent consideration in the form of cash. We assess whether such contingent consideration is subject to liability classification and fair value measurement or meets the definition of a derivative.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We have elected the fair value option to account for our convertible promissory notes that were issued and settled during 2020 and recorded these convertible promissory notes at fair value with changes in fair value recorded as a component of other income (expense) in the statement of operations and comprehensive loss. We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concluded that it was appropriate to apply the fair value option to the convertible notes because there were no non-contingent beneficial conversion options related to the convertible promissory notes. As a result of applying the fair value option, direct costs and fees related to the convertible promissory notes were expensed as incurred and were not deferred. The probability-adjusted model used in valuing the fair value of our convertible debt is based on significant unobservable inputs, including but not limited to:</w:t>
      </w:r>
    </w:p>
    <w:p>
      <w:pPr>
        <w:spacing w:after="0" w:line="92" w:lineRule="exact"/>
        <w:rPr>
          <w:sz w:val="20"/>
          <w:szCs w:val="20"/>
          <w:color w:val="auto"/>
        </w:rPr>
      </w:pPr>
    </w:p>
    <w:p>
      <w:pPr>
        <w:ind w:left="1080" w:right="36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timing and probability of a qualified financing event, which is defined as financing event through the issuance of shares for total gross proceeds of at least $50.0 million in cash;</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discount rates;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fair value of the underlying convertible preferred stock.</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Increases or decreases in the fair value of the convertible promissory notes can result from updates to assumptions such as the expected timing or probability of a qualified financing event, or changes in discount rates. Judgment is used in determining these assumptions as of the initial valuation date and at each subsequent reporting period. Updates to assumptions could have a significant impact on our results of operations in any given period. The convertible promissory notes were settled in September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measure and record expense related to all equity awards granted to employees and non-employees, including stock options and restricted stock awards, based on estimated fair values as of their grant dates. For stock-based awards with service conditions only, we recognize expense on a straight-line basis over the requisite service period, which is generally the vesting period of the respective award. For awards with performance conditions, we evaluate the probability of achieving the performance conditions at each reporting date. We recognize expense using an accelerated attribution method when it is deemed probable that the performance condition will be met. For awards with both market and service vesting conditions, we recognize expenses using the accelerated attribution method over the derived requisite service period. Stock-based compensation is classified in our consolidated statements of operations and comprehensive loss based on the function to which the related services are provided and is recognized for the portion of awards that have vested. Forfeitures are accounted for as they occur.</w:t>
      </w:r>
    </w:p>
    <w:p>
      <w:pPr>
        <w:spacing w:after="0" w:line="17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fair value of restricted stock awards is determined on the date of grant based on the estimated fair value of our common stock on that date. The fair value of stock options with service vesting conditions is determined using the Black-Scholes option pricing model, which requires inputs based on certain subjective assumptions. These assumptions include:</w:t>
      </w:r>
    </w:p>
    <w:p>
      <w:pPr>
        <w:spacing w:after="0" w:line="8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130"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there is no trading history for our common stock, we have determined expected volatility based on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price volatility of comparable publicly traded companies and expect to continue to do so until such time as we have adequate historical data regarding the volatility of our own traded stock price. The comparable companies are chosen based on their similar size, stage in the life cycle or area of therapeutic focus. The historical volatility is calculated based on a period of time commensurate with the expected term assumption.</w:t>
      </w:r>
    </w:p>
    <w:p>
      <w:pPr>
        <w:spacing w:after="0" w:line="93"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our stock options is estimated using the simplified method for awards that qualify as plain-vanilla</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The simplified method calculates the expected term as the average of the time-to-vesting and the contractual life of the stock options.</w:t>
      </w:r>
    </w:p>
    <w:p>
      <w:pPr>
        <w:spacing w:after="0" w:line="89"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the U.S. Treasury yield curve in effect at the time of grant of the award for</w:t>
      </w:r>
      <w:r>
        <w:rPr>
          <w:rFonts w:ascii="Arial" w:cs="Arial" w:eastAsia="Arial" w:hAnsi="Arial"/>
          <w:sz w:val="18"/>
          <w:szCs w:val="18"/>
          <w:i w:val="1"/>
          <w:iCs w:val="1"/>
          <w:color w:val="auto"/>
        </w:rPr>
        <w:t xml:space="preserve"> </w:t>
      </w:r>
      <w:r>
        <w:rPr>
          <w:rFonts w:ascii="Arial" w:cs="Arial" w:eastAsia="Arial" w:hAnsi="Arial"/>
          <w:sz w:val="18"/>
          <w:szCs w:val="18"/>
          <w:color w:val="auto"/>
        </w:rPr>
        <w:t>time periods approximately equal to the expected term of the award.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expected dividend yield is assumed to be zero as we have never paid and have no plans to pay dividends on</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in the foreseeable future.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fair value of stock options with service and market conditions is determined using the Monte Carlo simulation model, which requires inputs based on certain subjective assumptions that determine the probability of satisfying the market condition stipulated in the award to estimate the fair value on the grant date. These assumptions include:</w:t>
      </w:r>
    </w:p>
    <w:p>
      <w:pPr>
        <w:spacing w:after="0" w:line="8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—See the subsection titled “Common Stock Valuations” below.</w:t>
      </w:r>
    </w:p>
    <w:p>
      <w:pPr>
        <w:spacing w:after="0" w:line="130"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there is no trading history for our common stock, we have determined expected volatility based on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price of comparable publicly traded companies chosen based on their similar size, stage in the life cycle or area of therapeutic focus for a period of time commensurate with the expected term assumption.</w:t>
      </w:r>
    </w:p>
    <w:p>
      <w:pPr>
        <w:spacing w:after="0" w:line="89"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Derived service periods</w:t>
      </w:r>
      <w:r>
        <w:rPr>
          <w:rFonts w:ascii="Arial" w:cs="Arial" w:eastAsia="Arial" w:hAnsi="Arial"/>
          <w:sz w:val="18"/>
          <w:szCs w:val="18"/>
          <w:color w:val="auto"/>
        </w:rPr>
        <w:t>—The derived service periods were estimated based on duration of the median path from the grant date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time each market condition is expected to be met together with the stated 24- or 36-month vesting period.</w:t>
      </w:r>
    </w:p>
    <w:p>
      <w:pPr>
        <w:spacing w:after="0" w:line="75"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—The risk-free interest rate was based on the U.S. Treasury yield curve in effect at the time of grant for time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equal to the expected term of the relevant award.</w:t>
      </w:r>
    </w:p>
    <w:p>
      <w:pPr>
        <w:spacing w:after="0" w:line="6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See Note 13 to our audited consolidated financial statements and Note 11 to our unaudited condensed consolidated financial statements included elsewhere in this prospectus for information concerning certain of the specific assumptions we used in applying the Black-Scholes option pricing model to determine the estimated fair value of our stock options granted in the periods presented. Such assumptions involve inherent uncertainties and the application of significant judgment. As a result, if factors or expected outcomes change and we use significantly different assumptions or estimates, our stock-based compensation expense could be materially different.</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intrinsic value of all outstanding options as of September 30, 2021 was $ million, based on the assumed initial public offering price of $ per share, which is the mid-point of the estimated price range set forth on the cover page of this prospectus, of which $ million is related to vested options and $ million is related to unvested options.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As there has been no public market for our common stock to date, the estimated fair value of the common stock underlying our stock options was determined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date of the grant, which intended all options granted to be exercisable at a price per share not less than the per share fair value of our common stock underlying those options on the date of grant. We believe that our board of directors has the relevant experience and expertise to determine the fair value of our common stock. Prior to our initial public offering, given the absence of a public trading market for our common stock, the valuations of our common stock were determined in accordance with the guidelines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(Practice Aid). 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74" w:lineRule="exact"/>
        <w:rPr>
          <w:sz w:val="20"/>
          <w:szCs w:val="20"/>
          <w:color w:val="auto"/>
        </w:rPr>
      </w:pPr>
    </w:p>
    <w:p>
      <w:pPr>
        <w:ind w:left="1080" w:hanging="532"/>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Current value method </w:t>
      </w:r>
      <w:r>
        <w:rPr>
          <w:rFonts w:ascii="Arial" w:cs="Arial" w:eastAsia="Arial" w:hAnsi="Arial"/>
          <w:sz w:val="18"/>
          <w:szCs w:val="18"/>
          <w:color w:val="auto"/>
        </w:rPr>
        <w:t>(CVM). Under the CVM, enterprise value is determined based on the balance sheet. This value is then first allocated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liquidation preference associated with preferred stock issued as of the valuation date, and then any residual value is assigned to the common stock.</w:t>
      </w:r>
    </w:p>
    <w:p>
      <w:pPr>
        <w:spacing w:after="0" w:line="89" w:lineRule="exact"/>
        <w:rPr>
          <w:rFonts w:ascii="Arial" w:cs="Arial" w:eastAsia="Arial" w:hAnsi="Arial"/>
          <w:sz w:val="18"/>
          <w:szCs w:val="18"/>
          <w:color w:val="auto"/>
        </w:rPr>
      </w:pPr>
    </w:p>
    <w:p>
      <w:pPr>
        <w:ind w:left="1080" w:right="320" w:hanging="532"/>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Option-pricing method </w:t>
      </w:r>
      <w:r>
        <w:rPr>
          <w:rFonts w:ascii="Arial" w:cs="Arial" w:eastAsia="Arial" w:hAnsi="Arial"/>
          <w:sz w:val="18"/>
          <w:szCs w:val="18"/>
          <w:color w:val="auto"/>
        </w:rPr>
        <w:t>(OPM). Under the OPM, shares are valued by creating a series of call options with exercise prices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preferences and conversion terms of each equity class. The estimated fair values of the preferred and common stock are inferred by analyzing these options.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Probability-weighted expected return method </w:t>
      </w:r>
      <w:r>
        <w:rPr>
          <w:rFonts w:ascii="Arial" w:cs="Arial" w:eastAsia="Arial" w:hAnsi="Arial"/>
          <w:sz w:val="18"/>
          <w:szCs w:val="18"/>
          <w:color w:val="auto"/>
        </w:rPr>
        <w:t>(PWERM)</w:t>
      </w:r>
      <w:r>
        <w:rPr>
          <w:rFonts w:ascii="Arial" w:cs="Arial" w:eastAsia="Arial" w:hAnsi="Arial"/>
          <w:sz w:val="18"/>
          <w:szCs w:val="18"/>
          <w:i w:val="1"/>
          <w:iCs w:val="1"/>
          <w:color w:val="auto"/>
        </w:rPr>
        <w:t xml:space="preserve">. </w:t>
      </w:r>
      <w:r>
        <w:rPr>
          <w:rFonts w:ascii="Arial" w:cs="Arial" w:eastAsia="Arial" w:hAnsi="Arial"/>
          <w:sz w:val="18"/>
          <w:szCs w:val="18"/>
          <w:color w:val="auto"/>
        </w:rPr>
        <w:t>The PWERM is a scenario-based analysis that estimates value per share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probability-weighted present value of expected future investment returns, considering each of the possible outcomes available to us, as well as the economic and control rights of each share class.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assumptions we use in the valuation model are based on future expectations combined with management judgment. In the absence of a public trading market, our board of directors with input from management exercised significant judgment and considered numerous objective and subjective factors to determine the fair value of our common stock as of the date of each option grant, including the following factors:</w:t>
      </w:r>
    </w:p>
    <w:p>
      <w:pPr>
        <w:spacing w:after="0" w:line="71"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contemporaneous independent valuations performed by an independent third-party valuation firm;</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prices of shares of our convertible preferred stock sold to investors in arm’s length transactions, and the rights, preferences, and privileges of our convertible preferred stock relative to our common stock;</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progress of our technology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status of strategic transactions;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a sale of our company, given prevailing market conditions;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assumptions underlying these valuations represented 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Following the closing of our initial public offering, our board of directors will determine the fair market value of our common stock based on the closing price as reported on the date of grant on the primary stock exchange on which our common stock is traded.</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For our valuations performed prior to August 2021, we determined the OPM method was the most appropriate method for determining the fair value of our common stock based on our stage of development and other relevant factors. For our valuations performed in August 2021 and subsequently, we determined a hybrid method that probability-weighted the OPM and an IPO scenario was the most appropriate method for determining the fair value of our common stock based on our stage of development and other relevant factors.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Smaller Reporting Company Elections</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those standards apply to private companies.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elected to use this extended transition period for complying with certain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or may not be comparable to companies that comply with new or revised accounting pronouncements as of public companies’ effective dates.</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elected to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460" w:firstLine="440"/>
        <w:spacing w:after="0" w:line="301" w:lineRule="auto"/>
        <w:rPr>
          <w:sz w:val="20"/>
          <w:szCs w:val="20"/>
          <w:color w:val="auto"/>
        </w:rPr>
      </w:pPr>
      <w:r>
        <w:rPr>
          <w:rFonts w:ascii="Arial" w:cs="Arial" w:eastAsia="Arial" w:hAnsi="Arial"/>
          <w:sz w:val="16"/>
          <w:szCs w:val="16"/>
          <w:color w:val="auto"/>
        </w:rPr>
        <w:t>We held cash of $439.1 million as of September 30, 2021 deposited with several financial institutions that may exceed the Federal Deposit Insurance Corporation’s insurance limits. Historical fluctuations in interest rates have not been significant for us and we do not believe that a hypothetical 1% change in market interest rates during any of the periods presented would have had a material effect on our consolidated financial statements included elsewhere in this prospectus. We had no outstanding debt as of December 31, 2020 or September 30, 2021.</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See Note 2 to our audited consolidated financial statements and our unaudited condensed consolidated financial statements included elsewhere in this prospectus for more information about recent accounting pronouncements, the timing of their adoption, and our assessment, to the extent we have made one yet, of their potential impact on our consolidated financial condition or results of operation.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are in the midst of a global brain disease crisis that is having a profound, enduring impact on patients, their families and society. Neuropsychiatric disorders and neurodegenerative diseases affect approximately 1.5 billion individuals globally, are typically chronic and progressive in nature and are associated with significant disability and a reduced quality of life. Over $110 billion is estimated to have been spent on neuroscience research and development since 2019 in the United States alone, representing approximately 33% of all disease-specific spending. However, only approximately 12% of all new therapies approved during that time period have been for the treatment of brain diseases. We believe the relative lack of progress and innovation within the broader central nervous system (CNS) landscape is due in large part to the complex, heterogeneous nature of such diseases, which makes defining patient populations and matching them with appropriate therapies challenging. As a result, patients, families and communities affected by brain diseases have been left behind.</w:t>
      </w:r>
    </w:p>
    <w:p>
      <w:pPr>
        <w:spacing w:after="0" w:line="178" w:lineRule="exact"/>
        <w:rPr>
          <w:sz w:val="20"/>
          <w:szCs w:val="20"/>
          <w:color w:val="auto"/>
        </w:rPr>
      </w:pPr>
    </w:p>
    <w:p>
      <w:pPr>
        <w:ind w:left="120" w:right="280" w:firstLine="440"/>
        <w:spacing w:after="0" w:line="254" w:lineRule="auto"/>
        <w:rPr>
          <w:sz w:val="20"/>
          <w:szCs w:val="20"/>
          <w:color w:val="auto"/>
        </w:rPr>
      </w:pPr>
      <w:r>
        <w:rPr>
          <w:rFonts w:ascii="Arial" w:cs="Arial" w:eastAsia="Arial" w:hAnsi="Arial"/>
          <w:sz w:val="18"/>
          <w:szCs w:val="18"/>
          <w:color w:val="auto"/>
        </w:rPr>
        <w:t>The time has come to take a fundamentally different approach to the way treatments for brain diseases are developed. We founded Neumora to pioneer a new era of “precision neuroscience” medicines using our proprietary approach that leverages recent advances in data science and artificial intelligence and machine learning (AI/ML) technology to cut through the heterogeneity inherent in brain disease. By approaching patient enrichment and clinical development strategies through this lens, we aim to match the right patient populations to the right targeted therapeutics, thereby driving innovation and the potential for clinical success in this field and, ultimately, provide better therapies to patients. Our goal is to build a global, fully integrated precision neuroscience company that is purpose-built at scale to achieve our ambitious mission of conquering one of the greatest medical challenges of our generation.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 clinical-stage biotechnology company pioneering a precision medicine approach for brain diseases through the integration of data science and neuroscience. High failure rates have plagued neuroscience drug development for decades, contributing to a lack of targeted, effective medicines for brain diseases. Our approach aims to redefine neuroscience research and development by applying proprietary AI/ML methods to multimodal patient datasets in order to match defined patient populations with targeted therapeutics designed to address the underlying drivers of their disease. We believe our precision neuroscience approach will help us to cut through patient heterogeneity, thereby providing the potential to increase the probability of clinical success and improve patient outcomes. Through our internal discovery efforts and business development activities, we have rapidly scaled a pipeline currently consisting of eight clinical and preclinical precision neuroscience programs targeting a broad range of underserved neuropsychiatric disorders and neurodegenerative diseases. Our team unites some of the world’s leading data scientists, neuroscience drug developers and company builders to usher in a new era of precision neuroscience and to accelerate the development of novel therapies for patients and families affected by brain diseases.</w:t>
      </w:r>
    </w:p>
    <w:p>
      <w:pPr>
        <w:spacing w:after="0" w:line="185"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Patients with common neuropsychiatric disorders and neurodegenerative diseases, such as depression, schizophrenia, Parkinson’s disease and Alzheimer’s disease, can present with diverse symptoms and have multiple underlying disease drivers. However, despite the inherent heterogeneity of these disorders, patients are diagnosed based on broad disease classifications defined by subjective clinical symptoms rather than specific underlying genetics and biological mechanisms. As a result, clinical development in neuroscience to date has taken a “one-size-fits-all” based approach, where the inability to enrich for homogeneous cohorts of patients has led to a lower rate of clinical success.</w:t>
      </w:r>
    </w:p>
    <w:p>
      <w:pPr>
        <w:spacing w:after="0" w:line="176"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Recent advancements in oncology provide a relevant analog for the impact of applying data-driven, precision medicine approaches to improve patient outcomes. For decades, cancers were classified based primarily on the affected organs, as researchers did not have the tools or technologies to develop effective treatments targeting the biological drivers of these malignancies. However, through the clinical implementation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of biopsies, high-throughput sequencing and the advancement in data science tools, the oncology field developed the ability to define cancers more precisely based on the rich insights generated from these data. Our goal is to extend a similar data-driven, precision approach for the treatment of brain diseases that leverages recent advancements in data science techniques to gain insight into the complex drivers of brain disease.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Precision Neuroscience Approach</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taking a data-driven precision neuroscience approach to match the right patients to the right</w:t>
      </w:r>
    </w:p>
    <w:p>
      <w:pPr>
        <w:spacing w:after="0" w:line="23"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targeted therapeutics. Our platform is powered by advanced proprietary AI/ML methods that integrate and analyze datapoints from individual patients across multiple modalities of data to create what we refer to as “Data Biopsy Signatures,” which represent maps of underlying disease mechanisms. Our platform then leverages these Data Biopsy Signatures to inform clinically relevant homogeneous patient populations, which we refer to as “Precision Phenotypes.” These Precision Phenotypes serve as guides to match the right patients to the right targeted therapeutic. We believe we are the only company applying this approach, which has the potential to redefine neuroscience research and development, thereby increasing the probability of clinical success and creating more therapeutics that drive patient impact to address the global brain crisis.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precision neuroscience approach has four key components:</w:t>
      </w:r>
    </w:p>
    <w:p>
      <w:pPr>
        <w:spacing w:after="0" w:line="113" w:lineRule="exact"/>
        <w:rPr>
          <w:sz w:val="20"/>
          <w:szCs w:val="20"/>
          <w:color w:val="auto"/>
        </w:rPr>
      </w:pPr>
    </w:p>
    <w:p>
      <w:pPr>
        <w:ind w:left="120" w:right="220" w:firstLine="436"/>
        <w:spacing w:after="0" w:line="266" w:lineRule="auto"/>
        <w:tabs>
          <w:tab w:leader="none" w:pos="81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Inputs: </w:t>
      </w:r>
      <w:r>
        <w:rPr>
          <w:rFonts w:ascii="Arial" w:cs="Arial" w:eastAsia="Arial" w:hAnsi="Arial"/>
          <w:sz w:val="18"/>
          <w:szCs w:val="18"/>
          <w:color w:val="auto"/>
        </w:rPr>
        <w:t>Multimodal patient datasets collected from public, partnered and internally generated proprietary sources, currently encompassing a</w:t>
      </w:r>
      <w:r>
        <w:rPr>
          <w:rFonts w:ascii="Arial" w:cs="Arial" w:eastAsia="Arial" w:hAnsi="Arial"/>
          <w:sz w:val="18"/>
          <w:szCs w:val="18"/>
          <w:b w:val="1"/>
          <w:bCs w:val="1"/>
          <w:color w:val="auto"/>
        </w:rPr>
        <w:t xml:space="preserve"> </w:t>
      </w:r>
      <w:r>
        <w:rPr>
          <w:rFonts w:ascii="Arial" w:cs="Arial" w:eastAsia="Arial" w:hAnsi="Arial"/>
          <w:sz w:val="18"/>
          <w:szCs w:val="18"/>
          <w:color w:val="auto"/>
        </w:rPr>
        <w:t>library of billions of datapoints across five data modalities: genetic, imaging, electroencephalogram (EEG), digital and clinical, which we collect and ingest, or “onboard”;</w:t>
      </w:r>
    </w:p>
    <w:p>
      <w:pPr>
        <w:spacing w:after="0" w:line="67" w:lineRule="exact"/>
        <w:rPr>
          <w:rFonts w:ascii="Arial" w:cs="Arial" w:eastAsia="Arial" w:hAnsi="Arial"/>
          <w:sz w:val="18"/>
          <w:szCs w:val="18"/>
          <w:color w:val="auto"/>
        </w:rPr>
      </w:pPr>
    </w:p>
    <w:p>
      <w:pPr>
        <w:ind w:left="120" w:right="540" w:firstLine="436"/>
        <w:spacing w:after="0" w:line="282" w:lineRule="auto"/>
        <w:tabs>
          <w:tab w:leader="none" w:pos="81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Infrastructure: </w:t>
      </w:r>
      <w:r>
        <w:rPr>
          <w:rFonts w:ascii="Arial" w:cs="Arial" w:eastAsia="Arial" w:hAnsi="Arial"/>
          <w:sz w:val="18"/>
          <w:szCs w:val="18"/>
          <w:color w:val="auto"/>
        </w:rPr>
        <w:t>A data science platform that leverages proprietary AI/ML methods supported by a robust technology stack to organize,</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 process and analyze the onboarded data;</w:t>
      </w:r>
    </w:p>
    <w:p>
      <w:pPr>
        <w:spacing w:after="0" w:line="53" w:lineRule="exact"/>
        <w:rPr>
          <w:rFonts w:ascii="Arial" w:cs="Arial" w:eastAsia="Arial" w:hAnsi="Arial"/>
          <w:sz w:val="18"/>
          <w:szCs w:val="18"/>
          <w:color w:val="auto"/>
        </w:rPr>
      </w:pPr>
    </w:p>
    <w:p>
      <w:pPr>
        <w:ind w:left="120" w:right="260" w:firstLine="436"/>
        <w:spacing w:after="0" w:line="282" w:lineRule="auto"/>
        <w:tabs>
          <w:tab w:leader="none" w:pos="81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Integration: </w:t>
      </w:r>
      <w:r>
        <w:rPr>
          <w:rFonts w:ascii="Arial" w:cs="Arial" w:eastAsia="Arial" w:hAnsi="Arial"/>
          <w:sz w:val="18"/>
          <w:szCs w:val="18"/>
          <w:color w:val="auto"/>
        </w:rPr>
        <w:t>The application of our proprietary AI/ML methods to transform the rich multimodal patient datapoints drawn from our library</w:t>
      </w:r>
      <w:r>
        <w:rPr>
          <w:rFonts w:ascii="Arial" w:cs="Arial" w:eastAsia="Arial" w:hAnsi="Arial"/>
          <w:sz w:val="18"/>
          <w:szCs w:val="18"/>
          <w:b w:val="1"/>
          <w:bCs w:val="1"/>
          <w:color w:val="auto"/>
        </w:rPr>
        <w:t xml:space="preserve"> </w:t>
      </w:r>
      <w:r>
        <w:rPr>
          <w:rFonts w:ascii="Arial" w:cs="Arial" w:eastAsia="Arial" w:hAnsi="Arial"/>
          <w:sz w:val="18"/>
          <w:szCs w:val="18"/>
          <w:color w:val="auto"/>
        </w:rPr>
        <w:t>into Data Biopsy Signatures that inform Precision Phenotypes; and</w:t>
      </w:r>
    </w:p>
    <w:p>
      <w:pPr>
        <w:spacing w:after="0" w:line="53" w:lineRule="exact"/>
        <w:rPr>
          <w:rFonts w:ascii="Arial" w:cs="Arial" w:eastAsia="Arial" w:hAnsi="Arial"/>
          <w:sz w:val="18"/>
          <w:szCs w:val="18"/>
          <w:color w:val="auto"/>
        </w:rPr>
      </w:pPr>
    </w:p>
    <w:p>
      <w:pPr>
        <w:ind w:left="120" w:right="160" w:firstLine="436"/>
        <w:spacing w:after="0" w:line="282" w:lineRule="auto"/>
        <w:tabs>
          <w:tab w:leader="none" w:pos="81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Output: </w:t>
      </w:r>
      <w:r>
        <w:rPr>
          <w:rFonts w:ascii="Arial" w:cs="Arial" w:eastAsia="Arial" w:hAnsi="Arial"/>
          <w:sz w:val="18"/>
          <w:szCs w:val="18"/>
          <w:color w:val="auto"/>
        </w:rPr>
        <w:t>Therapeutic applications that leverage insights from our Precision Phenotypes to develop precision therapeutics that are targeted for</w:t>
      </w:r>
      <w:r>
        <w:rPr>
          <w:rFonts w:ascii="Arial" w:cs="Arial" w:eastAsia="Arial" w:hAnsi="Arial"/>
          <w:sz w:val="18"/>
          <w:szCs w:val="18"/>
          <w:b w:val="1"/>
          <w:bCs w:val="1"/>
          <w:color w:val="auto"/>
        </w:rPr>
        <w:t xml:space="preserve"> </w:t>
      </w:r>
      <w:r>
        <w:rPr>
          <w:rFonts w:ascii="Arial" w:cs="Arial" w:eastAsia="Arial" w:hAnsi="Arial"/>
          <w:sz w:val="18"/>
          <w:szCs w:val="18"/>
          <w:color w:val="auto"/>
        </w:rPr>
        <w:t>distinct populations of patients who are more likely to respond.</w:t>
      </w:r>
    </w:p>
    <w:p>
      <w:pPr>
        <w:spacing w:after="0" w:line="16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plan to generate therapeutic applications to match the right patients to the right targeted therapeutics in three different ways: (i) by creating a drug signature for an existing program, which we refer to as a “pharmacological fingerprint,” that can inform or align to a Precision Phenotype; (ii) by identifying novel targets through insights generated from our Precision Phenotypes, thus creating new programs; or (iii) by leveraging insights generated from our Precision Phenotypes to create new business development opportunities. As the last step in our precision development process, we intend to use the insights from Precision Phenotypes to inform the design of our clinical trials.</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approach has been created through the tight integration of our data science and neuroscience expertise and our proprietary platform is protected by a broad and multi-faceted intellectual property portfolio. We believe our approach yields a powerful data flywheel of learning that positions us to generate a proprietary and dynamic “encyclopedia” of Precision Phenotypes across a broad range of neuropsychiatric disorders and neurodegenerative diseases in a repeatable and scalable manner to guide the development of novel precision therapeutics.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203190" cy="22885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0319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Precision Neuroscience Pipeline</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building a broad pipeline of novel precision medicine candidates for neuropsychiatric disorders and neurodegenerative diseases, each with a targeted approach to development. Our precision neuroscience approach is flexible, and we are able to apply it in a modular fashion, which allows us to tailor our approach to both internal or external programs and at any stage of development. Since inception, we have rapidly scaled our pipeline through both internal discovery and external business development efforts. To date, our disclosed pipeline comprises nine programs, with two in clinical development, one in investigational new drug (IND)-enabling studies and six in the discovery 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-15875</wp:posOffset>
            </wp:positionV>
            <wp:extent cx="4800600" cy="32486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006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b w:val="1"/>
          <w:bCs w:val="1"/>
          <w:i w:val="1"/>
          <w:iCs w:val="1"/>
          <w:color w:val="auto"/>
        </w:rPr>
        <w:t xml:space="preserve">NMRA-140 </w:t>
      </w:r>
      <w:r>
        <w:rPr>
          <w:rFonts w:ascii="Arial" w:cs="Arial" w:eastAsia="Arial" w:hAnsi="Arial"/>
          <w:sz w:val="16"/>
          <w:szCs w:val="16"/>
          <w:color w:val="auto"/>
        </w:rPr>
        <w:t>is an investigational antagonist of the kappa opioid receptor (KOR) in development for the treatment of major depressive disorder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(MDD), which is a chronic neuropsychiatric disorder with significant unmet need given that nearly 70% of MDD patients fail to achieve remission with first-line treatment. The KOR/dynorphin system is a well-characterized pathway known to modulate depressive-like states. We believe that defining a precision subset of patients with MDD will identify those more likely to respond to a KOR antagonist. When we acquired BlackThorn Therapeutics, Inc. (BlackThorn) in September 2020, BlackThorn had initiated a Phase 2a clinical trial of BTRX-335140, now known as NMRA-140, in adult patients with MDD. This Phase 2a clinical trial was initiated as a double-blind, placebo-controlled, randomized trial of NMRA-140 in 120 patients. We subsequently modified the trial to generate more unique data by increasing the target enrollment to 180 patients and added additional digital instrumentation to further augment and support our precision neuroscience approach. We have also created our OPRK1 (the gene encoding KOR) genetic-prediction model, which we intend to apply to peripheral DNA samples collected from patients enrolled in the trial. We plan to leverage the genetic, digital and clinical data generated from this trial to support future clinical development of NMRA-140. We anticipate topline results from the current trial will be available in</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NMRA-511 </w:t>
      </w:r>
      <w:r>
        <w:rPr>
          <w:rFonts w:ascii="Arial" w:cs="Arial" w:eastAsia="Arial" w:hAnsi="Arial"/>
          <w:sz w:val="16"/>
          <w:szCs w:val="16"/>
          <w:color w:val="auto"/>
        </w:rPr>
        <w:t>is an investigational antagonist of vasopressin 1a receptor (V1aR). Vasopressin plays a role in the regulation of aggression, affiliation,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stress and anxiety response. Based on our encouraging preclinical findings in non-human primates as well as preclinical and clinical results from third parties, we believe V1aR has the potential to be a promising novel target for multiple neuropsychiatric disorders across the spectrum of anxiety, aggression and stress. Given the pan-diagnostic potential of this target, our approach is to quantify the neural signature that is reactive to a V1aR antagonist, which will define the pharmacological fingerprint. We completed a phase 1a clinical study of NMRA-511 in February 2021.</w:t>
      </w:r>
    </w:p>
    <w:p>
      <w:pPr>
        <w:spacing w:after="0" w:line="161"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b w:val="1"/>
          <w:bCs w:val="1"/>
          <w:i w:val="1"/>
          <w:iCs w:val="1"/>
          <w:color w:val="auto"/>
        </w:rPr>
        <w:t xml:space="preserve">NMRA-094 </w:t>
      </w:r>
      <w:r>
        <w:rPr>
          <w:rFonts w:ascii="Arial" w:cs="Arial" w:eastAsia="Arial" w:hAnsi="Arial"/>
          <w:sz w:val="16"/>
          <w:szCs w:val="16"/>
          <w:color w:val="auto"/>
        </w:rPr>
        <w:t>is an investigational dual antagonist of H1/5-HT2A receptors that we are developing for the treatment of low arousal threshold-obstructive sleep apnea (LAT-OSA). Approximately 40% of obstructive sleep apnea (OSA) patients have a phenotype of excessive sleep fragmentation, which is characterized by numerous brief arousals and awakenings that disrupt restorative sleep due to interruptions in airflow. Sleep fragmentation is associated with increased risk of cardiovascular disease and all-cause mortality. Histamine and 5-HT are two critical arousal mechanisms in the CNS, and their antagonism is believed to reduce sleep fragmentation. Patients with excessive sleep fragmentation have a low arousal threshold (LAT), which can be quantified by polysomnographic measures, which are multimodal measures of brain activity such as blood pressure, oxygen levels, heart rate, breathing rate and eye and leg movements used to diagnose sleep disorders. We will identify a Precision Phenotype of the LAT-OSA population through multimodal clinical measures, including polysomnography in our Phase 1 clinical trials for NMRA-094. We expect to initiate a Phase 1 clinical trial for</w:t>
      </w:r>
    </w:p>
    <w:p>
      <w:pPr>
        <w:spacing w:after="0" w:line="1" w:lineRule="exact"/>
        <w:rPr>
          <w:sz w:val="20"/>
          <w:szCs w:val="20"/>
          <w:color w:val="auto"/>
        </w:rPr>
      </w:pPr>
    </w:p>
    <w:p>
      <w:pPr>
        <w:ind w:left="120"/>
        <w:spacing w:after="0"/>
        <w:tabs>
          <w:tab w:leader="none" w:pos="1920" w:val="left"/>
        </w:tabs>
        <w:rPr>
          <w:sz w:val="20"/>
          <w:szCs w:val="20"/>
          <w:color w:val="auto"/>
        </w:rPr>
      </w:pPr>
      <w:r>
        <w:rPr>
          <w:rFonts w:ascii="Arial" w:cs="Arial" w:eastAsia="Arial" w:hAnsi="Arial"/>
          <w:sz w:val="18"/>
          <w:szCs w:val="18"/>
          <w:color w:val="auto"/>
        </w:rPr>
        <w:t>NMRA-094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NMRA-M4R </w:t>
      </w:r>
      <w:r>
        <w:rPr>
          <w:rFonts w:ascii="Arial" w:cs="Arial" w:eastAsia="Arial" w:hAnsi="Arial"/>
          <w:sz w:val="16"/>
          <w:szCs w:val="16"/>
          <w:color w:val="auto"/>
        </w:rPr>
        <w:t>is a program that we intend to develop for the treatment of schizophrenia and other neuropsychiatric disorders. We are focused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development of novel positive allosteric modulators of the muscarinic acetylcholine 4 receptor subtype, or M4R. Our M4R positive allosteric modulator program is designed to be highly selective for the M4 receptor subtype of the muscarinic receptor family. Muscarinic receptor-targeting compounds have achieved clinical validation as an approach to treating schizophrenia, with potential to treat other neuropsychiatric disorders such as dementia-related psychosis and cognitive disorders, where innovation has been stagnant for decades. Selective M4R receptor positive allosteric modulators have the potential to deliver the anti-psychotic efficacy associated with targeting this receptor subtype, while minimizing the side effects associated with current antipsychotics and other non-selective muscarinic agonists. We are generating Precision Phenotypes for schizophrenia from our integrated multimodal datasets and are in the process of creating a pharmacological fingerprint for our NMRA-M4R program, which we will then align with a Precision Phenotype for future development. Our NMRA-M4R program is in the discovery phase of development. We exclusively licensed certain intellectual property rights related to NMRA-M4R from Vanderbilt University.</w:t>
      </w:r>
    </w:p>
    <w:p>
      <w:pPr>
        <w:spacing w:after="0" w:line="16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NMRA-CK1</w:t>
      </w:r>
      <w:r>
        <w:rPr>
          <w:rFonts w:ascii="Arial" w:cs="Arial" w:eastAsia="Arial" w:hAnsi="Arial"/>
          <w:sz w:val="18"/>
          <w:szCs w:val="18"/>
          <w:color w:val="auto"/>
        </w:rPr>
        <w:t>d is a CK1 inhibitor program that we intend to develop for amyotrophic lateral sclerosis (ALS). CK1 is a kinase that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identified as a conductor of the process known as phosphorylation, which is the addition of a phosphate group to a molecule, in a protein known as TDP-43 that is closely linked to ALS.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Phosphorylation is a key driver of TDP-43-driven pathology in approximately 95% of sporadic ALS cases. There is also genetic evidence linking TDP-43 to both familial and sporadic ALS. We are generating Precision Phenotypes for ALS from our integrated multimodal datasets and are in the process of creating a pharmacological fingerprint for our NMRA-CK1d program, which we will then align with a Precision Phenotype for future development. Our NMRA-CK1d program is in the discovery phase of development, and we may seek to identify other potential Precision Phenotypes associated with TDP-43-driven pathologies beyond ALS.</w:t>
      </w:r>
    </w:p>
    <w:p>
      <w:pPr>
        <w:spacing w:after="0" w:line="188" w:lineRule="exact"/>
        <w:rPr>
          <w:sz w:val="20"/>
          <w:szCs w:val="20"/>
          <w:color w:val="auto"/>
        </w:rPr>
      </w:pPr>
    </w:p>
    <w:p>
      <w:pPr>
        <w:jc w:val="both"/>
        <w:ind w:left="120" w:right="480" w:firstLine="440"/>
        <w:spacing w:after="0" w:line="287" w:lineRule="auto"/>
        <w:rPr>
          <w:sz w:val="20"/>
          <w:szCs w:val="20"/>
          <w:color w:val="auto"/>
        </w:rPr>
      </w:pPr>
      <w:r>
        <w:rPr>
          <w:rFonts w:ascii="Arial" w:cs="Arial" w:eastAsia="Arial" w:hAnsi="Arial"/>
          <w:sz w:val="16"/>
          <w:szCs w:val="16"/>
          <w:b w:val="1"/>
          <w:bCs w:val="1"/>
          <w:i w:val="1"/>
          <w:iCs w:val="1"/>
          <w:color w:val="auto"/>
        </w:rPr>
        <w:t xml:space="preserve">NMRA-GRIN2A </w:t>
      </w:r>
      <w:r>
        <w:rPr>
          <w:rFonts w:ascii="Arial" w:cs="Arial" w:eastAsia="Arial" w:hAnsi="Arial"/>
          <w:sz w:val="16"/>
          <w:szCs w:val="16"/>
          <w:color w:val="auto"/>
        </w:rPr>
        <w:t>is a program that we intend to develop for the treatment of schizophrenia. We are focused on the development of positive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allosteric modulators, which are molecules that bind to a distinct site of a target protein and thereby increase its function or activity. Our GRIN2A positive allosteric modulator program is designed to be selective for the GluN2A receptor subunit of the N-methyl-D-aspartate (NMDA) receptor.</w:t>
      </w:r>
    </w:p>
    <w:p>
      <w:pPr>
        <w:spacing w:after="0" w:line="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Recent breakthroughs in psychiatric genetic studies have provided genetic evidence in support of the role of GRIN2A in schizophrenia. Furthermore, human studies suggest NMDA receptor antagonists (e.g., ketamine) lead to a schizophrenia-like syndrome, which provides compelling evidence for this target. We are generating Precision Phenotypes for schizophrenia from our integrated multimodal datasets and are in the process of creating a pharmacological fingerprint for our NMRA-GRIN2A program, which we will then align with a Precision Phenotype for future development. Our NMRA-GRIN2A program is in the discovery phase of development.</w:t>
      </w:r>
    </w:p>
    <w:p>
      <w:pPr>
        <w:spacing w:after="0" w:line="191"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b w:val="1"/>
          <w:bCs w:val="1"/>
          <w:i w:val="1"/>
          <w:iCs w:val="1"/>
          <w:color w:val="auto"/>
        </w:rPr>
        <w:t xml:space="preserve">NMRA-GRIN2B </w:t>
      </w:r>
      <w:r>
        <w:rPr>
          <w:rFonts w:ascii="Arial" w:cs="Arial" w:eastAsia="Arial" w:hAnsi="Arial"/>
          <w:sz w:val="18"/>
          <w:szCs w:val="18"/>
          <w:color w:val="auto"/>
        </w:rPr>
        <w:t>is a program we intend to develop for subpopulations of patients with MDD. We are focused on the development of negative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allosteric modulators, which are molecules that bind to a distinct site of a target protein and decrease its function or activity. Our GRIN2B negative allosteric modulator program is designed to be selective for the GluN2B receptor subunit of the NMDA receptor. Non-selective antagonism of the NMDA receptor is a clinically validated approach for a subpopulation of MDD, as evidenced by the approval of SPRAVATO (esketamine). Previous GRIN2B-selective approaches have inferred the same clinical efficacy as non-selective agents, but with less risk of dissociative side effects. We are generating Precision Phenotypes for MDD from our integrated multimodal datasets, which we will then align with the pharmacological fingerprint for our NMRA-GRIN2B program to define a Precision Phenotype for future development. Our NMRA-GRIN2B program is in the discovery phase of development.</w:t>
      </w:r>
    </w:p>
    <w:p>
      <w:pPr>
        <w:spacing w:after="0" w:line="19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NMRA-NLRP3 </w:t>
      </w:r>
      <w:r>
        <w:rPr>
          <w:rFonts w:ascii="Arial" w:cs="Arial" w:eastAsia="Arial" w:hAnsi="Arial"/>
          <w:sz w:val="17"/>
          <w:szCs w:val="17"/>
          <w:color w:val="auto"/>
        </w:rPr>
        <w:t>is an inhibitor program focused on targeting the NLRP3 inflammasome for the treatment of certain neurodegenerative conditions.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inflammasome is a critical part of the innate immune system that responds to pathogens and cellular damage and is implicated in brain disorders, such as Parkinson’s disease (PD), as well as immune disorders. The NLRP3 inflammasome can be activated in brain microglia, a type of cell in the brain, and other cell types by a range of proteins linked to neurodegeneration, including alpha-synuclein (a neuronal protein that regulates synaptic vesicle trafficking), which suggests the inflammasome may have a mechanistic role in PD. We are generating Precision Phenotypes for PD from our integrated multimodal datasets, which we will then align with the pharmacological fingerprint for our NMRA-NLRP3 program to define a Precision Phenotype for future development. Our NMRA-NLRP3 program is in the discovery phase of development.</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NMRA-GCase </w:t>
      </w:r>
      <w:r>
        <w:rPr>
          <w:rFonts w:ascii="Arial" w:cs="Arial" w:eastAsia="Arial" w:hAnsi="Arial"/>
          <w:sz w:val="18"/>
          <w:szCs w:val="18"/>
          <w:color w:val="auto"/>
        </w:rPr>
        <w:t>is an activator program focused on elevating the activity of the enzyme glucocerebrocidase (GCase) that we intend to develop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treatment of PD. Mutations in the GBA gene, which codes for the enzyme GCase, are the single largest genetic risk factor for PD. GCase deficiencies lead to storage disorders of the lysosome, which plays an important role in maintaining cellular balance, and a subgroup of patients with PD have lysosomal dysfunction. Leveraging the work from our NMRA-NLRP3 program, we are generating Precision Phenotypes for PD from our integrated multimodal datasets, which we will then align with our NMRA-GCase program to define a Precision Phenotype for future development. Our NMRA-GCase program is in the discovery phase of development.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 and Investors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people are the backbone of the company and our most important asset. We have assembled a diverse team of experienced company builders, leading neuroscience drug developers and data scientists, complemented by world-class scientific and technical advisors and a board of directors and investors. This group shares a long-term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vision to position us to execute on our mission to build a “precision neuroscience” company that is fundamentally shifting the approach to discovering and developing therapeutics for brain diseases.</w:t>
      </w:r>
    </w:p>
    <w:p>
      <w:pPr>
        <w:spacing w:after="0" w:line="76" w:lineRule="exact"/>
        <w:rPr>
          <w:sz w:val="20"/>
          <w:szCs w:val="20"/>
          <w:color w:val="auto"/>
        </w:rPr>
      </w:pPr>
    </w:p>
    <w:p>
      <w:pPr>
        <w:ind w:left="1080" w:right="100" w:hanging="532"/>
        <w:spacing w:after="0" w:line="291"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Experienced Company Builders. </w:t>
      </w:r>
      <w:r>
        <w:rPr>
          <w:rFonts w:ascii="Arial" w:cs="Arial" w:eastAsia="Arial" w:hAnsi="Arial"/>
          <w:sz w:val="16"/>
          <w:szCs w:val="16"/>
          <w:color w:val="auto"/>
        </w:rPr>
        <w:t>We have multiple individuals with experience building disruptive biotechnology companies.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Co-Founder, and Chief Executive Officer and Chairman of our board of directors, Paul Berns, is a Managing Director at ARCH Venture Partners and was previously the President, Chief Executive Officer and Chairman of the Board of Anacor Pharmaceuticals, acquired by Pfizer in 2016. Our President and Chief Operating Officer, Lori Lyons-Williams, previously served as Chief Commercial Officer at Dermira, acquired by Eli Lilly in 2020. Carol Suh, our Co-Founder and Vice President of Business Development, is a Partner at ARCH Venture Partners and has built a number of biotechnology companies. Dr. Joshua Pinto serves as our Chief Financial Officer and, from his time as an investment banker at Credit Suisse, has experience advising leading biotechnology companies across their life cycles.</w:t>
      </w:r>
    </w:p>
    <w:p>
      <w:pPr>
        <w:spacing w:after="0" w:line="71" w:lineRule="exact"/>
        <w:rPr>
          <w:rFonts w:ascii="Arial" w:cs="Arial" w:eastAsia="Arial" w:hAnsi="Arial"/>
          <w:sz w:val="16"/>
          <w:szCs w:val="16"/>
          <w:color w:val="auto"/>
        </w:rPr>
      </w:pPr>
    </w:p>
    <w:p>
      <w:pPr>
        <w:jc w:val="both"/>
        <w:ind w:left="1080" w:right="100" w:hanging="532"/>
        <w:spacing w:after="0" w:line="287"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Leading Neuroscience Drug Developers. </w:t>
      </w:r>
      <w:r>
        <w:rPr>
          <w:rFonts w:ascii="Arial" w:cs="Arial" w:eastAsia="Arial" w:hAnsi="Arial"/>
          <w:sz w:val="16"/>
          <w:szCs w:val="16"/>
          <w:color w:val="auto"/>
        </w:rPr>
        <w:t>Our scientific leadership team includes world-class scientists with extensive neuroscience drug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experience. Dr. John Dunlop, our Head of Research and Development, previously served as Vice President at Amgen, where he led the neuroscience research program, and prior to that was the Vice President and Head of Neuroscience at AstraZeneca and Pfizer.</w:t>
      </w:r>
    </w:p>
    <w:p>
      <w:pPr>
        <w:spacing w:after="0" w:line="2" w:lineRule="exact"/>
        <w:rPr>
          <w:rFonts w:ascii="Arial" w:cs="Arial" w:eastAsia="Arial" w:hAnsi="Arial"/>
          <w:sz w:val="16"/>
          <w:szCs w:val="16"/>
          <w:color w:val="auto"/>
        </w:rPr>
      </w:pPr>
    </w:p>
    <w:p>
      <w:pPr>
        <w:ind w:left="1080" w:right="200"/>
        <w:spacing w:after="0" w:line="281" w:lineRule="auto"/>
        <w:rPr>
          <w:rFonts w:ascii="Arial" w:cs="Arial" w:eastAsia="Arial" w:hAnsi="Arial"/>
          <w:sz w:val="16"/>
          <w:szCs w:val="16"/>
          <w:color w:val="auto"/>
        </w:rPr>
      </w:pPr>
      <w:r>
        <w:rPr>
          <w:rFonts w:ascii="Arial" w:cs="Arial" w:eastAsia="Arial" w:hAnsi="Arial"/>
          <w:sz w:val="16"/>
          <w:szCs w:val="16"/>
          <w:color w:val="auto"/>
        </w:rPr>
        <w:t>Our Chief Medical Officer, Dr. Jane Tiller held several positions at Bristol Myers Squibb including Vice President of Global Medical for Neuroscience, Virology &amp; Immunoscience. Prior to that, Dr. Tiller served as Vice President of Neuroscience and Pain at Cephalon.</w:t>
      </w:r>
    </w:p>
    <w:p>
      <w:pPr>
        <w:spacing w:after="0" w:line="1" w:lineRule="exact"/>
        <w:rPr>
          <w:rFonts w:ascii="Arial" w:cs="Arial" w:eastAsia="Arial" w:hAnsi="Arial"/>
          <w:sz w:val="16"/>
          <w:szCs w:val="16"/>
          <w:color w:val="auto"/>
        </w:rPr>
      </w:pPr>
    </w:p>
    <w:p>
      <w:pPr>
        <w:ind w:left="1080" w:right="120"/>
        <w:spacing w:after="0" w:line="323" w:lineRule="auto"/>
        <w:rPr>
          <w:rFonts w:ascii="Arial" w:cs="Arial" w:eastAsia="Arial" w:hAnsi="Arial"/>
          <w:sz w:val="16"/>
          <w:szCs w:val="16"/>
          <w:color w:val="auto"/>
        </w:rPr>
      </w:pPr>
      <w:r>
        <w:rPr>
          <w:rFonts w:ascii="Arial" w:cs="Arial" w:eastAsia="Arial" w:hAnsi="Arial"/>
          <w:sz w:val="16"/>
          <w:szCs w:val="16"/>
          <w:color w:val="auto"/>
        </w:rPr>
        <w:t>Dr. Nick Brandon, our Chief Scientific Officer, previously served as Chief Scientist of AstraZeneca’s Neuroscience Innovative Medicines and Early Development Division, as well as Head of Psychiatry and Behavioral Disorders in Pfizer’s Neuroscience Research Unit.</w:t>
      </w:r>
    </w:p>
    <w:p>
      <w:pPr>
        <w:spacing w:after="0" w:line="43" w:lineRule="exact"/>
        <w:rPr>
          <w:rFonts w:ascii="Arial" w:cs="Arial" w:eastAsia="Arial" w:hAnsi="Arial"/>
          <w:sz w:val="16"/>
          <w:szCs w:val="16"/>
          <w:color w:val="auto"/>
        </w:rPr>
      </w:pPr>
    </w:p>
    <w:p>
      <w:pPr>
        <w:ind w:left="1080" w:right="80" w:hanging="532"/>
        <w:spacing w:after="0" w:line="255"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Expert Data Scientists. </w:t>
      </w:r>
      <w:r>
        <w:rPr>
          <w:rFonts w:ascii="Arial" w:cs="Arial" w:eastAsia="Arial" w:hAnsi="Arial"/>
          <w:sz w:val="18"/>
          <w:szCs w:val="18"/>
          <w:color w:val="auto"/>
        </w:rPr>
        <w:t>Our Chief Data Sciences Officer, Dr. John Reynders, leads our team of data scientists. Dr. Reynders is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experienced data scientist with over two decades of experience in computational science and its integration in the drug development process. He has served as Vice President of Data Science, Genomics and Bioinformatics at Alexion Pharmaceuticals, Founding Chief Information Officer at Moderna Therapeutics and Head of Neuroscience Biomarkers and Integrative Solutions at Johnson &amp; Johnson. Our Vice President, Head of Data Sciences, Dr. Andrew Jaffe, is a leader in the field of computational neurogenetics and was previously an associate professor at Johns Hopkins University.</w:t>
      </w:r>
    </w:p>
    <w:p>
      <w:pPr>
        <w:spacing w:after="0" w:line="97"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Scientific and Technical Advisory Boards. </w:t>
      </w:r>
      <w:r>
        <w:rPr>
          <w:rFonts w:ascii="Arial" w:cs="Arial" w:eastAsia="Arial" w:hAnsi="Arial"/>
          <w:sz w:val="18"/>
          <w:szCs w:val="18"/>
          <w:color w:val="auto"/>
        </w:rPr>
        <w:t>We have built a scientific advisory board with research and drug development expertise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spanning molecular genetics, neurobiology, molecular cell biology, neural circuitry, medicinal chemistry, translational medicine and the development of statistical methodologies across a broad spectrum of neuropsychiatric disorders and neurodegenerative diseases. We have also established a technical advisory board with expertise that includes computational and cognitive neuroscience, brain behavior mapping, the identification of biomarkers and treatment response, and the application of data science, AI/ML and digital tools to the development and delivery of therapeutics.</w:t>
      </w:r>
    </w:p>
    <w:p>
      <w:pPr>
        <w:spacing w:after="0" w:line="97" w:lineRule="exact"/>
        <w:rPr>
          <w:rFonts w:ascii="Arial" w:cs="Arial" w:eastAsia="Arial" w:hAnsi="Arial"/>
          <w:sz w:val="18"/>
          <w:szCs w:val="18"/>
          <w:color w:val="auto"/>
        </w:rPr>
      </w:pPr>
    </w:p>
    <w:p>
      <w:pPr>
        <w:ind w:left="1080" w:right="280" w:hanging="532"/>
        <w:spacing w:after="0" w:line="279"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Board of Directors and Investors with Shared Long-Term Vision. </w:t>
      </w:r>
      <w:r>
        <w:rPr>
          <w:rFonts w:ascii="Arial" w:cs="Arial" w:eastAsia="Arial" w:hAnsi="Arial"/>
          <w:sz w:val="17"/>
          <w:szCs w:val="17"/>
          <w:color w:val="auto"/>
        </w:rPr>
        <w:t>Our board of directors is comprised of renowned company builders,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operators, leaders, scientists, drug developers and investors with experience across a diverse array of companies. We have raised over $500 million of capital as of September 30, 2021. We are supported by a group of leading institutional investors and our strategic collaborator, Amgen, who share our vision of building a groundbreaking, precision neuroscience company.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are taking a fundamentally different approach to the way treatments for brain diseases are developed across neuropsychiatric disorders and neurodegenerative diseases. Our mission is to usher in a new era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precision neuroscience to transform care for patients and families affected by these diseases. The key components of our business strategy to deliver on our mission are to:</w:t>
      </w:r>
    </w:p>
    <w:p>
      <w:pPr>
        <w:spacing w:after="0" w:line="76" w:lineRule="exact"/>
        <w:rPr>
          <w:sz w:val="20"/>
          <w:szCs w:val="20"/>
          <w:color w:val="auto"/>
        </w:rPr>
      </w:pPr>
    </w:p>
    <w:p>
      <w:pPr>
        <w:ind w:left="1080" w:right="100" w:hanging="532"/>
        <w:spacing w:after="0" w:line="271"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a leading global precision neuroscience company to revolutionize the treatment of brain diseases. </w:t>
      </w:r>
      <w:r>
        <w:rPr>
          <w:rFonts w:ascii="Arial" w:cs="Arial" w:eastAsia="Arial" w:hAnsi="Arial"/>
          <w:sz w:val="17"/>
          <w:szCs w:val="17"/>
          <w:color w:val="auto"/>
        </w:rPr>
        <w:t>We founded Neumora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pioneer a new era of precision neuroscience medicines that aims to improve the standard of care for patients with brain diseases. By leveraging our proprietary data sciences platform to deconvolve the inherent heterogeneity of these diseases, we are advancing a pipeline of product candidates for large, underserved patient populations with neuropsychiatric disorders and neurodegenerative diseases. We plan to supplement our current pipeline through strategic transactions and business development, and, as our pipeline and capabilities mature over time, become the partner of choice for neuroscience-focused companies. Our company is being built to operate at scale, and we will continue to invest in our technology and infrastructure to support our goal of driving global impact for patients, families and communities affected by brain diseases.</w:t>
      </w:r>
    </w:p>
    <w:p>
      <w:pPr>
        <w:spacing w:after="0" w:line="83" w:lineRule="exact"/>
        <w:rPr>
          <w:rFonts w:ascii="Arial" w:cs="Arial" w:eastAsia="Arial" w:hAnsi="Arial"/>
          <w:sz w:val="17"/>
          <w:szCs w:val="17"/>
          <w:color w:val="auto"/>
        </w:rPr>
      </w:pPr>
    </w:p>
    <w:p>
      <w:pPr>
        <w:ind w:left="1080" w:right="100" w:hanging="532"/>
        <w:spacing w:after="0" w:line="293"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Create a dynamic encyclopedia of Precision Phenotypes across neuropsychiatric disorders and neurodegenerative diseases, which will serve as a proprietary roadmap for therapeutic application. </w:t>
      </w:r>
      <w:r>
        <w:rPr>
          <w:rFonts w:ascii="Arial" w:cs="Arial" w:eastAsia="Arial" w:hAnsi="Arial"/>
          <w:sz w:val="16"/>
          <w:szCs w:val="16"/>
          <w:color w:val="auto"/>
        </w:rPr>
        <w:t>Our scalable precision neuroscience platform integrates multiple modalities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data into Data Biopsy Signatures to identify and define patient subtypes through the development of homogeneous patient populations and the translation of those populations to Precision Phenotypes. We are creating an encyclopedia of Precision Phenotypes across neuropsychiatric disorders and neurodegenerative diseases that will serve as a proprietary roadmap that we can use to match the right patients to the right targeted therapeutics in a repeatable and scalable fashion.</w:t>
      </w:r>
    </w:p>
    <w:p>
      <w:pPr>
        <w:spacing w:after="0" w:line="69" w:lineRule="exact"/>
        <w:rPr>
          <w:rFonts w:ascii="Arial" w:cs="Arial" w:eastAsia="Arial" w:hAnsi="Arial"/>
          <w:sz w:val="16"/>
          <w:szCs w:val="16"/>
          <w:color w:val="auto"/>
        </w:rPr>
      </w:pPr>
    </w:p>
    <w:p>
      <w:pPr>
        <w:ind w:left="1080" w:hanging="532"/>
        <w:spacing w:after="0" w:line="275"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an industry-leading pipeline of precision neuroscience therapeutics. </w:t>
      </w:r>
      <w:r>
        <w:rPr>
          <w:rFonts w:ascii="Arial" w:cs="Arial" w:eastAsia="Arial" w:hAnsi="Arial"/>
          <w:sz w:val="17"/>
          <w:szCs w:val="17"/>
          <w:color w:val="auto"/>
        </w:rPr>
        <w:t>Our data science approach objectively defines Precision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Phenotypes to inform the patient selection process in advance of lengthy and costly proof of concept and pivotal clinical trials. This data science driven approach allows us to design our clinical development programs by targeting upfront the patient populations that we believe will respond most favorably. We are applying this approach to more efficiently prioritize and develop our current pipeline of eight programs. We will also use this approach to inform our discovery, translational and clinical strategies.</w:t>
      </w:r>
    </w:p>
    <w:p>
      <w:pPr>
        <w:spacing w:after="0" w:line="81" w:lineRule="exact"/>
        <w:rPr>
          <w:rFonts w:ascii="Arial" w:cs="Arial" w:eastAsia="Arial" w:hAnsi="Arial"/>
          <w:sz w:val="17"/>
          <w:szCs w:val="17"/>
          <w:color w:val="auto"/>
        </w:rPr>
      </w:pPr>
    </w:p>
    <w:p>
      <w:pPr>
        <w:ind w:left="1080" w:right="140" w:hanging="532"/>
        <w:spacing w:after="0" w:line="272"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Continually evaluate strategic external opportunities to maximize our patient impact. </w:t>
      </w:r>
      <w:r>
        <w:rPr>
          <w:rFonts w:ascii="Arial" w:cs="Arial" w:eastAsia="Arial" w:hAnsi="Arial"/>
          <w:sz w:val="17"/>
          <w:szCs w:val="17"/>
          <w:color w:val="auto"/>
        </w:rPr>
        <w:t>To maximize the value of our data science driven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we will not be constrained solely to the development of internally discovered assets. We believe our precision neuroscience platform has the potential to identify Precision Phenotypes that may be applicable to partnered programs. We will continue to actively evaluate in- and out-licensing opportunities, strategic collaborations and corporate acquisitions to optimize our product pipeline, enhance our data science platform and leverage our encyclopedia of Precision Phenotypes to pioneer a new era of “precision neuroscience” medicines for patients. To further our goal of delivering transformative therapies to the broadest possible patient population, we intend to become a global, fully integrated precision neuroscience company.</w:t>
      </w:r>
    </w:p>
    <w:p>
      <w:pPr>
        <w:spacing w:after="0" w:line="82" w:lineRule="exact"/>
        <w:rPr>
          <w:rFonts w:ascii="Arial" w:cs="Arial" w:eastAsia="Arial" w:hAnsi="Arial"/>
          <w:sz w:val="17"/>
          <w:szCs w:val="17"/>
          <w:color w:val="auto"/>
        </w:rPr>
      </w:pPr>
    </w:p>
    <w:p>
      <w:pPr>
        <w:ind w:left="1080" w:right="40" w:hanging="532"/>
        <w:spacing w:after="0" w:line="293"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Further enhance our intellectual property portfolio to protect our precision neuroscience platform by covering our molecules, AI/ML methods and Precision Phenotypes. </w:t>
      </w:r>
      <w:r>
        <w:rPr>
          <w:rFonts w:ascii="Arial" w:cs="Arial" w:eastAsia="Arial" w:hAnsi="Arial"/>
          <w:sz w:val="16"/>
          <w:szCs w:val="16"/>
          <w:color w:val="auto"/>
        </w:rPr>
        <w:t>Our intellectual property estate is broad and multi-faceted. Our molecule patents include composition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matter and method of treatment patents that span a diverse set of targets and indications. Our AI/ML patents cover key artificial intelligence algorithms and machine learning-based processes for discovering, diagnosing and monitoring Precision Phenotypes from multimodal data. Our Precision Phenotypes are protected by biomarker patents that cover methods of diagnosing and treating the relevant patients with our molecules, which uniquely extends and enhances the patent lifecycle for our programs.</w:t>
      </w:r>
    </w:p>
    <w:p>
      <w:pPr>
        <w:spacing w:after="0" w:line="16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company has been purpose-built at scale to achieve our ambitious mission of changing the paradigm for developing treatments for diseases of the brain. We intend to continue to invest at scale in our platform, our people and our programs to achieve our goal of building a global, fully integrated precision neuroscience company.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 and Historical Challenges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market for therapeutics for brain diseases is large, accounting for more than $80 billion in worldwide revenue in 2020. However, approximately half of the patient population suffering from brain diseases remains underserved due to poor efficacy and side-effect profiles of existing therapeutics. For example, depression is an underserved neuropsychiatric disorder that is estimated to affect 5% of the global adult population, approximately one-third of such patients are resistant to current treatment options, leading to devastating effects in the quality of life of these patients and their families.</w:t>
      </w:r>
    </w:p>
    <w:p>
      <w:pPr>
        <w:spacing w:after="0" w:line="18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human brain is complex – it possesses a large number of cell types and has diverse signaling pathways and intricate neural circuitry – factors that make it challenging to gain a deep understanding of the underlying drivers of brain disease. Historical and current attempts at developing effective therapeutics for brain diseases have been focused on targeting patients who are classified by broad symptomatic domains. This “all comers” approach ignores the reality that different causal mechanisms may relate to the same brain disease – which we refer to as the heterogeneity problem. This paradigm has made the process of choosing, measuring and interpreting clinical endpoints with the most relevance difficult. The challenge is exacerbated during later stages of clinical development as therapies advance into larger trials which are lengthy and costly.</w:t>
      </w:r>
    </w:p>
    <w:p>
      <w:pPr>
        <w:spacing w:after="0" w:line="16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heterogeneity problem affecting brain diseases has contributed to high clinical failure rates in this field. Additionally, from 2006 to 2015, clinical trial success rates for new drug candidates targeting broad neuropsychiatric disorders and other neuro-related diseases were approximately 6% and 8%, respectively, compared to success rates as high as 26% for certain other indications.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While the patient heterogeneity problem is not confined to brain diseases, other therapeutic areas, such as oncology, have developed data-driven, precision medicine approaches to enrich for homogeneous patient populations (e.g., tissue biopsies), which are not practical for brain diseases. The inability to enrich for homogeneous cohorts of patients has led to high failure rates, large trials, and long timelines relative to other therapeutic areas. To address this challenge in neuroscience drug development and recapitulate the data-driven success we have seen in other therapeutic areas, a precision medicine approach is needed.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Precision Neuroscience Approach</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taking a data-driven precision neuroscience approach to match the right patients to the right targeted therapeutics. Our platform is powered by advanced proprietary AI/ML methods that integrate and analyze datapoints from individual patients across multiple modalities of data to create what we refer to as “Data Biopsy Signatures,” which represent maps of underlying disease mechanisms. Our platform then leverages these Data Biopsy Signatures to inform clinically relevant homogeneous patient populations, which we refer to as “Precision Phenotypes.” These Precision Phenotypes serve as guides to match the right patients to the right targeted therapeutic. We believe we are the only company applying this approach, which has the potential to redefine neuroscience research and development, thereby increasing the probability of clinical success and creating more therapeutics that drive patient impact to address the global brain crisis.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precision neuroscience approach has four key components:</w:t>
      </w:r>
    </w:p>
    <w:p>
      <w:pPr>
        <w:spacing w:after="0" w:line="221" w:lineRule="exact"/>
        <w:rPr>
          <w:sz w:val="20"/>
          <w:szCs w:val="20"/>
          <w:color w:val="auto"/>
        </w:rPr>
      </w:pPr>
    </w:p>
    <w:p>
      <w:pPr>
        <w:ind w:left="120" w:right="200" w:firstLine="436"/>
        <w:spacing w:after="0" w:line="347" w:lineRule="auto"/>
        <w:tabs>
          <w:tab w:leader="none" w:pos="815"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Inputs</w:t>
      </w:r>
      <w:r>
        <w:rPr>
          <w:rFonts w:ascii="Arial" w:cs="Arial" w:eastAsia="Arial" w:hAnsi="Arial"/>
          <w:sz w:val="16"/>
          <w:szCs w:val="16"/>
          <w:color w:val="auto"/>
        </w:rPr>
        <w:t>: Multimodal patient datasets collected from public, partnered and internally generated proprietary sources, currently encompassing a</w:t>
      </w:r>
      <w:r>
        <w:rPr>
          <w:rFonts w:ascii="Arial" w:cs="Arial" w:eastAsia="Arial" w:hAnsi="Arial"/>
          <w:sz w:val="16"/>
          <w:szCs w:val="16"/>
          <w:b w:val="1"/>
          <w:bCs w:val="1"/>
          <w:color w:val="auto"/>
        </w:rPr>
        <w:t xml:space="preserve"> </w:t>
      </w:r>
      <w:r>
        <w:rPr>
          <w:rFonts w:ascii="Arial" w:cs="Arial" w:eastAsia="Arial" w:hAnsi="Arial"/>
          <w:sz w:val="16"/>
          <w:szCs w:val="16"/>
          <w:color w:val="auto"/>
        </w:rPr>
        <w:t>library of billions of datapoints across five data modalities: genetic, imaging, EEG, digital and clinical, which we collect and ingest, or “onboard”;</w:t>
      </w:r>
    </w:p>
    <w:p>
      <w:pPr>
        <w:spacing w:after="0" w:line="115" w:lineRule="exact"/>
        <w:rPr>
          <w:rFonts w:ascii="Arial" w:cs="Arial" w:eastAsia="Arial" w:hAnsi="Arial"/>
          <w:sz w:val="16"/>
          <w:szCs w:val="16"/>
          <w:color w:val="auto"/>
        </w:rPr>
      </w:pPr>
    </w:p>
    <w:p>
      <w:pPr>
        <w:ind w:left="120" w:right="520" w:firstLine="436"/>
        <w:spacing w:after="0" w:line="282" w:lineRule="auto"/>
        <w:tabs>
          <w:tab w:leader="none" w:pos="81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Infrastructur</w:t>
      </w:r>
      <w:r>
        <w:rPr>
          <w:rFonts w:ascii="Arial" w:cs="Arial" w:eastAsia="Arial" w:hAnsi="Arial"/>
          <w:sz w:val="18"/>
          <w:szCs w:val="18"/>
          <w:color w:val="auto"/>
        </w:rPr>
        <w:t>e: A data science platform that leverages proprietary AI/ML methods supported by a robust technology stack to organize,</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 process and analyze the onboarded data;</w:t>
      </w:r>
    </w:p>
    <w:p>
      <w:pPr>
        <w:spacing w:after="0" w:line="161" w:lineRule="exact"/>
        <w:rPr>
          <w:rFonts w:ascii="Arial" w:cs="Arial" w:eastAsia="Arial" w:hAnsi="Arial"/>
          <w:sz w:val="18"/>
          <w:szCs w:val="18"/>
          <w:color w:val="auto"/>
        </w:rPr>
      </w:pPr>
    </w:p>
    <w:p>
      <w:pPr>
        <w:ind w:left="120" w:right="260" w:firstLine="436"/>
        <w:spacing w:after="0" w:line="282" w:lineRule="auto"/>
        <w:tabs>
          <w:tab w:leader="none" w:pos="815"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The application of our proprietary AI/ML methods to transform the rich multimodal patient datapoints drawn from our library</w:t>
      </w:r>
      <w:r>
        <w:rPr>
          <w:rFonts w:ascii="Arial" w:cs="Arial" w:eastAsia="Arial" w:hAnsi="Arial"/>
          <w:sz w:val="18"/>
          <w:szCs w:val="18"/>
          <w:b w:val="1"/>
          <w:bCs w:val="1"/>
          <w:color w:val="auto"/>
        </w:rPr>
        <w:t xml:space="preserve"> </w:t>
      </w:r>
      <w:r>
        <w:rPr>
          <w:rFonts w:ascii="Arial" w:cs="Arial" w:eastAsia="Arial" w:hAnsi="Arial"/>
          <w:sz w:val="18"/>
          <w:szCs w:val="18"/>
          <w:color w:val="auto"/>
        </w:rPr>
        <w:t>into Data Biopsy Signatures that inform Precision Phenotypes; and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60" w:firstLine="436"/>
        <w:spacing w:after="0" w:line="282" w:lineRule="auto"/>
        <w:tabs>
          <w:tab w:leader="none" w:pos="815"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Output</w:t>
      </w:r>
      <w:r>
        <w:rPr>
          <w:rFonts w:ascii="Arial" w:cs="Arial" w:eastAsia="Arial" w:hAnsi="Arial"/>
          <w:sz w:val="18"/>
          <w:szCs w:val="18"/>
          <w:color w:val="auto"/>
        </w:rPr>
        <w:t>: Therapeutic applications that leverage insights from our Precision Phenotypes to develop precision therapeutics that are targeted for</w:t>
      </w:r>
      <w:r>
        <w:rPr>
          <w:rFonts w:ascii="Arial" w:cs="Arial" w:eastAsia="Arial" w:hAnsi="Arial"/>
          <w:sz w:val="18"/>
          <w:szCs w:val="18"/>
          <w:b w:val="1"/>
          <w:bCs w:val="1"/>
          <w:color w:val="auto"/>
        </w:rPr>
        <w:t xml:space="preserve"> </w:t>
      </w:r>
      <w:r>
        <w:rPr>
          <w:rFonts w:ascii="Arial" w:cs="Arial" w:eastAsia="Arial" w:hAnsi="Arial"/>
          <w:sz w:val="18"/>
          <w:szCs w:val="18"/>
          <w:color w:val="auto"/>
        </w:rPr>
        <w:t>distinct populations of patients who are more likely to respond.</w:t>
      </w:r>
    </w:p>
    <w:p>
      <w:pPr>
        <w:spacing w:after="0" w:line="16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plan to generate therapeutic applications to match the right patients to the right targeted therapeutics in three different ways: (i) by creating a drug signature for an existing program, which we refer to as a “pharmacological fingerprint,” that can inform or align to a Precision Phenotype; (ii) by identifying novel targets through insights generated from our Precision Phenotypes, thus creating new programs; or (iii) by leveraging insights generated from our Precision Phenotypes to create new business development opportunities. As the last step in our precision development process, we intend to use the insights from Precision Phenotypes to inform the design of our clinical trials.</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approach has been created through the tight integration of our data science and neuroscience expertise and our proprietary platform is protected by a broad and multi-faceted intellectual property portfolio. We believe our approach yields a powerful data flywheel of learning that positions us to generate a proprietary and dynamic “encyclopedia” of Precision Phenotypes across a broad range of neuropsychiatric disorders and neurodegenerative diseases in a repeatable and scalable manner to guide the development of novel precision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-19050</wp:posOffset>
            </wp:positionV>
            <wp:extent cx="5203190" cy="22891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03190"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Inputs: Our Vast Library of Multimodal Patient Datasets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Our approach starts with the collection and ingestion, or “onboarding,” of multimodal patient datasets. Multimodal data means multiple types of data, which currently includes genomic, imaging, EEG, digital and clinical data collected from both single patients and unique cohorts of patients. We believe that multimodal data is critical for precision neuroscience because it enables us to use multiple lenses of data and insights to cut through the complexity of brain disorders. Interrogating multiple types of data and linking disparate modes of systems-level and patient-level data, provide more opportunities to identify distinct characteristics that define patient groups. This enables a more comprehensive and precise understanding of the distinct disease drivers of that patient group.</w:t>
      </w:r>
    </w:p>
    <w:p>
      <w:pPr>
        <w:spacing w:after="0" w:line="19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Our platform has integrated billions of unique patient data points across modalities. Notably, our data platform is dynamic and scalable which allows us to add other data or modalities as they become available. We will continue to enhance our data library to build a robust collection of multimodal patient datasets across neuropsychiatric disorders and neurodegenerative diseases.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collect our datasets from three sources: publicly available datasets, partnerships and the generation of proprietary datasets.</w:t>
      </w:r>
    </w:p>
    <w:p>
      <w:pPr>
        <w:spacing w:after="0" w:line="131" w:lineRule="exact"/>
        <w:rPr>
          <w:sz w:val="20"/>
          <w:szCs w:val="20"/>
          <w:color w:val="auto"/>
        </w:rPr>
      </w:pPr>
    </w:p>
    <w:p>
      <w:pPr>
        <w:ind w:left="1080" w:right="320" w:hanging="532"/>
        <w:spacing w:after="0" w:line="275"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Public datasets: To date, we have onboarded over 600 terabytes of longitudinal multimodal data. These longitudinal datasets consist of genetic, imaging, EEG, digital and clinical data across a range of neuropsychiatric disorders and neurodegenerative diseases, including schizophrenia, depression, anxiety, bipolar, ALS and PD. As the quality, quantity and availability of multimodal data continues to accelerate at a rapid pace, we believe our platform puts us in a unique position to onboard these datasets as they become available and continuously update and expand our proprietary encyclopedia of Precision Phenotypes.</w:t>
      </w:r>
    </w:p>
    <w:p>
      <w:pPr>
        <w:spacing w:after="0" w:line="81" w:lineRule="exact"/>
        <w:rPr>
          <w:rFonts w:ascii="Arial" w:cs="Arial" w:eastAsia="Arial" w:hAnsi="Arial"/>
          <w:sz w:val="17"/>
          <w:szCs w:val="17"/>
          <w:color w:val="auto"/>
        </w:rPr>
      </w:pPr>
    </w:p>
    <w:p>
      <w:pPr>
        <w:ind w:left="1080" w:right="40" w:hanging="532"/>
        <w:spacing w:after="0" w:line="255"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Partnered datasets: We will look to external partners such as academic institutions, hospital systems, governments, healthcare technology platform companies and commercial partners for additional sources of data to support our efforts. We will look to either onboard partnered data or work with partners to interrogate their data and inform unique insights about Precision Phenotypes for neuropsychiatric disorders and neurodegenerative diseases. For example, as part of our strategic collaboration with Amgen, we are working with deCODE genetics to interrogate their industry-leading genetics and human research capabilities to help inform unique insights into Precision Phenotypes in the neuroscience field.</w:t>
      </w:r>
    </w:p>
    <w:p>
      <w:pPr>
        <w:spacing w:after="0" w:line="97" w:lineRule="exact"/>
        <w:rPr>
          <w:rFonts w:ascii="Arial" w:cs="Arial" w:eastAsia="Arial" w:hAnsi="Arial"/>
          <w:sz w:val="18"/>
          <w:szCs w:val="18"/>
          <w:color w:val="auto"/>
        </w:rPr>
      </w:pPr>
    </w:p>
    <w:p>
      <w:pPr>
        <w:ind w:left="1080" w:hanging="532"/>
        <w:spacing w:after="0" w:line="311"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Proprietary datasets: We currently generate proprietary data in three ways: (i) through our clinical trials; (ii) through the use of translational screening platforms; and (iii) derived data via the application of our proprietary, multimodal AI/ML methods to all of our data sources. Each of these data generation processes creates a feedback learning loop that improves and informs our multimodal, AI/ML methods.</w:t>
      </w:r>
    </w:p>
    <w:p>
      <w:pPr>
        <w:spacing w:after="0" w:line="14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Once the data is onboarded, there is a critical set of steps to organize, or stage, the data to enable our AI/ML analysis. In particular, we stage the data to enable the access and movement of large amounts (terabyte scale) of data around our cloud in a secure, fast, cost-effective fashion, which is a prerequisite to enable data analysis. To achieve this, we utilize staging technologies designed to optimize the flow and accessibility of data in our cloud-based system. Through our data engineering capabilities, we have created a streamlined process for rapidly onboarding and staging complex multimodal data, which has decreased our lead time to initiate data analysis from weeks to days. We are then able to leverage this onboarded and staged data to support multiple programs both within and across indications.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Infrastructure: Our Proprietary AI/ML Methods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have built a suite of tools in a cloud-enabled infrastructure that is the backbone for our precision neuroscience approach and has been built to support analytics across all of our programs. The infrastructure utilizes proprietary unimodal feature engineering algorithms and proprietary multimodal AI/ML methods that include integration, clustering, and end-to-end optimization capabilities that are supported by our technology stack. To date, we have logged over 1.5 million super-computing hours across our projects, demonstrating the scale of our infrastructure and capabilities.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Proprietary Unimodal Feature Engineering Algorithms</w:t>
      </w:r>
    </w:p>
    <w:p>
      <w:pPr>
        <w:spacing w:after="0" w:line="117" w:lineRule="exact"/>
        <w:rPr>
          <w:sz w:val="20"/>
          <w:szCs w:val="20"/>
          <w:color w:val="auto"/>
        </w:rPr>
      </w:pPr>
    </w:p>
    <w:p>
      <w:pPr>
        <w:ind w:left="120" w:right="500" w:firstLine="440"/>
        <w:spacing w:after="0" w:line="279" w:lineRule="auto"/>
        <w:rPr>
          <w:sz w:val="20"/>
          <w:szCs w:val="20"/>
          <w:color w:val="auto"/>
        </w:rPr>
      </w:pPr>
      <w:r>
        <w:rPr>
          <w:rFonts w:ascii="Arial" w:cs="Arial" w:eastAsia="Arial" w:hAnsi="Arial"/>
          <w:sz w:val="17"/>
          <w:szCs w:val="17"/>
          <w:color w:val="auto"/>
        </w:rPr>
        <w:t>We have built proprietary unimodal feature engineering algorithms with an initial focus on genetic, imaging, EEG, digital and clinical data modalities. In this step, we design features for each modality best able to discern clinically relevant differences in patient populations. The feature engineering algorithms prepare and optimize the features for multimodal AI/ML analysis. The table below is a summary of our current feature engineering capabilities across the five initial modalities: genetic, imaging, EEG, clinical and digital.</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42602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Figure 3: Proprietary unimodal feature engineering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Proprietary Multimodal AI/ML Methods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Once we have identified unimodal features, the data is ready for multimodal analyses. We have built proprietary AI/ML capabilities to integrate the unimodal features extracted through the feature engineering process into a compact, multimodal representation that integrates clinical and biological information across multiple data modalities for each patient. We use hypothesis-free, unsupervised AI/ML methods to enable the data to assign these patients into homogeneous subgroups of the broader heterogeneous population in an unbiased way. Below are the key proprietary AI/ML capabilities that we are developing:</w:t>
      </w:r>
    </w:p>
    <w:p>
      <w:pPr>
        <w:spacing w:after="0" w:line="93" w:lineRule="exact"/>
        <w:rPr>
          <w:sz w:val="20"/>
          <w:szCs w:val="20"/>
          <w:color w:val="auto"/>
        </w:rPr>
      </w:pPr>
    </w:p>
    <w:p>
      <w:pPr>
        <w:ind w:left="1080" w:right="46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Deep Neural Networks: We use deep neural networks to combine each of the unimodal data components into a compact multimodal representation that highlights the most important factors of differentiation for each patient.</w:t>
      </w:r>
    </w:p>
    <w:p>
      <w:pPr>
        <w:spacing w:after="0" w:line="75" w:lineRule="exact"/>
        <w:rPr>
          <w:rFonts w:ascii="Arial" w:cs="Arial" w:eastAsia="Arial" w:hAnsi="Arial"/>
          <w:sz w:val="18"/>
          <w:szCs w:val="18"/>
          <w:color w:val="auto"/>
        </w:rPr>
      </w:pPr>
    </w:p>
    <w:p>
      <w:pPr>
        <w:ind w:left="1080" w:right="420" w:hanging="532"/>
        <w:spacing w:after="0" w:line="342"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Spectral Clustering Algorithms: We use proprietary clustering algorithms to group the integrated multimodal data into homogeneous subsets of patients. Our clustering techniques are designed to ensure cluster stability, robustness and interpretability.</w:t>
      </w:r>
    </w:p>
    <w:p>
      <w:pPr>
        <w:spacing w:after="0" w:line="29" w:lineRule="exact"/>
        <w:rPr>
          <w:rFonts w:ascii="Arial" w:cs="Arial" w:eastAsia="Arial" w:hAnsi="Arial"/>
          <w:sz w:val="16"/>
          <w:szCs w:val="16"/>
          <w:color w:val="auto"/>
        </w:rPr>
      </w:pPr>
    </w:p>
    <w:p>
      <w:pPr>
        <w:ind w:left="5480" w:right="400" w:hanging="4932"/>
        <w:spacing w:after="0" w:line="449" w:lineRule="auto"/>
        <w:tabs>
          <w:tab w:leader="none" w:pos="1079"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Alignment Techniques: We will align our Precision Phenotypes with pharmacological fingerprints using end-to-end AI/ML methods. 130</w:t>
      </w:r>
    </w:p>
    <w:p>
      <w:pPr>
        <w:sectPr>
          <w:pgSz w:w="11900" w:h="16838" w:orient="portrait"/>
          <w:cols w:equalWidth="0" w:num="1">
            <w:col w:w="11060"/>
          </w:cols>
          <w:pgMar w:left="320" w:top="459" w:right="51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Projection Techniques: We intend to map insights leveraged from our Precision Phenotype to clinical trial inclusion/exclusion criterion and diagnostic practice by using AI/ML methods which match data dimensions to standard clinical measures.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Cloud-Driven Technology Stack</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To support our data science platform, we have assembled a cloud-driven technology stack that is purpose-built to enable the unimodal and multimodal components of our platform. Our technology stack spans eight areas:</w:t>
      </w:r>
    </w:p>
    <w:p>
      <w:pPr>
        <w:spacing w:after="0" w:line="76" w:lineRule="exact"/>
        <w:rPr>
          <w:sz w:val="20"/>
          <w:szCs w:val="20"/>
          <w:color w:val="auto"/>
        </w:rPr>
      </w:pPr>
    </w:p>
    <w:p>
      <w:pPr>
        <w:ind w:left="1080" w:right="60" w:hanging="532"/>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Cloud Engines: Utilizing both the Amazon AWS and Google Cloud platforms, we leverage cloud solutions to enable an agile and scalable high-performance computing environment for our precision platform.</w:t>
      </w:r>
    </w:p>
    <w:p>
      <w:pPr>
        <w:spacing w:after="0" w:line="75" w:lineRule="exact"/>
        <w:rPr>
          <w:rFonts w:ascii="Arial" w:cs="Arial" w:eastAsia="Arial" w:hAnsi="Arial"/>
          <w:sz w:val="18"/>
          <w:szCs w:val="18"/>
          <w:color w:val="auto"/>
        </w:rPr>
      </w:pPr>
    </w:p>
    <w:p>
      <w:pPr>
        <w:ind w:left="1080" w:right="320" w:hanging="532"/>
        <w:spacing w:after="0" w:line="308"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High Performance Storage: The data-intensive nature of our algorithms requires storage systems with low-latency and high-bandwidth integrated with high-performance computing clusters to enable computational throughput for our precision platform.</w:t>
      </w:r>
    </w:p>
    <w:p>
      <w:pPr>
        <w:spacing w:after="0" w:line="51" w:lineRule="exact"/>
        <w:rPr>
          <w:rFonts w:ascii="Arial" w:cs="Arial" w:eastAsia="Arial" w:hAnsi="Arial"/>
          <w:sz w:val="17"/>
          <w:szCs w:val="17"/>
          <w:color w:val="auto"/>
        </w:rPr>
      </w:pPr>
    </w:p>
    <w:p>
      <w:pPr>
        <w:jc w:val="both"/>
        <w:ind w:left="1080" w:right="540" w:hanging="532"/>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HW Acceleration: Graphic Processing Units (GPUs) are superior to Central Processing Units (CPUs) for many neural network and associated AI/ML calculations in our platform. Our cloud solution enables on-demand provisioning of GPU clusters to enable burst hardware accelerated high-performance computing throughput for our algorithms.</w:t>
      </w:r>
    </w:p>
    <w:p>
      <w:pPr>
        <w:spacing w:after="0" w:line="89" w:lineRule="exact"/>
        <w:rPr>
          <w:rFonts w:ascii="Arial" w:cs="Arial" w:eastAsia="Arial" w:hAnsi="Arial"/>
          <w:sz w:val="18"/>
          <w:szCs w:val="18"/>
          <w:color w:val="auto"/>
        </w:rPr>
      </w:pPr>
    </w:p>
    <w:p>
      <w:pPr>
        <w:jc w:val="both"/>
        <w:ind w:left="1080" w:right="160" w:hanging="532"/>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Computational Orchestration: The unimodal feature engineering and multimodal AI/ML components of our platform are each comprised of multiple computational modules which are coordinated and run in parallel through an orchestration layer. This enables the modules to sequence, share, and output their collective calculations into an integrated set of results.</w:t>
      </w:r>
    </w:p>
    <w:p>
      <w:pPr>
        <w:spacing w:after="0" w:line="89"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Data Staging: In concert with computational orchestration, data staging is a series of processes which configure data in optimal support of computational requirements, flowing data between high-performance storage, high-resilience storage, and long-term storage to balance speed and cost.</w:t>
      </w:r>
    </w:p>
    <w:p>
      <w:pPr>
        <w:spacing w:after="0" w:line="89" w:lineRule="exact"/>
        <w:rPr>
          <w:rFonts w:ascii="Arial" w:cs="Arial" w:eastAsia="Arial" w:hAnsi="Arial"/>
          <w:sz w:val="18"/>
          <w:szCs w:val="18"/>
          <w:color w:val="auto"/>
        </w:rPr>
      </w:pPr>
    </w:p>
    <w:p>
      <w:pPr>
        <w:ind w:left="1080" w:right="120" w:hanging="532"/>
        <w:spacing w:after="0" w:line="308"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Scalable DB Query: Some aspects of our system require very large out-of-core relational database queries against multi-terabyte datasets, which leverage the Google Cloud BigQuery environment to ensure rapid return of large-scale data queries.</w:t>
      </w:r>
    </w:p>
    <w:p>
      <w:pPr>
        <w:spacing w:after="0" w:line="51" w:lineRule="exact"/>
        <w:rPr>
          <w:rFonts w:ascii="Arial" w:cs="Arial" w:eastAsia="Arial" w:hAnsi="Arial"/>
          <w:sz w:val="17"/>
          <w:szCs w:val="17"/>
          <w:color w:val="auto"/>
        </w:rPr>
      </w:pPr>
    </w:p>
    <w:p>
      <w:pPr>
        <w:ind w:left="1080" w:right="200" w:hanging="532"/>
        <w:spacing w:after="0" w:line="34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Service Layer: The complexity of our system is managed by enabling the reuse of common elements and components across our environment through a service layer providing standardized and reusable algorithmic, integration, query, and data management services.</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Monitoring: The throughput, uptime, and cost of the system is managed through multiple layers of monitoring to track in real-time and optimize CPU/GPU, network, and storage utilization across the entire cloud environment.</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technology stack we built enables fast and flexible scaling of storage and compute resources to manage the complex flow of modeling and analytics required through all stages of our precision neuroscience platform. By leveraging cloud solutions, we can provision super-computer scale throughput, including hardware acceleration of neural network methods, and integrate these systems with high-performance data storage systems, all on-demand. This enables a balance of high-throughput and cost-effective computation to drive our precision platform and its application across multiple programs and projects.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Integration: Transforming Rich Multimodal Patient Data into Data Biopsy Signatures and Precision Phenotypes</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Our platform has been purpose-built to leverage patient data to cut through disease heterogeneity to support the development of precision neuroscience therapeutics. We do this by transforming rich multimodal patient data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into Data Biopsy Signatures and Precision Phenotypes. As shown in the figure below, this process involves three critical steps: (1) unimodal feature representation; (2) multimodal integration; and (3) interpretable cluster formation to inform Precision Phenotypes: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134620</wp:posOffset>
            </wp:positionV>
            <wp:extent cx="5408930" cy="3326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0893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Figure 4: Our proprietary, integrated precision neuroscience platform</w:t>
      </w:r>
    </w:p>
    <w:p>
      <w:pPr>
        <w:spacing w:after="0" w:line="131"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Unimodal Feature Representation: Patient data is the cornerstone of our platform process. We start with data extracted from multimodal</w:t>
      </w:r>
    </w:p>
    <w:p>
      <w:pPr>
        <w:spacing w:after="0" w:line="46" w:lineRule="exact"/>
        <w:rPr>
          <w:rFonts w:ascii="Arial" w:cs="Arial" w:eastAsia="Arial" w:hAnsi="Arial"/>
          <w:sz w:val="16"/>
          <w:szCs w:val="16"/>
          <w:color w:val="auto"/>
        </w:rPr>
      </w:pPr>
    </w:p>
    <w:p>
      <w:pPr>
        <w:ind w:left="1080" w:right="80"/>
        <w:spacing w:after="0" w:line="255" w:lineRule="auto"/>
        <w:rPr>
          <w:rFonts w:ascii="Arial" w:cs="Arial" w:eastAsia="Arial" w:hAnsi="Arial"/>
          <w:sz w:val="16"/>
          <w:szCs w:val="16"/>
          <w:color w:val="auto"/>
        </w:rPr>
      </w:pPr>
      <w:r>
        <w:rPr>
          <w:rFonts w:ascii="Arial" w:cs="Arial" w:eastAsia="Arial" w:hAnsi="Arial"/>
          <w:sz w:val="18"/>
          <w:szCs w:val="18"/>
          <w:color w:val="auto"/>
        </w:rPr>
        <w:t>patient datasets across five domains: genetics, imaging, EEG, digital and clinical. We take the raw data and apply our feature engineering algorithms to each data mode to create features for our multimodal integration step. This feature engineering process is designed to enable differentiation of patient populations into subgroups.</w:t>
      </w:r>
    </w:p>
    <w:p>
      <w:pPr>
        <w:spacing w:after="0" w:line="95" w:lineRule="exact"/>
        <w:rPr>
          <w:rFonts w:ascii="Arial" w:cs="Arial" w:eastAsia="Arial" w:hAnsi="Arial"/>
          <w:sz w:val="16"/>
          <w:szCs w:val="16"/>
          <w:color w:val="auto"/>
        </w:rPr>
      </w:pPr>
    </w:p>
    <w:p>
      <w:pPr>
        <w:jc w:val="both"/>
        <w:ind w:left="1080" w:right="460" w:hanging="532"/>
        <w:spacing w:after="0" w:line="34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Multimodal Integration: These engineered unimodal feature representations are then ingested by our deep neural network technology which combines the features from each patient into a compact multimodal representation, or Data Biopsy Signature, for each patient.</w:t>
      </w:r>
    </w:p>
    <w:p>
      <w:pPr>
        <w:spacing w:after="0" w:line="29" w:lineRule="exact"/>
        <w:rPr>
          <w:rFonts w:ascii="Arial" w:cs="Arial" w:eastAsia="Arial" w:hAnsi="Arial"/>
          <w:sz w:val="16"/>
          <w:szCs w:val="16"/>
          <w:color w:val="auto"/>
        </w:rPr>
      </w:pPr>
    </w:p>
    <w:p>
      <w:pPr>
        <w:ind w:left="1080" w:right="200" w:hanging="532"/>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Cluster Formation: We then apply our spectral clustering algorithms, which can group these Data Biopsy Signatures from each patient to create Precision Phenotypes, which represent homogeneous patient populations. These Precision Phenotypes define clearly delineated groups that are optimized for clinically relevant interpretation.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Output: Developing Therapeutics for Precision Phenotypes to Drive Patient Impact</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aim to enhance the value of our portfolio by defining distinct populations of patients who are more likely to respond to a given therapeutic. We call these distinct patient populations Precision Phenotypes. We plan to generate therapeutic applications to match the right patients to the right targeted therapeutics in three different ways: (i) by creating a drug signature for an existing program, which we refer to as a “pharmacological fingerprint,” that can inform or align to a Precision Phenotype; (ii) by identifying novel targets through insights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generated from our Precision Phenotypes, thus creating new programs; or (iii) by leveraging insights generated from our Precision Phenotypes to create new business development opportunities. As the last step on our precision development process, we intend to use the insights from Precision Phenotypes to inform the design of our clinical trial. By matching the right patient with the right drug, we believe our Precision Phenotype approach will lead to improved clinical outcomes and enable us to identify new precision therapeutics for patients with neuropsychiatric disorders and neurodegenerative diseases.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Align to Existing Programs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create pharmacological fingerprints for our programs that we then align to a Precision Phenotype. Depending on the stage and origin of the program, we can create the pharmacological fingerprint either in parallel with or sequential to Precision Phenotype generation. This provides us with breadth and flexibility since it means we can elect to generate the pharmacological fingerprint during either the preclinical or clinical stage of development and to both programs that have been discovered internally or programs we acquire. Our existing pipeline reflects this flexibility, as we have generated Precision Phenotypes for indications targeted by our internally discovered programs while we are also generating Precision Phenotypes in parallel with ongoing clinical trials for our acquired programs.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Identify Novel Targets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 an example of the flexibility of our approach, we expect to leverage our encyclopedia of Precision Phenotypes to identify novel precision drug targets or pathways that forms the basis of new therapeutic programs. Once a Precision Phenotype is identified, we can look back at the data and interrogate the underlying systems biology to identify novel targets and explore pathways that underpin the disease drivers for that Precision Phenotype. If novel targets or pathways are identified, we can initiate a new program against that target and Precision Phenotype.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Create New Business Development Opportunities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another example of the breadth of our approach, we intend to leverage the encyclopedia of Precision Phenotypes we are building to identify business development opportunities that can become new programs or accelerate existing programs.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Creating an Encyclopedia of Precision Phenotypes across Neuropsychiatric Disorders and Neurodegenerative Diseases</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are generating a proprietary and dynamic encyclopedia of Precision Phenotypes across neuropsychiatric disorders and neurodegenerative diseases. We believe this encyclopedia will provide a proprietary roadmap of Precision Phenotypes within heterogeneous brain diseases that we can use to match the right patients to the right targeted therapeutics in a continuous and scalable fashion. The encyclopedia will continue to grow as we onboard data for new and existing neuropsychiatric disorders and neurodegenerative diseases.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Precision Neuroscience Pipeline</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building a broad pipeline of novel precision medicine candidates for neuropsychiatric disorders and neurodegenerative diseases, each with a targeted approach to development. Our precision neuroscience approach is flexible, and we are able to apply it in a modular fashion, which allows us to tailor our approach to both internal or external programs and at any stage of development. Since inception, we have rapidly scaled our pipeline through both internal discovery and external business development efforts. To date, our disclosed pipeline comprises nine programs, with two in clinical development, one in IND-enabling studies and six in the discovery stage.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205740</wp:posOffset>
            </wp:positionV>
            <wp:extent cx="4800600" cy="32486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006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NMRA-140 (KOR)</w:t>
      </w:r>
    </w:p>
    <w:p>
      <w:pPr>
        <w:spacing w:after="0" w:line="117" w:lineRule="exact"/>
        <w:rPr>
          <w:sz w:val="20"/>
          <w:szCs w:val="20"/>
          <w:color w:val="auto"/>
        </w:rPr>
      </w:pPr>
    </w:p>
    <w:p>
      <w:pPr>
        <w:ind w:left="120" w:right="60" w:firstLine="440"/>
        <w:spacing w:after="0" w:line="283" w:lineRule="auto"/>
        <w:rPr>
          <w:sz w:val="20"/>
          <w:szCs w:val="20"/>
          <w:color w:val="auto"/>
        </w:rPr>
      </w:pPr>
      <w:r>
        <w:rPr>
          <w:rFonts w:ascii="Arial" w:cs="Arial" w:eastAsia="Arial" w:hAnsi="Arial"/>
          <w:sz w:val="16"/>
          <w:szCs w:val="16"/>
          <w:color w:val="auto"/>
        </w:rPr>
        <w:t>NMRA-140 is an investigational antagonist of the KOR in development for the treatment of MDD, which is a chronic neuropsychiatric disorder with significant unmet need given that nearly 70% of MDD patients fail to achieve remission with first-line treatment. The KOR/dynorphin system is a well-characterized pathway known to modulate depressive-like states. We believe that defining a precision subset of patients with MDD will identify those more likely to respond to a KOR antagonist. When we acquired BlackThorn in September 2020, BlackThorn had initiated a Phase 2a clinical trial of BTRX-335140, now known as NMRA-140, in adult patients with MDD. This Phase 2a clinical trial was initiated as a double-blind, placebo-controlled, randomized trial of NMRA-140 in 120 patients. We subsequently modified the trial to generate more unique data by increasing the target enrollment to 180 patients and added additional digital instrumentation to further augment and support our precision neuroscience approach. We have also created our OPRK1 (the gene encoding KOR) genetic-prediction model, which we intend to apply to peripheral DNA samples collected from patients enrolled in the trial. We plan to leverage the genetic, digital and clinical data generated from this trial to support future clinical development of</w:t>
      </w:r>
    </w:p>
    <w:p>
      <w:pPr>
        <w:spacing w:after="0" w:line="6" w:lineRule="exact"/>
        <w:rPr>
          <w:sz w:val="20"/>
          <w:szCs w:val="20"/>
          <w:color w:val="auto"/>
        </w:rPr>
      </w:pPr>
    </w:p>
    <w:p>
      <w:pPr>
        <w:ind w:left="120"/>
        <w:spacing w:after="0"/>
        <w:tabs>
          <w:tab w:leader="none" w:pos="6820" w:val="left"/>
        </w:tabs>
        <w:rPr>
          <w:sz w:val="20"/>
          <w:szCs w:val="20"/>
          <w:color w:val="auto"/>
        </w:rPr>
      </w:pPr>
      <w:r>
        <w:rPr>
          <w:rFonts w:ascii="Arial" w:cs="Arial" w:eastAsia="Arial" w:hAnsi="Arial"/>
          <w:sz w:val="18"/>
          <w:szCs w:val="18"/>
          <w:color w:val="auto"/>
        </w:rPr>
        <w:t>NMRA-140. We anticipate topline results from the current trial will be available in</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MDD is a chronic psychiatric condition characterized by low mood and impairment in functioning, including episodes where an individual experiences a loss of interest or pleasure in daily activities and has symptoms such as problems with sleep, eating, energy, concentration or sense of self-worth. MDD affects an estimated 16.1 million adults in the United States.</w:t>
      </w:r>
    </w:p>
    <w:p>
      <w:pPr>
        <w:spacing w:after="0" w:line="184"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Most currently approved therapeutics indicated to treat MDD target monoamine neurotransmitters, which are signaling molecules that allow communication between nerve cells. Approved therapeutics include selective serotonin reuptake inhibitors (SSRIs), serotonin and norepinephrine reuptake inhibitors (SNRIs) include and atypical antipsychotics. Nearly 70% of MDD patients fail to achieve remission with first-line treatment, which</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can be associated with negative side effects, including weight gain, sexual dysfunction, drowsiness, nausea and insomnia. Approximately 40% of patients on therapy discontinue treatment due to loss of response or adverse side effects.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NMRA-140 is an investigational, small molecule inhibitor of the KOR, which we believe represents a novel potential approach to the treatment of MDD. The KOR and the molecule that binds to it, known as dynorphin, are expressed in brain regions that regulate the effects of stress on mood and cognition. Activation of KOR modulates neuronal circuits associated with many neuropsychiatric disorders, including depression, anxiety, schizophrenia and post-traumatic stress disorder (PTSD). The KOR/dynorphin system is an important mediator of stress-induced alterations in reward processing and a mood state known as dysphoria, which is a state of dissatisfaction, unease and unhappiness. Evidence from postmortem studies in subjects diagnosed with MDD show dysregulation of genes associated via pathway with KOR across brain regions associated with social-bond formation, introspection, suicide and others.</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There are multiple lines of converging clinical evidence implicating the role of the KOR system in dysphoria. KOR agonists have been shown to produce dysphoric effects in humans, suggesting KOR antagonists could be effective anti-depressants. Buprenorphine, a Mu opioid partial agonist/kappa antagonist used for treatment of opioid dependence, has also shown anti-depressive effects thought to be driven by KOR antagonism. We believe that the development of a highly selective and potent antagonist of KOR, which is paired with a Precision Phenotype, offers the opportunity for a novel, targeted anti-depressant therapy.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Pharmacological Properties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NMRA-140 is a potent and highly selective antagonist for KOR and, in preclinical studies, has shown 300-fold selectivity over the Mu opioid receptor. None of our preclinical studies are powered for significance given the purpose of such studies. We believe this selectivity is important to avoid the potential negative effects of Mu antagonism on mood. An additional potential advantage of utilizing an antagonist such as NMRA-140 is that we believe it will not have the abuse liability associated with a mixed agonist/antagonist such as buprenorphine.</w:t>
      </w:r>
    </w:p>
    <w:p>
      <w:pPr>
        <w:spacing w:after="0" w:line="17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evaluated the safety, tolerability and pharmacokinetics of NMRA-140 in a randomized, double-blind, placebo-controlled Phase 1 clinical trial consisting of single ascending dose (SAD) and multiple ascending dose (MAD) portions. The SAD and MAD portions of the clinical trial were conducted to establish the safety profile that would be used for subsequent clinical trials. In the SAD portion of the trial, 56 healthy subjects were randomized to receive either a single dose of NMRA-140 or placebo at doses ranging up to 240 mg. In the MAD portion, 32 healthy subjects were randomized to receive 10 daily doses ranging up to 160 mg. The effect of food on the rate and extent of absorption of NMRA-140 was also assessed in the SAD portion of the trial. In the Phase 1 trial, NMRA-140 showed generally dose-proportional pharmacokinetic results with a half life supportive of once-daily oral dosing.</w:t>
      </w:r>
    </w:p>
    <w:p>
      <w:pPr>
        <w:spacing w:after="0" w:line="19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NMRA-140 was found to be well-tolerated at all dose levels with no serious adverse events reported during the treatment and follow-up periods of the Phase 1 trial. In the ongoing Phase 2a clinical trial, we are monitoring visual acuity and corneal integrity based on an ocular phototoxicity finding that was observed in a preclinical rodent study at a dose exposure 14-fold higher than the 80 mg dose currently under clinical evaluation.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33000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8604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760"/>
        <w:spacing w:after="0"/>
        <w:rPr>
          <w:sz w:val="20"/>
          <w:szCs w:val="20"/>
          <w:color w:val="auto"/>
        </w:rPr>
      </w:pPr>
      <w:r>
        <w:rPr>
          <w:rFonts w:ascii="Arial" w:cs="Arial" w:eastAsia="Arial" w:hAnsi="Arial"/>
          <w:sz w:val="16"/>
          <w:szCs w:val="16"/>
          <w:i w:val="1"/>
          <w:iCs w:val="1"/>
          <w:color w:val="auto"/>
        </w:rPr>
        <w:t>Figure 5: Single ascending dose study of NMRA-140 in healthy subjects (n=56)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183515</wp:posOffset>
            </wp:positionV>
            <wp:extent cx="5134610" cy="33858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3461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6"/>
          <w:szCs w:val="16"/>
          <w:i w:val="1"/>
          <w:iCs w:val="1"/>
          <w:color w:val="auto"/>
        </w:rPr>
        <w:t>Figure 6: Multiple ascending dose study of NMRA-140 in healthy subjects (n=32)</w:t>
      </w:r>
    </w:p>
    <w:p>
      <w:pPr>
        <w:spacing w:after="0" w:line="18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139"/>
          </w:cols>
          <w:pgMar w:left="320" w:top="459" w:right="1440"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observed target engagement as well as target binding, which is known as “receptor occupancy”, in a Phase 1 clinical trial in healthy human volunteers using a positron emission tomography (PET) ligand, which is a radiotracer molecule that binds to the KOR. Based on the results of the Phase 1 SAD/MAD and PET clinical trials, we were able to model receptor occupancy at various doses, and a dose of 80 mg is predicted to achieve approximately 80% to 90% receptor occupancy for 24 hours allowing for once daily dosing. We are evaluating the 80 mg dose in the ongoing Phase 2a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145415</wp:posOffset>
            </wp:positionV>
            <wp:extent cx="5194935" cy="31718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9493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Figure 7: Receptor occupancy of NMRA-140 modeled at various doses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Data Science Approach</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are generating unique data for NMRA-140 in our ongoing Phase 2a clinical trial across genetic, digital and clinical modalities. We plan to leverage the data generated from this trial to support future clinical development of NMRA-140.</w:t>
      </w:r>
    </w:p>
    <w:p>
      <w:pPr>
        <w:spacing w:after="0" w:line="76" w:lineRule="exact"/>
        <w:rPr>
          <w:sz w:val="20"/>
          <w:szCs w:val="20"/>
          <w:color w:val="auto"/>
        </w:rPr>
      </w:pPr>
    </w:p>
    <w:p>
      <w:pPr>
        <w:ind w:left="1080" w:hanging="532"/>
        <w:spacing w:after="0" w:line="286"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Genetics: We have created a proprietary genetic model that is designed to predict expression of the OPRK1 gene, the gene that encodes the KOR, in the human brain based on sequence information (SNIPs) from peripheral DNA found in blood or saliva. We believe this model may yield a potential biomarker for treatment response to enable patient enrichment in future studies.</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Digital: We are utilizing two proprietary digital tools to explore objective measures of motivation and to identify novel digital signatures.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Clinical: We are generating data in our Phase 2a clinical trial based on well-accepted measures of depression.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When we acquired BlackThorn in September 2020, BlackThorn had initiated a Phase 2a clinical trial of BTRX-335140, now known as NMRA-140, in adult patients with MDD. This trial was initiated as a double-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blind, placebo-controlled, randomized trial of NMRA-140 in 120 patients. The enrollment criteria were based on a rules list BlackThorn generated from an analysis of the Fast-fail Trial in Mood and Anxiety Spectrum Disorders (FAST-MAS) data. The rules list enriches for patients with pronounced anhedonia, which is a mood state characterized by the inability to experience pleasure. The rules list is based on baseline scores across the Hamilton Depression Rating Scale 17 item version (HAM-D17), the Snaith Hamilton Assessment of Pleasure Scale (SHAPS) and the Hamilton Anxiety Rating Scale (HAM-A). We believe that an effective KOR antagonist may have potential in MDD beyond anhedonia. We subsequently modified the trial to generate more unique data by increasing the target enrollment to 180 patients and added additional digital instrumentation to further augment and support our precision approach. We have also created our OPRK1 (the gene encoding KOR) genetic-prediction model, which we intend to apply to peripheral DNA samples from the clinical trial to evaluate the relationship between predicted gene expression and clinical response. We plan to leverage the genetic, digital and clinical data generated from this trial to support future clinical development of NMRA-140. We anticipate topline results from</w:t>
      </w:r>
    </w:p>
    <w:p>
      <w:pPr>
        <w:spacing w:after="0" w:line="6" w:lineRule="exact"/>
        <w:rPr>
          <w:sz w:val="20"/>
          <w:szCs w:val="20"/>
          <w:color w:val="auto"/>
        </w:rPr>
      </w:pPr>
    </w:p>
    <w:p>
      <w:pPr>
        <w:ind w:left="120"/>
        <w:spacing w:after="0"/>
        <w:tabs>
          <w:tab w:leader="none" w:pos="3380" w:val="left"/>
        </w:tabs>
        <w:rPr>
          <w:sz w:val="20"/>
          <w:szCs w:val="20"/>
          <w:color w:val="auto"/>
        </w:rPr>
      </w:pPr>
      <w:r>
        <w:rPr>
          <w:rFonts w:ascii="Arial" w:cs="Arial" w:eastAsia="Arial" w:hAnsi="Arial"/>
          <w:sz w:val="18"/>
          <w:szCs w:val="18"/>
          <w:color w:val="auto"/>
        </w:rPr>
        <w:t>the current trial will be available in</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NMRA-511</w:t>
      </w:r>
    </w:p>
    <w:p>
      <w:pPr>
        <w:spacing w:after="0" w:line="117"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NMRA-511 is an investigational antagonist of V1aR. Vasopressin plays a role in the regulation of aggression, affiliation, stress and anxiety response. Based on our encouraging preclinical findings in non-human primates, data from our Phase 1a clinical trial of NMRA-511, as well as preclinical and clinical results from third parties, we believe V1aR has the potential to be a promising novel target for multiple neuropsychiatric disorders across the spectrum of anxiety, aggression and stress.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Disorders with symptoms of anxiety, stress and aggression are some of the most common forms of mental illness in the United States. Related disorders include obsessive-compulsive disorder, PTSD, SAD, and generalized anxiety disorder (GAD). Aggression and violent behavior are found in a range of neuropsychiatric and neurodegenerative diseases, including dementia and Huntington’s disease. Anxiety affects approximately 40 million adults in the United States every year. GAD alone affects 6.8 million adults in the United States. SAD affects approximately 15 million adults, and PTSD affects approximately 7.7 million adults in the United States (although now classified as separate from anxiety disorders in DSM V, there is significant overlap in the neural signature of PTSD and anxiety).</w:t>
      </w:r>
    </w:p>
    <w:p>
      <w:pPr>
        <w:spacing w:after="0" w:line="192" w:lineRule="exact"/>
        <w:rPr>
          <w:sz w:val="20"/>
          <w:szCs w:val="20"/>
          <w:color w:val="auto"/>
        </w:rPr>
      </w:pPr>
    </w:p>
    <w:p>
      <w:pPr>
        <w:jc w:val="both"/>
        <w:ind w:left="120" w:right="100" w:firstLine="440"/>
        <w:spacing w:after="0" w:line="296" w:lineRule="auto"/>
        <w:rPr>
          <w:sz w:val="20"/>
          <w:szCs w:val="20"/>
          <w:color w:val="auto"/>
        </w:rPr>
      </w:pPr>
      <w:r>
        <w:rPr>
          <w:rFonts w:ascii="Arial" w:cs="Arial" w:eastAsia="Arial" w:hAnsi="Arial"/>
          <w:sz w:val="16"/>
          <w:szCs w:val="16"/>
          <w:color w:val="auto"/>
        </w:rPr>
        <w:t>First-line anxiety treatments include anti-depressants such as SSRIs and SNRIs and buspirone, a serotonin 5-HT1A receptor agonist. However, first-line treatments often provide only modest relief and often take weeks to have an effect. Benzodiazepines targeting the GABA-A receptor are also known to have anti-anxiety activity and are prescribed as a second-line treatment or in combination with SSRI/SNRIs. However, benzodiazepines have negative side effects including cognitive impairment and sedation and are prone to physical and psychological dependence. Therefore, we believe there is still a significant unmet need for safe and effective treatments for patients that suffer from the spectrum of anxiety and stress disorders.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NMRA-511 is an investigational small molecule antagonist of V1aR, which we believe represents a novel approach to the treatment of neuropsychiatric disorders. V1aR is the receptor for arginine vasopressin (AVP), a neuropeptide implicated in a range of physiological processes, including mood and stress.</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Preclinical studies support the involvement of the vasopressin system in mediating behaviors across multiple relevant symptoms, including physiological stress responses, aggression, avoidance, fear and anxiety. In rodents, aversive stimuli increased vasopressin levels in brain regions implicated in anxiety pathophysiology, as demonstrated through functional neuroimaging and increased V1a receptor binding in hypothalamic regions important in mediating stress responses. Direct administration of vasopressin into the brain of rodents can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increase fear and anxiety-like behavior, while systemic administration of V1a receptor antagonists and deletion of the V1aR gene resulted in decreased anxiety-like behaviors. Moreover, evidence that the V1a receptor is important in mediating aggression has been demonstrated using the selective V1a receptor antagonist, SRX251, which reduced aggressive behaviors and suppressed activity in key brain regions involved in aggression. Recently, a small study with SRX246, a V1a receptor antagonist, in human subjects demonstrated reduced anxiety induced by unpredictable threats.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Pharmacological Properties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NMRA-511 is a potent and highly selective antagonist for V1aR. In preclinical studies, NMRA-511 exhibited greater than 3,000-fold selectivity over the V1b and V2 receptors and approximately 300-fold selectivity over the oxytocin receptor. We conducted three preclinical studies in 24 marmosets using an animal model of anxiety known as the human threat test. In these studies, NMRA-511 reduced measures of anxiety. In one of the studies, changes in brain waves were also measured by means of EEG, which revealed changes at three different frequencies in the marmoset cohort that received the dose level associated with anxiety reduction, which we believe reflects target engagement. We believe these preclinical data suggest that NMRA- 511 has the potential to address anxiety disorders. None of our preclinical studies are powered for significance given the purpose of such studies.</w:t>
      </w:r>
    </w:p>
    <w:p>
      <w:pPr>
        <w:spacing w:after="0" w:line="195"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We also conducted a Phase 1a SAD/MAD clinical trial with 55 healthy volunteers. In the SAD portion of the trial, 12 subjects received a single dose of NMRA-511 and four subjects received placebo. In the MAD portion of the trial, 18 subjects received multiple doses of NMRA-511 and six subjects received the same number of doses of placebo. Another cohort of 12 subjects received doses of NMRA-511 under one of two treatment sequences of being fed verses fasting to assess the effect of food on the rate and extent of absorption of NMRA-511. In the SAD and MAD portions of this clinical trial, quantitative EEG (qEEG) analysis showed changes in the brain waves of human subjects that corresponded to the EEG results in our marmoset study, potentially suggesting proof of mechanism. Additionally, in our preclinical studies across animal species, the proportion of oral doses of NMRA-511 that entered the blood stream, and therefore had the potential to have an active effect, which is a measure known as “bioavailability,” ranged from 20% to 78%, with physicochemical and permeability results suggesting the potential for a high rate of oral absorption in humans. This Phase 1a clinical trial was not powered for significance given the purpose of the study.</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Data Science Approach</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in the process of generating Precision Phenotypes for neuropsychiatric disorders from our integrated multimodal patient datasets that could be used to align with the pharmacological fingerprint of NMRA-511. To define the pharmacological fingerprint of NMRA-511, we are generating data across three modalities of genetics, imaging and clinical.</w:t>
      </w:r>
    </w:p>
    <w:p>
      <w:pPr>
        <w:spacing w:after="0" w:line="89" w:lineRule="exact"/>
        <w:rPr>
          <w:sz w:val="20"/>
          <w:szCs w:val="20"/>
          <w:color w:val="auto"/>
        </w:rPr>
      </w:pPr>
    </w:p>
    <w:p>
      <w:pPr>
        <w:ind w:left="1080" w:right="320" w:hanging="532"/>
        <w:spacing w:after="0" w:line="263"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Genetics: We are assessing genetic prediction models for AVPR1a, the gene that encodes the V1aR, in the human brain based on the sequence information from peripheral DNA found in blood or saliva. This could potentially yield a biomarker of treatment response to enable patient enrichment in future studies.</w:t>
      </w:r>
    </w:p>
    <w:p>
      <w:pPr>
        <w:spacing w:after="0" w:line="8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Imaging: We are assessing the use of an advanced imaging technique known as pharmacological functional magnetic resonance imaging, or pharmaco-fMRI, in future clinical trials to evaluate the effects of V1aR antagonism on relevant brain circuits underlying anxiety and stress response. In addition, the fMRI signature generated could form the basis of a pharmacological fingerprint that could align with Precision Phenotypes across multiple indications.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Clinical: In future clinical trials, we will assess measures of efficacy that are associated with the representative indication.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an open IND for NMRA-511 and are evaluating future clinical trial options.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NMRA-094</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NMRA-094 is an investigational dual antagonist of H1/5-HT2A receptors that we are developing for the treatment of LAT-OSA. Approximately 40% of OSA patients have a phenotype of excessive sleep fragmentation, which is characterized by numerous brief arousals and awakenings that disrupt restorative sleep due to interruptions in airflow. Sleep fragmentation is associated with increased risk of cardiovascular disease and all-cause mortality. Histamine and 5-HT are two critical arousal mechanisms in the CNS, and their antagonism is believed to reduce sleep fragmentation. Patients with excessive sleep fragmentation have a LAT, which can be quantified by polysomnographic measures. We will identify a Precision Phenotype of the LAT-OSA population through multimodal clinical measures, including polysomnography in our Phase 1 clinical trials for NMRA-094. NMRA-094 is currently in IND-enabling studies to support a Phase 1 clinical trial that we expect to initiate for NMRA-094 in LAT-OSA.</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OSA is a sleep disorder characterized by a recurrent obstruction of the airway during sleep resulting in arousal and awakening. Unfavorable upper airway flow and changes in upper airway function during sleep combine to cause the obstruction, but the physiology is not fully understood. OSA is associated with cardiovascular complications and mortality. LAT-OSA describes patients with increased likelihood to be aroused from sleep. Approximately six million patients have been diagnosed with OSA in the United States. The standard of care for LAT-OSA is Continuous Positive Airway Pressure (CPAP); however, 20% of LAT-OSA patients fail CPAP, primarily due to compliance issues, which underscores the high unmet medical need for an effective therapeutic.</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NMRA-094 is designed to antagonize histamine H1 receptors and serotonin 5-HT2A receptors, both of which are critical mechanisms of arousal in the CNS. Histamine is a signaling molecule known as a monoamine which is present both in the immune system and brain. In the brain, histamine promotes arousal and suppresses REM sleep. The H1 receptor depolarizes, or changes the electric charge, of cells which disrupts cell signaling and contributes to the wake-promoting effects of histamine.</w:t>
      </w:r>
    </w:p>
    <w:p>
      <w:pPr>
        <w:spacing w:after="0" w:line="18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Previous third-party clinical studies demonstrated that H1 and 5-HT2A receptor antagonists caused sedation. H1 and 5-HT2A receptor antagonists are often used off-label for insomnia and over half of all OTC sleep aids contain H1 receptor antagonists, such as diphenhydramine or doxylamine.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Pharmacological Properties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NMRA-094 is a potent and selective dual antagonist of H1 and 5-HT2A receptors.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preclinical studies in rats, NMRA-094 decreased the number of transitions from sleep to wake (TRANS), a measure of arousals, and increased the average sleep bout length (ASBL), a measure of sleep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-19050</wp:posOffset>
            </wp:positionV>
            <wp:extent cx="2331720" cy="16630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3172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Figure 8: Preclinical studies showing the effect of NMRA-094 on sleep measures in rats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NMRA-094 produces a dose dependent reduction in sleep bout length and decrease in transitions from sleep to wake in rats. The graph above shows a dose dependent increase in average sleep bout length (ASBL) and decrease in number of transitions from sleep to wake (TRANS) following oral administration of NMRA-094 to rats. There were 69 rats for the ASBL study and 74 rats for the TRANS study and there were between 9-16 animals per dose group.</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Data Science Approach</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in the process of generating a Precision Phenotype of LAT-OSA from multimodal patient data as measured by polysomnography that could be used to align with the pharmacological fingerprint of NMRA-094.</w:t>
      </w:r>
    </w:p>
    <w:p>
      <w:pPr>
        <w:spacing w:after="0" w:line="76" w:lineRule="exact"/>
        <w:rPr>
          <w:sz w:val="20"/>
          <w:szCs w:val="20"/>
          <w:color w:val="auto"/>
        </w:rPr>
      </w:pPr>
    </w:p>
    <w:p>
      <w:pPr>
        <w:ind w:left="1080" w:right="60" w:hanging="532"/>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Polysomnography: The low arousal threshold is identified through polysomnography, or sleep study, which monitors brain activity (EEG), eye movements (EOG), muscle activity (EMG) and heart rhythm (ECG). Clinical research has identified a set of indices on standard polysomnography that reliably identifies the low arousal threshold phenotype.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currently evaluating NMRA-094 in preclinical safety assessment studies conducted in accordance with Good Laboratory Practices (GLP) standards, known as “GLP toxicology studies”, that satisfy the requirements for submission to a regulatory authority. We anticipate commencing a Phase</w:t>
      </w:r>
    </w:p>
    <w:p>
      <w:pPr>
        <w:ind w:left="120"/>
        <w:spacing w:after="0"/>
        <w:tabs>
          <w:tab w:leader="none" w:pos="2080" w:val="left"/>
        </w:tabs>
        <w:rPr>
          <w:sz w:val="20"/>
          <w:szCs w:val="20"/>
          <w:color w:val="auto"/>
        </w:rPr>
      </w:pPr>
      <w:r>
        <w:rPr>
          <w:rFonts w:ascii="Arial" w:cs="Arial" w:eastAsia="Arial" w:hAnsi="Arial"/>
          <w:sz w:val="18"/>
          <w:szCs w:val="18"/>
          <w:color w:val="auto"/>
        </w:rPr>
        <w:t>1 clinical trial in</w:t>
      </w:r>
      <w:r>
        <w:rPr>
          <w:sz w:val="20"/>
          <w:szCs w:val="20"/>
          <w:color w:val="auto"/>
        </w:rPr>
        <w:tab/>
      </w:r>
      <w:r>
        <w:rPr>
          <w:rFonts w:ascii="Arial" w:cs="Arial" w:eastAsia="Arial" w:hAnsi="Arial"/>
          <w:sz w:val="16"/>
          <w:szCs w:val="16"/>
          <w:color w:val="auto"/>
        </w:rPr>
        <w:t>that will consist of a SAD/MAD in healthy volunteers.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NMRA-M4R</w:t>
      </w:r>
    </w:p>
    <w:p>
      <w:pPr>
        <w:spacing w:after="0" w:line="11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NMRA-M4R is a positive allosteric modulator program designed to be selective for the M4 muscarinic receptor that we intend to develop for the treatment of schizophrenia and other neuropsychiatric disorders. Muscarinic receptor-targeting compounds have achieved clinical validation as an approach to treating schizophrenia, with potential to treat other neuropsychiatric disorders such as dementia-related psychosis and cognitive disorders, where innovation has been stagnant for decades. Selective M4R positive allosteric modulators have the potential to deliver the anti-psychotic efficacy associated with targeting this receptor subtype, while minimizing the side effects associated with current antipsychotics and other non-selective muscarinic agonists. We are in the process of generating Precision Phenotypes for schizophrenia and expect to create a pharmacological fingerprint for our NMRA-M4 program.</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Schizophrenia is a debilitating neuropsychiatric disorder characterized by positive symptoms (e.g., delusions, hallucinations), negative symptoms (e.g., diminished emotional expression) and cognitive symptoms (e.g., deficits in types of memory). The disease is also associated with a 10 to 25 year reduction in life expectancy overall. It is estimated that approximately three million people in the United States have schizophrenia.</w:t>
      </w:r>
    </w:p>
    <w:p>
      <w:pPr>
        <w:spacing w:after="0" w:line="14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No therapies with a novel mechanism of action have been recently approved for schizophrenia, with all currently approved anti-psychotics based on mechanisms originally based on chlorpromazine, which was developed in the 1950s. Currently approved therapies focus on treating the positive symptoms of schizophrenia and have little impact on the negative or cognitive symptoms. They also have potentially serious side-effects, including movement and metabolic effects, which historically has resulted in poor compliance.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NMRA-M4R is an investigational positive allosteric modulator of the M4 muscarinic receptor. While current antipsychotics approved for schizophrenia work primarily by antagonizing D2 dopamine receptors, growing evidence supports the role of the muscarinic acetylcholine receptor system in the pathophysiology of schizophrenia, including the M4 receptor’s mechanistic role in locally reducing hyperactivity of striatal dopamine signaling. This hypothesis is supported by robust data from postmortem analysis of CNS tissue, neuropsychopharmacology and neuroimaging studies, and clinical trials. Postmortem studies have shown a decreased number of M4 muscarinic receptors in schizophrenia patients in several key brain regions, while a neuroimaging study of schizophrenia patients demonstrated an up to 35% decrease in muscarinic receptor availability compared to matched healthy controls. Preclinical pharmacology studies have demonstrated that M4R activation through positive allosteric modulation may have direct effects on reducing the hyperactivity of dopaminergic signaling and exert antipsychotic-like efficacy. Further, muscarinic receptor-targeting as a treatment for schizophrenia is supported by positive results in randomized, double-blind, placebo-controlled clinical trials.</w:t>
      </w:r>
    </w:p>
    <w:p>
      <w:pPr>
        <w:spacing w:after="0" w:line="166"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A robust body of preclinical and clinical evidence shows that the muscarinic acetylcholine receptor system plays an important role in regulating cognition, movement, learning and memory, suggesting its importance as a potential drug target for the treatment of several brain disorders. These studies suggest compounds which elevate M4 receptor activity have the potential to treat schizophrenia and other neuropsychiatric disorders.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Pharmacological Properties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anticipate developing multiple novel series of investigational M4R positive allosteric modulators that are designed to be potent, selective and orally bioavailable, and which are in the lead optimization stage. The lead molecules have demonstrated robust activity in preclinical efficacy models, as well as high selectivity for the M4R subtype, potential for an improved safety profile over current antipsychotics and non-selective agonist approaches, and an oral once-daily dosing profile.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Data Science Approach</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We are in the process of generating Precision Phenotypes from multimodal schizophrenia datasets that we plan to align with the pharmacological fingerprint of NMRA-M4R compounds. To define the pharmacological fingerprint for the M4R program, we anticipate generating data across the four modalities of genetics, imaging, EEG and clinical.</w:t>
      </w:r>
    </w:p>
    <w:p>
      <w:pPr>
        <w:spacing w:after="0" w:line="89" w:lineRule="exact"/>
        <w:rPr>
          <w:sz w:val="20"/>
          <w:szCs w:val="20"/>
          <w:color w:val="auto"/>
        </w:rPr>
      </w:pPr>
    </w:p>
    <w:p>
      <w:pPr>
        <w:ind w:left="1080" w:right="4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Genetics: We plan to explore the utility of our proprietary TWAS-based genetic signature models that may serve as a potential predictor of treatment response to enable patient enrichment in our clinical studies.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308"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Imaging: We have developed proprietary hierarchical imaging feature signatures which we have applied to the imaging data in the Bipolar &amp; Schizophrenia Network on Intermediate Phenotypes (B-SNIP) dataset which we have co-clustered with clinical data.</w:t>
      </w:r>
    </w:p>
    <w:p>
      <w:pPr>
        <w:spacing w:after="0" w:line="51"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EEG: M4R modulators can also be paired with quantitative biomarkers for patient stratification. We have developed a proprietary EEG data processing pipeline and have onboarded the B-SNIP dataset which includes EEG data.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Clinical: In future clinical trials we will assess measures of efficacy that are associated with Precision Phenotypes for schizophrenia.</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NMRA-M4R program is in the discovery stage.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NMRA-CK1</w:t>
      </w:r>
      <w:r>
        <w:rPr>
          <w:rFonts w:ascii="Arial" w:cs="Arial" w:eastAsia="Arial" w:hAnsi="Arial"/>
          <w:sz w:val="18"/>
          <w:szCs w:val="18"/>
          <w:color w:val="auto"/>
        </w:rPr>
        <w:t>d</w:t>
      </w:r>
    </w:p>
    <w:p>
      <w:pPr>
        <w:spacing w:after="0" w:line="22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NMRA-CK1d is a CK1d inhibitor program that we intend to develop for ALS. CK1d is a kinase that has been identified as a proximal upstream regulator of TDP-43 phosphorylation, a key driver of TDP-43-driven pathology in approximately 95% of sporadic ALS cases. There is also genetic evidence linking TDP-43 to both familial and sporadic ALS. We are generating Precision Phenotypes for ALS from our integrated multimodal datasets and are in the process of creating a pharmacological fingerprint for our NMRA-CK1d program, which we will then align with a Precision Phenotype for future development. Our NMRA-CK1d program is in the discovery phase of development, and we may seek to identify other potential Precision Phenotypes associated with TDP-43-driven pathologies beyond ALS.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ALS is a rapidly progressing neurodegenerative disease that affects motor neurons in the brain and spinal cord. As motor neurons die, the brain loses the ability to initiate and control muscle movement, and patients may lose the ability to speak, eat, move and breathe. Approximately 5,000 people in the United States are diagnosed with ALS each year, and approximately 16,000 patients live with ALS in the United States at a given time. ALS usually affects patients between the ages of 40 and 70.</w:t>
      </w:r>
    </w:p>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Existing therapeutics have modest effects on survival and physical functioning with no effect on mortality and patients have an average life expectancy of two to five years from diagnosis, emphasizing the high unmet medical need.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CK1d is a key proximal kinase phosphorylating TDP-43, a protein implicated in the pathology of both sporadic and familial ALS. Protein aggregates containing phosphorylated TDP-43 are present in degenerating motor neurons of ALS patients. It is hypothesized that reduction of TDP-43 phosphorylation with a CK1d inhibitor will reduce TDP-43 driven pathology and slow disease progression. Published data have demonstrated that CK1d inhibitors reverse aberrant TDP-43 related phenotypes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which are studies conducted outside of a living organism,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which are preclinical studies conducted in a living organism.</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Pharmacological Properties</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 xml:space="preserve">NMRA-CK1d inhibitors have nanomolar (one-billionth of one molar, which is a measurement of concentration) potency, are selective over a number of other kinases and exhibit cell-based activity. Compounds have properties consistent with favorable CNS penetration and we are initiating experiments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cell models and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Data Science Approach</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are in the process of generating Precision Phenotypes from multimodal ALS datasets that we plan to align with the pharmacological fingerprint of NMRA-CK1d compounds. To define the pharmacological fingerprint for the CK1d program, we are looking to generate data across the two modalities of genetics and clinical.</w:t>
      </w:r>
    </w:p>
    <w:p>
      <w:pPr>
        <w:spacing w:after="0" w:line="89" w:lineRule="exact"/>
        <w:rPr>
          <w:sz w:val="20"/>
          <w:szCs w:val="20"/>
          <w:color w:val="auto"/>
        </w:rPr>
      </w:pPr>
    </w:p>
    <w:p>
      <w:pPr>
        <w:ind w:left="1080" w:hanging="532"/>
        <w:spacing w:after="0" w:line="255"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Genetics: We have onboarded the Answer ALS dataset and have analyzed the genetic architecture of ALS through multiple lenses, including (i) genome-wide association studies, or GWAS, in which traits that typically relate to a disease or disorder are characterized and associated with a specific genetic mutation identified across the relevant study group, (ii) expression quantitative trait loci, or EQTL, which is a genetic marker that provides a quantifiable prediction of the expression levels of a target gene, (iii) transcriptome-wide association studies, or TWAS, in which GWAS data is integrated with gene expression data to form relations between genes and phenotypic traits, (iv) differential expression, and (v) co-localization.</w:t>
      </w:r>
    </w:p>
    <w:p>
      <w:pPr>
        <w:spacing w:after="0" w:line="97"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Clinical: We have also applied our proprietary AI/ML methods to identify novel clusters of ALS patients based upon clinical data, which align with disease progression.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NMRA-CK1d program is in the discovery stage.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NMRA-GRIN2A</w:t>
      </w:r>
    </w:p>
    <w:p>
      <w:pPr>
        <w:spacing w:after="0" w:line="22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NMRA-GRIN2A is a GRIN2A positive allosteric modulator program designed to be selective for the GluN2A receptor subunit of the NMDA receptor that we intend to develop for the treatment of schizophrenia. Recent breakthroughs in psychiatric genetic studies have provided genetic evidence in support of the role of GRIN2A in schizophrenia. Furthermore, human studies suggest NMDA receptor antagonists (e.g., ketamine) lead to a schizophrenia-like syndrome, which provides compelling evidence for this target. We are in the process of generating Precision Phenotypes for schizophrenia and creating a pharmocological fingerprint for our NMRA-GRIN2A program.</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Similar to NMRA-M4, we are evaluating NMRA-GRIN2B in subsets of patients with schizophrenia.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NMRA-GRIN2A is an investigational allosteric modulator of GRIN2A/GluN2A-containing NMDA glutamate receptors. Glutamate is the major excitatory neurotransmitter in the brain, and dysregulation of glutamate levels and downstream pathways has long been hypothesized to be a key molecular driver of schizophrenia. Recently large studies of the genetic basis of schizophrenia have identified the GRIN2A gene, which produces the GluN2A subunit of the NMDA receptor, as a critical genetic risk factor for the disease. Human pharmacology experiments have indicated that decreases in NMDA receptor activity can lead to schizophrenia-like symptoms in healthy volunteers. These studies suggest compounds which elevate NMDA receptor activity have the potential to treat the disease.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Pharmacological Properties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identified a series of investigational GRIN2A positive allosteric modulators that are designed to be potent, selective and orally bioavailable, and which are in the lead optimization stage. The lead molecules have been through experiments in whole cells, known as cell-based assays, to evaluate potential mechanism and selectivity. Currently, we are characterizing lead compounds in animal models to confirm target engagement and efficacy.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Data Science Approach</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are in the process of generating Precision Phenotypes from multimodal schizophrenia datasets that we plan to align with the pharmacological fingerprint of NMRA-GRIN2A compounds. To define the pharmacological fingerprint for the GRIN2A program, we are looking to generate data across the four modalities of genetics, imaging, EEG and clinical.</w:t>
      </w:r>
    </w:p>
    <w:p>
      <w:pPr>
        <w:spacing w:after="0" w:line="89" w:lineRule="exact"/>
        <w:rPr>
          <w:sz w:val="20"/>
          <w:szCs w:val="20"/>
          <w:color w:val="auto"/>
        </w:rPr>
      </w:pPr>
    </w:p>
    <w:p>
      <w:pPr>
        <w:ind w:left="108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Genetics: We have developed a proprietary TWAS-based genetic signature that may serve as a potential biomarker of treatment response to enable patient enrichment in our clinical studies.</w:t>
      </w:r>
    </w:p>
    <w:p>
      <w:pPr>
        <w:spacing w:after="0" w:line="75" w:lineRule="exact"/>
        <w:rPr>
          <w:rFonts w:ascii="Arial" w:cs="Arial" w:eastAsia="Arial" w:hAnsi="Arial"/>
          <w:sz w:val="18"/>
          <w:szCs w:val="18"/>
          <w:color w:val="auto"/>
        </w:rPr>
      </w:pPr>
    </w:p>
    <w:p>
      <w:pPr>
        <w:ind w:left="1080" w:right="80" w:hanging="532"/>
        <w:spacing w:after="0" w:line="308"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Imaging: We have developed proprietary hierarchical imaging feature signatures which we have applied to the imaging data in the Bipolar &amp; Schizophrenia Network on Intermediate Phenotypes (B-SNIP) dataset which we have co-clustered with clinical data.</w:t>
      </w:r>
    </w:p>
    <w:p>
      <w:pPr>
        <w:spacing w:after="0" w:line="51" w:lineRule="exact"/>
        <w:rPr>
          <w:rFonts w:ascii="Arial" w:cs="Arial" w:eastAsia="Arial" w:hAnsi="Arial"/>
          <w:sz w:val="17"/>
          <w:szCs w:val="17"/>
          <w:color w:val="auto"/>
        </w:rPr>
      </w:pPr>
    </w:p>
    <w:p>
      <w:pPr>
        <w:ind w:left="1080" w:hanging="532"/>
        <w:spacing w:after="0" w:line="25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EEG: GRIN2A targeted therapeutics can also be paired with quantitative biomarkers for patient stratification. Mismatch negativity (MMN) is a biomarker measured by EEG based on the brain’s response to unexpected stimuli. MMN as a biomarker is robustly impaired in schizophrenia patients, translatable between rodents and humans, sensitive to NMDA receptor activity and linked to circuit level brain dysfunction. We have developed a proprietary EEG data processing pipeline and have onboarded the B-SNIP dataset which includes EEG data.</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Clinical: In future clinical trials we will assess measures of efficacy that are associated with Precision Phenotypes for schizophrenia.</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NMRA-GRIN2A program is in the discovery stage.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NMRA-GRIN2B</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NMRA-GRIN2B is a GRIN2B negative allosteric modulator program designed to be selective for the GluN2B receptor subunit of the NMDA receptor that we intend to develop for subpopulations of MDD. Antagonism of the NMDA receptor is a clinically validated approach for subpopulations of MDD, as evidenced by the approval of esketamine. Early clinical studies with GRIN2B-selective compounds suggest similar clinical efficacy as ketamine but with less side effects associated with them. We are generating Precision Phenotypes for MDD from our integrated multimodal datasets, which we will then align with the pharmacological fingerprint for our NMRA-GRIN2B program to define a Precision Phenotype for future development.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Similar to NMRA-140, we are evaluating NMRA-GRIN2B in subsets of patients with MDD.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Ketamine is a non-selective NMDA antagonist. Ketamine and its enantiomer, which is a chemically identical but mirror-image compound (in this case, SPRAVATO from Johnson &amp; Johnson), have demonstrated a rapid and durable effect in subpopulations of patients with depression; however, both produce psychiatric side effects. Other NMDA antagonists selective for the GRIN2B receptor have shown similar efficacy with less risk for psychiatric side effects. Preclinical data in rodents has suggested the efficacy of ketamine is through antagonism of GluN2B containing receptors. In model systems GRIN2B antagonism has been shown to increase specific signaling pathway activity on specific cell-types, which can rapidly reverse signaling depression-related deficits. Preliminary human data with a PET ligand which measures synapse density suggests depressed patients with fewer synapses may be more responsive to NMDA inhibition therapies.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Pharmacological Properties</w:t>
      </w:r>
    </w:p>
    <w:p>
      <w:pPr>
        <w:spacing w:after="0" w:line="117"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We have identified a series of potent, selective, orally bioavailable and brain penetrant GRIN2B negative allosteric modulators which are at the lead optimization stage. The lead molecules have been through cell-based assays to confirm mechanism and selectivity.</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Data Science Approach</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are in the process of generating Precision Phenotypes from multimodal MDD datasets that we plan to align with the pharmacological fingerprint of NMRA-GRIN2B compounds. To define the pharmacological fingerprint for the GRIN2A program, we are looking to generate data across the four modalities of genetics, imaging, EEG and clinical.</w:t>
      </w:r>
    </w:p>
    <w:p>
      <w:pPr>
        <w:spacing w:after="0" w:line="89" w:lineRule="exact"/>
        <w:rPr>
          <w:sz w:val="20"/>
          <w:szCs w:val="20"/>
          <w:color w:val="auto"/>
        </w:rPr>
      </w:pPr>
    </w:p>
    <w:p>
      <w:pPr>
        <w:ind w:left="108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Genetics: We have developed a proprietary TWAS-based genetic signature that may serve as a potential biomarker of treatment response to enable patient enrichment in our clinical studies.</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Imaging: We will leverage pharmaco-fMRI to determine if GRIN2B NAMs modify brain circuits underlying depression. It is also possible to use PET imaging to measure synaptic integrity to define patients with high, medium and low levels of synapses which could predict response to this mechanism.</w:t>
      </w:r>
    </w:p>
    <w:p>
      <w:pPr>
        <w:spacing w:after="0" w:line="89"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EEG: We believe GRIN2B NAMs can also be paired with EEG for patient stratification, which we will leverage in future studies. In preclinical studies, GRIN2B NAMs showed a unique EEG signature.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Clinical: In future clinical trials, we will assess measures of efficacy that are associated with Precision Phenotypes for MDD.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NMRA-GRIN2B program is in the discovery stage.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NMRA-NRLP3</w:t>
      </w:r>
    </w:p>
    <w:p>
      <w:pPr>
        <w:spacing w:after="0" w:line="117"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NMRA-NLRP3 is an inhibitor program focused on targeting the NLRP3 inflammasome for the treatment of certain neurodegenerative conditions. The NLRP3 inflammasome can be activated in brain microglia and other cell types by a range of proteins linked to neurodegeneration, including alpha-synuclein, which suggests the inflammasome may have a mechanistic role in PD. We are in the process of generating Precision Phenotypes for PD from our integrated multimodal datasets, which we will then align with the pharmacological fingerprint for our NMRA-NLRP3 program to define a Precision Phenotype for future development.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PD is a neurodegenerative disorder resulting in progressive and debilitating motor symptoms, such as hypokinesia, or decreased body movement, and bradykinesia, or rigidity, tremor, and postural instability. PD patients lose dopamine-producing neurons in the substantia nigra, the region of the brain responsible for motor control. Approximately one million people in the United States have PD.</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Current therapeutics for PD focus on increasing levels of dopamine to manage disease symptoms. For example, levodopa/l-dopa is converted into dopamine in the brain while mono-amine oxidase-B and catechol-O-methyl transferase inhibitors reduce the breakdown of dopamine. Each therapeutic class has meaningful limitations in efficacy and side-effects.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NLRP3 inflammasome is a central component of the innate immune system and is chronically activated in neurodegenerative and inflammatory diseases. It is essential for triggering innate immunity and protecting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host from a variety of pathogens and cellular stressors. Pathological proteins associated with PD, ALS, and AD have also been shown to activate the NLRP3 inflammasome, including (i) alpha-synuclein, a protein that plays multiple roles in brain cell function including regulating communications between nerve cells, (ii) TDP-43, a protein involved in regulating the processing of molecules known as messenger RNAs (mRNAs) which are the intermediates between DNA and proteins in a cell, (iii) beta-amyloid, a protein whose function is poorly understood but which is over-produced in Alzheimer’s disease, and (iv) tau, a protein that provides structural support to cells. For example, post-mortem analysis of human brains from PD patients showed elevated NLRP3 expression in dopamine producing neurons. Rare NLRP3 mutations can be protective in PD due to downregulation of NLRP3 protein expression. A growing body of work in PD model systems has shown that inhibition of the NLRP3 inflammasome can impact various disease phenotypes in a therapeutically relevant manner.</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Pharmacological Properties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have has identified multiple series of investigational NLRP3 inhibitors that showed potency and selectivity in preclinical studies. We have evaluated compounds in a range of cellular assays in different immortalized cell lines and primary immune cells.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Data Science Approach</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are in the process of generating Precision Phenotypes from multimodal PD datasets that we plan to align with the pharmacological fingerprint of NMRA-NLRP3 compounds. To define the pharmacological fingerprint for the NLRP3 program, we are looking to generate data across the two modalities of genetics and clinical.</w:t>
      </w:r>
    </w:p>
    <w:p>
      <w:pPr>
        <w:spacing w:after="0" w:line="89" w:lineRule="exact"/>
        <w:rPr>
          <w:sz w:val="20"/>
          <w:szCs w:val="20"/>
          <w:color w:val="auto"/>
        </w:rPr>
      </w:pPr>
    </w:p>
    <w:p>
      <w:pPr>
        <w:ind w:left="108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Genetics: We have onboarded the Parkinson’s Progression Markers Initiative (PPMI) dataset and have analyzed the genetic architecture of PD through multiple lenses, including TWAS, EQTL, differential expression, GWAS and co-localization. These genomics pipelines originally developed for the CK1d program over a course of months were redeployed and leveraged for the NLRP3 platform in a matter of weeks.</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Clinical: We are in the process of applying our proprietary AI/ML methods to identify Precision Phenotypes of PD patients based upon the clinical data and genetics from the PPMI dataset.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NMRA-NLRP3 program is in the discovery stage.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NMRA-GCase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NMRA-GCase is an activator program focused on elevating the activity of the enzyme GCase that we intend to develop for the treatment of PD. Mutations in the GBA gene, which codes for the enzyme GCase, the single largest genetic risk factor for PD. GCase deficiencies lead to lysosomal storage disorders, and a subgroup of patients with PD have lysosomal dysfunction. Leveraging the work from our NMRA-NLRP3 program, we are generating Precision Phenotypes for PD from our integrated multimodal datasets, which we will then align with the pharmacological fingerprint for our NMRA-GCase program to define a Precision Phenotype for future development.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Indication Overview</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PD is a neurodegenerative disorder resulting in progressive and debilitating motor symptoms, such as hypokinesia, or decreased body movement, and bradykinesia, or rigidity, tremor, and postural instability. PD patients lose dopamine-producing neurons in the substantia nigra, the region of the brain responsible for motor control. Approximately one million people in the United States have PD.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 Rationale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enzyme GCase belongs to a family of proteins known as “lysosomal glycoside hydrolases” that are located within the lysosome compartments of cells and cause the cleavage of complex molecules containing sugar. The GBA gene encodes Gcase and homozygous or compound heterozygous mutation carriers in GBA are associated with Gaucher’s disease, a lysosomal storage disorder. Mutations in the GBA gene are associated with PD (approximately 10% of PD patients). Functional GCase is crucial for the recycling and disposal of proteins and lipids in the lysosome. Numerous scientific studies have demonstrated that GCase mutations trigger lysosomal dysfunction, cell toxicity, inflammation and the accumulation of alpha-synuclein (a hallmark of PD), which is toxic to neurons.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Pharmacological Properties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identified and validated multiple chemical hits as GCase activators. We are characterizing these compounds to identify a lead series.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Data Science Approach</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are in the process of generating Precision Phenotypes from integrated multimodal PD datasets that we plan to align with the pharmacological fingerprint of NMRA-GCase compounds. To define the pharmacological fingerprint for the GCase program, we are looking to generate data across the modalities of genetics, imaging, fluid biomarkers, including lysosomal metabolites, which are byproducts of protein degradation in the lysosome compartment of cells, and clinical. This program will be able to leverage the genetic and clinical data sciences work from the NLRP3 program in PD.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NMRA-GCase program is in the discovery stage.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Our success depends in large part upon our ability to obtain and maintain proprietary protection for our products and technologies and to operate without infringing the proprietary rights of others. Our policy is to protect our proprietary position by, among other methods, filing U.S. and foreign patent applications that relate to our proprietary technologies, inventions and improvements that are important to the development and implementation of our business. We also rely on trademarks, trade secrets, know-how and continuing technological innovation.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Portfolio</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patent portfolio includes three primary types of patents and patent applications: (i) molecule patents that cover composition of matter and methods of treatment; (ii) patents directed to our precision neuroscience platform that cover key artificial intelligence algorithms and machine learning-based processes for discovering, diagnosing, and monitoring Precision Phenotypes from multimodal data; and (iii) biomarker patents that cover methods of diagnosing and treating distinct sets of patients, which we refer to as Precision Phenotypes, with our molecules. As of September 30, 2021, we own, co-own, or have an exclusive license to over 140 patents and pending applications in the United States and foreign jurisdictions. These include 14 issued U.S. patents and 19 issued foreign patents.</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term of any individual issued patent depends upon the legal term of the patent in the country in which it is obtained. In most countries that we file, the patent term is 20 years from the earliest date of filing a nonprovisional patent application related to the issued patent. However, the actual protection afforded by 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issued patent varies on a product-by-product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A U.S. patent also may be accorded patent term adjustment, or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w:t>
      </w:r>
    </w:p>
    <w:p>
      <w:pPr>
        <w:spacing w:after="0" w:line="2"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an FDA-approved drug may also be eligible for patent term extension, which permits patent term restoration as compensation for the patent term lost during the FDA regulatory review process.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Molecule Patent Portfolio</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molecule patents include 49 owned and exclusively licensed patents and patent applications, of which include six issued U.S. patents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16 issued foreign patents. A further breakdown of our molecule patents and applications as of September 30, 2021 is below:</w:t>
      </w:r>
    </w:p>
    <w:p>
      <w:pPr>
        <w:spacing w:after="0" w:line="112" w:lineRule="exact"/>
        <w:rPr>
          <w:sz w:val="20"/>
          <w:szCs w:val="20"/>
          <w:color w:val="auto"/>
        </w:rPr>
      </w:pPr>
    </w:p>
    <w:p>
      <w:pPr>
        <w:ind w:left="1080" w:right="40" w:hanging="532"/>
        <w:spacing w:after="0" w:line="272"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NMRA-140: </w:t>
      </w:r>
      <w:r>
        <w:rPr>
          <w:rFonts w:ascii="Arial" w:cs="Arial" w:eastAsia="Arial" w:hAnsi="Arial"/>
          <w:sz w:val="17"/>
          <w:szCs w:val="17"/>
          <w:color w:val="auto"/>
        </w:rPr>
        <w:t>We own, co-own or exclusively license two patent families that include four issued U.S. patents, 16 issued foreign patents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additional pending U.S. and foreign patent applications related to NMRA-140. These patents and applications cover composition of matter. We have an exclusive license from TSRI to one of the patent families, which includes two issued U.S. patents. Patents in this family are additionally granted in Europe, Japan and Australia. Patents in this family are expected to expire in 2033, excluding any patent term adjustment or patent term extension. We co-own the other patent family with TSRI. This family has two patents granted in the United States and additional patent applications pending in Europe, Japan, China, Hong Kong, Canada, Australia, Brazil, Israel, India, Korea, Mexico, Eurasia, Singapore and South Africa. Patents in this family are expected to expire in 2038, excluding any patent term adjustment or patent term extension.</w:t>
      </w:r>
    </w:p>
    <w:p>
      <w:pPr>
        <w:spacing w:after="0" w:line="77" w:lineRule="exact"/>
        <w:rPr>
          <w:rFonts w:ascii="Arial" w:cs="Arial" w:eastAsia="Arial" w:hAnsi="Arial"/>
          <w:sz w:val="17"/>
          <w:szCs w:val="17"/>
          <w:color w:val="auto"/>
        </w:rPr>
      </w:pPr>
    </w:p>
    <w:p>
      <w:pPr>
        <w:ind w:left="1080" w:right="100" w:hanging="532"/>
        <w:spacing w:after="0" w:line="25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NMRA-511: </w:t>
      </w:r>
      <w:r>
        <w:rPr>
          <w:rFonts w:ascii="Arial" w:cs="Arial" w:eastAsia="Arial" w:hAnsi="Arial"/>
          <w:sz w:val="18"/>
          <w:szCs w:val="18"/>
          <w:color w:val="auto"/>
        </w:rPr>
        <w:t>We own one issued U.S. patent and 16 additional pending U.S. and foreign patent applications related to NMRA-511. These</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and applications cover composition of matter. This family has one patent granted in the United States and additional patent applications pending in Europe, Japan, China, Hong Kong, Canada, Australia, Israel, India, Korea, Mexico, New Zealand, Singapore and South Africa. The issued U.S. patent and future patents that issue are expected to expire in 2038, excluding any patent term adjustment or patent term extension.</w:t>
      </w:r>
    </w:p>
    <w:p>
      <w:pPr>
        <w:spacing w:after="0" w:line="88" w:lineRule="exact"/>
        <w:rPr>
          <w:rFonts w:ascii="Arial" w:cs="Arial" w:eastAsia="Arial" w:hAnsi="Arial"/>
          <w:sz w:val="18"/>
          <w:szCs w:val="18"/>
          <w:color w:val="auto"/>
        </w:rPr>
      </w:pPr>
    </w:p>
    <w:p>
      <w:pPr>
        <w:ind w:left="1080" w:right="100" w:hanging="532"/>
        <w:spacing w:after="0" w:line="314"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 xml:space="preserve">NMRA-094: </w:t>
      </w:r>
      <w:r>
        <w:rPr>
          <w:rFonts w:ascii="Arial" w:cs="Arial" w:eastAsia="Arial" w:hAnsi="Arial"/>
          <w:sz w:val="16"/>
          <w:szCs w:val="16"/>
          <w:color w:val="auto"/>
        </w:rPr>
        <w:t>We own one issued U.S. patent, one pending US application and one pending international application filed under the patent</w:t>
      </w:r>
      <w:r>
        <w:rPr>
          <w:rFonts w:ascii="Arial" w:cs="Arial" w:eastAsia="Arial" w:hAnsi="Arial"/>
          <w:sz w:val="16"/>
          <w:szCs w:val="16"/>
          <w:b w:val="1"/>
          <w:bCs w:val="1"/>
          <w:color w:val="auto"/>
        </w:rPr>
        <w:t xml:space="preserve"> </w:t>
      </w:r>
      <w:r>
        <w:rPr>
          <w:rFonts w:ascii="Arial" w:cs="Arial" w:eastAsia="Arial" w:hAnsi="Arial"/>
          <w:sz w:val="16"/>
          <w:szCs w:val="16"/>
          <w:color w:val="auto"/>
        </w:rPr>
        <w:t>cooperation treaty (PCT) related to NMRA-094. This patent and these applications cover composition of matter. The issued U.S. patent and future patents that issue are expected to expire in 2040, excluding any patent term adjustment or patent term extension.</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Precision Neuroscience Platform Patent Portfolio</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Our precision neuroscience platform is covered by process patents and patent applications relating to multimodal methods of identifying and monitoring subpopulations of patients, that we call Precision Phenotypes, that we believe will be higher responders to a specific therapeutic than populations comprised of traditional diagnostic groups. The process patents and patent applications are directed to (i) the use of tools to detect and capture data from patients using specific modalities, unimodal processing and/or diagnostic techniques for specific modality types; and (ii) multimodal machine learning and AI based processes for combining different types of data to identify and monitor patient subpopulations. Our precision neuroscience patent portfolio includes several patent families, comprising eight issued U.S. patents, three issued foreign patents and additional pending U.S. and foreign patent applications. The issued U.S. and foreign patent and future patents that issue from these families are expected to expire between 2038 and 2041, excluding any patent term adjustment.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precision neuroscience platform patent portfolio also includes the following components:</w:t>
      </w:r>
    </w:p>
    <w:p>
      <w:pPr>
        <w:spacing w:after="0" w:line="131" w:lineRule="exact"/>
        <w:rPr>
          <w:sz w:val="20"/>
          <w:szCs w:val="20"/>
          <w:color w:val="auto"/>
        </w:rPr>
      </w:pPr>
    </w:p>
    <w:p>
      <w:pPr>
        <w:ind w:left="1080" w:right="20" w:hanging="532"/>
        <w:spacing w:after="0" w:line="311"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Multimodal Processes: The platform patents include coverage for multimodal processes that span various modalities including genetic, transcriptomic, proteomic,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cell, MRI, EEG, voice, facial, behavioral, clinical and others. The platform patents include three granted U.S. patents, and additional patents and patent applications pending in the United States, Europe, Canada, Japan and China.</w:t>
      </w:r>
    </w:p>
    <w:p>
      <w:pPr>
        <w:spacing w:after="0" w:line="54" w:lineRule="exact"/>
        <w:rPr>
          <w:rFonts w:ascii="Arial" w:cs="Arial" w:eastAsia="Arial" w:hAnsi="Arial"/>
          <w:sz w:val="16"/>
          <w:szCs w:val="16"/>
          <w:color w:val="auto"/>
        </w:rPr>
      </w:pPr>
    </w:p>
    <w:p>
      <w:pPr>
        <w:ind w:left="1080" w:right="100" w:hanging="532"/>
        <w:spacing w:after="0" w:line="273"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Syllable Portfolio: The platform patents also include several active patent families from our acquisition of Syllable, covering methods of automatically identifying animal behaviors using three-dimensional video data. These families include five issued U.S. patents, three issued foreign patents, and additional pending patent applications. Patents are granted in the United States, Australia, China, Israel, Japan, and additional patent applications pending United States, Europe, Canada, and Australia. These families include five issued U.S. patents, three issued foreign patents, and additional pending patent applications. Patents are granted in the United States, Australia, China, Israel, Japan, and additional patent applications pending United States, Europe, Canada, and Australia.</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Biomarker Patent Portfolio</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Precision Phenotypes are covered by biomarker patents and applications directed to unimodal and multimodal biomarkers that identify patients that respond to specific drugs. These biomarker patents are process patents for identifying and diagnosing patients with selected biomarkers, and methods of treating patients with those biomarkers with neural drugs. We own four pending patent applications relating to biomarkers that are pending in the United States, Europe, Japan and China. Generally speaking, those selected biomarkers include genetic, proteomic, task based, clinical assessment based, and others.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to our reliance on patent protection for our inventions, product candidates and platforms, we also rely on trade</w:t>
      </w:r>
    </w:p>
    <w:p>
      <w:pPr>
        <w:spacing w:after="0" w:line="23"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color w:val="auto"/>
        </w:rPr>
        <w:t>secrets, know-how, confidentiality agreements and continuing technological innovation to develop and maintain our competitive position. For example, some elements of manufacturing processes, proprietary assays, analytics techniques and processes, knowledge gained through clinical experience such as approaches to dosing and administration and management of patients, as well as our platform algorithms, and related processes and software, are based on unpatented trade secrets and know-how that are not publicly disclosed.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of being used in our current or planned business or research and development are our exclusive property. In addition, we take other appropriate precautions, such as physical and technological security measures, to guard against misappropriation of our proprietary technologies by third parties.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also protect our brands through the procurement of trademark rights and have a portfolio of registered and pending trademark applications in the United States and abroad. As of September 30, 2021, the portfolio includes trademark applications for the marks NEUMORA, DIGITAL BIOPSY, and PRECISION PHENOTYPE that have been published by the U.S. patent and trademark office.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In-Licensing and Collaboration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Exclusive License Agreements with Amgen for CK1</w:t>
      </w:r>
      <w:r>
        <w:rPr>
          <w:rFonts w:ascii="Arial" w:cs="Arial" w:eastAsia="Arial" w:hAnsi="Arial"/>
          <w:sz w:val="18"/>
          <w:szCs w:val="18"/>
          <w:color w:val="auto"/>
        </w:rPr>
        <w:t>d</w:t>
      </w:r>
      <w:r>
        <w:rPr>
          <w:rFonts w:ascii="Arial" w:cs="Arial" w:eastAsia="Arial" w:hAnsi="Arial"/>
          <w:sz w:val="18"/>
          <w:szCs w:val="18"/>
          <w:i w:val="1"/>
          <w:iCs w:val="1"/>
          <w:color w:val="auto"/>
        </w:rPr>
        <w:t xml:space="preserve"> and GCase</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September 2021, we entered into two exclusive license agreements with Amgen (the Amgen Licenses) with one of the agreements covering development of products directed to casein kinase 1 delta (the CK1d License) and the other covering development of products directed to ß-Glucocerebrosidase (the GCase License).</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Under each Amgen License, Amgen granted to us a worldwide, exclusive, sublicensable license under certain of its patents and know-how to research, develop, manufacture, use and commercialize specified products containing compounds that, with respect to the CK1d License, are directed to CK1d, including compounds developed by us prior to the effective date of the CK1d License, and with respect to the GCase License, are directed to GCase, collectively referred to as the licensed products, for any and all uses. No patents have been filed pursuant to the Amgen License. The license grants are subject to Amgen’s right to use the licensed patents and know-how solely for internal research use. Until a specified period of time following the achievement of the first successful Phase 2 clinical trial for any licensed product, if we choose to sell, transfer, sublicense or divest rights to a licensed product in certain major markets, Amgen has a time-limited, exclusive right of first negotiation to enter into an agreement with us for such rights. Amgen also agreed to transfer to us certain licensed materials and licensed know-how relating to the licensed products.</w:t>
      </w:r>
    </w:p>
    <w:p>
      <w:pPr>
        <w:spacing w:after="0" w:line="16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Under each Amgen License, we are solely responsible for the research, development, manufacturing and commercialization of the licensed products. We are obligated to use commercially reasonable efforts to develop, manufacture, obtain regulatory approval, and commercialize at least one licensed product under each Amgen License. Under each Amgen License, we also agreed, until a specified period of time following first commercial sale of the first licensed product in the United States, not to clinically develop, commercialize, or manufacture any compounds or products, other than the licensed products, that are directed to CK1d or GCase, unless we treat them as licensed products that are subject to diligence, milestone and royalty obligations under the Amgen Licenses. If we choose not to treat such compounds or products obtained through a transaction with a third party as a licensed product, then we are obligated to divest or terminate the program for such compounds or products.</w:t>
      </w:r>
    </w:p>
    <w:p>
      <w:pPr>
        <w:spacing w:after="0" w:line="166"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Under the Amgen Licenses, we agreed to pay Amgen up to an aggregate of $360.0 million in commercial milestone payments upon the achievement of certain sales thresholds per licensed product under the CK1d License and up to an aggregate $360.0 million in commercial milestone payments upon the achievement of certain sales thresholds per licensed product under the GCase License. As of September 30, 2021, no milestone, royalty or other payments have been made to Amgen pursuant to the Amgen Licenses. We also agreed to pay tiered royalties at percentages ranging from the low to high-single-digits on annual worldwide net sales of licensed products under the CK1d License, and royalties at a low-single-digit percentage on annual worldwide net sales of licensed products under the GCase License, payable on a licensed product-by-licensed product and country-by-country basis until the later of the expiration of the last to expire licensed patent or Neumora patent claiming the composition of matter of such licensed product and the tenth anniversary of the first commercial sale of such licensed product in such country. Under each Amgen License, the royalty payments are subject to reductions on a country-by-country basis for lack of patent coverage, generic entry and payment obligations for third-party licenses. Additionally, under each of the Amgen Licenses, if we enter into a sublicense agreement prior to the second anniversary of the effective date of the Amgen Licenses, then we are also obligated to pay Amgen a low-double-digit percentage of sublicense income we receive for the CK1d and/or GCase programs.</w:t>
      </w:r>
    </w:p>
    <w:p>
      <w:pPr>
        <w:spacing w:after="0" w:line="17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Each of the Amgen Licenses continues in force until the expiration of all royalty payment obligations to Amgen. We may terminate either Amgen License at-will with 30 days’ prior written notice to Amgen at any time prior to the initiation of clinical development for any licensed product or 120 days’ prior written notice to Amgen at any time thereafter. Either party may terminate either Amgen License upon written notice for the other party’s material breach that remains uncured for ninety days or upon the other party’s bankruptcy or insolvency. Amgen may also terminate either Amgen License upon written notice if we breach our obligations to not clinically develop, commercialize or manufacture compounds or products directed to CK1d or GCase, other than licensed products, unless we treat them as licensed products or divest or terminate the program(s) for such compounds or products.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9" w:right="5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Upon termination of either of the Amgen Licenses, all rights and licenses granted by Amgen to us under that license will terminate, except that, under the CK1d License, we will retain rights to the compounds directed to CK1d that were developed by us prior to the effective date of the CK1d License. In addition, with respect to all other licensed products, at Amgen’s election and in return for tiered royalties at percentages ranging from the low to mid-single-digits on annual worldwide net sales under the CK1d License, and royalties at a low-single-digit percentage on annual worldwide net sales under the GCase License, we will grant to Amgen an automatic, worldwide, perpetual, sublicensable, irrevocable and exclusive license to exploit such licensed products, under all patent rights and know-how controlled by us that cover such licensed products and are necessary to exploit any such licensed product as it exists as of the termination date.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Collaboration Agreement with Amgen</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September 2021, we entered into a research collaboration and license agreement with Amgen (the Amgen Collaboration Agreement) to discover drug targets, biomarkers, Precision Phenotypes and other insights associated with CNS diseases that are generated by Amgen’s deCODE genetics and human data research capabilities. The term of the Amgen Collaboration Agreement is five years. In return for Amgen performing research and development activities under the Amgen Collaboration Agreement, we are committed to making non-refundable, non-creditable quarterly payments to Amgen over the next two years totalling $50.0 million and for the third year between $12.5 million and $25.0 million depending on whether certain progress milestones are achieved. These payments are due on a quarterly basis and as of November 30, 2021, we had paid Amgen an aggregate amount of $6.25 million. We will mutually agree on the compensation structure for the fourth and fifth years of the Amgen Collaboration Agreement. The Amgen Collaboration Agreement did not require the payment of upfront fees.</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collaboration is governed by a joint research committee comprised of an equal number of representatives from us and from Amgen. Under the Amgen Collaboration Agreement, each party will solely own the patents and know-how it solely generates in the performance of the collaboration activities and the parties will jointly own all patents and know-how they jointly generate in the performance of the collaboration activities. Amgen has granted to us an exclusive, worldwide, sublicensable, fully paid-up, royalty-free license under Amgen’s rights in and to the patents and know-how generated in the performance of the collaboration activities that are controlled by Amgen, to exploit therapeutic compounds and diagnostics for use with therapeutics to treat, ameliorate or prevent diseases with effects that manifest primarily in the CNS (the CNS Field). We have granted to Amgen an exclusive, worldwide, sublicensable, fully paid-up, royalty-free license under our rights in and to the patents and know-how generated in the performance of the collaboration activities that are controlled by us, to exploit therapeutic compounds and diagnostics for use with therapeutics outside of the CNS Field.</w:t>
      </w:r>
    </w:p>
    <w:p>
      <w:pPr>
        <w:spacing w:after="0" w:line="196"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also granted to Amgen an exclusive option to negotiate, and the right of first negotiation, to obtain exclusive, worldwide licenses to research, develop, commercialize and otherwise exploit up to two therapeutic products arising from the collaboration, which is exercisable on a product-by-product basis until a specified period of time following the achievement of the first successful Phase 2 clinical trial for such product. That right exists with respect to each compound for up to 60 days following positive Phase 2 results for the compound.</w:t>
      </w:r>
    </w:p>
    <w:p>
      <w:pPr>
        <w:spacing w:after="0" w:line="17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Either party may terminate the Amgen Collaboration Agreement upon material breach of the other party that is not cured within 90 days after written notice is given or for the other party’s insolvency or bankruptcy. In addition, the Amgen Collaboration Agreement terminates automatically on the third anniversary of the effective date if the parties are unable to agree on the compensation structure for the fourth and fifth years of the agreement.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part of the agreements, we issued to Amgen 157.0 million shares of our Series A-2 Preferred Stock. Additionally, Amgen purchased</w:t>
      </w:r>
    </w:p>
    <w:p>
      <w:pPr>
        <w:spacing w:after="0" w:line="35"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100.0 million shares of our Series A-2 Preferred Stock at a purchase price of $1.00 per share, for total consideration of $100.0 million. Subject to certain conditions, Amgen is also obligated to provide us additional financing of up to $100.0 million.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2015 TSRI License Agreement</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connection with the acquisition of BlackThorn in September 2020, we gained rights to a license agreement between BlackThorn and TSRI entered into in November 2015, as amended in November 2017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April 2019 (2015 TSRI License Agreement). Pursuant to the 2015 TSRI License Agreement, TSRI granted us a worldwide, exclusive license under certain patent rights and a worldwide, non-exclusive license under certain know-how relating to TSRI’s Kappa Opioid Receptor (KOR or NMRA-140), V1aR Receptor (V1aR or NMRA-511) Antagonist and oxytocin receptors (OTR) positive allosteric modulator programs (collectively, the TSRI Programs), in each case that is sublicensable under certain conditions, to use, manufacture and commercialize products (i) that are covered by the relevant licensed patents, (ii) that involve the use or incorporation of the licensed know-how or (iii) that are KOR, V1aR or OTR modulators discovered by BlackThorn within two years of the effective date of the 2015 TSRI License Agreement for the diagnostic, prophylactic and/or therapeutic treatment of humans and animals. The last patent expiration date for the patents licensed pursuant to the TSRI 2015 License Agreement is 2038, excluding any patent term adjustment or patent term extension. The licensed patent rights are subject to TSRI’s right to use the licensed patents for internal research and educational purposes and to grant non-exclusive licenses to other non-profit or academic institutions to use the licensed patent rights for internal research and educational purposes.</w:t>
      </w:r>
    </w:p>
    <w:p>
      <w:pPr>
        <w:spacing w:after="0" w:line="18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are subject to certain research and development milestone timeline obligations and have agreed to use commercially reasonable efforts to obtain regulatory approvals and to commercialize the licensed products.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the 2015 TSRI License Agreement, BlackThorn issued TSRI shares of its capital stock representing one percent of all outstanding shares of its capital stock calculated on a fully-diluted basis. We paid a change of control success fee to TSRI in shares of our Series A-1 convertible preferred stock with a fair value of $0.3 million. Beyond the payment of this change in control success fee, as of September 30, 2021, no milestone, royalty or other payments have been made to TSRI pursuant to the TSRI 2015 License.</w:t>
      </w:r>
    </w:p>
    <w:p>
      <w:pPr>
        <w:spacing w:after="0" w:line="187" w:lineRule="exact"/>
        <w:rPr>
          <w:sz w:val="20"/>
          <w:szCs w:val="20"/>
          <w:color w:val="auto"/>
        </w:rPr>
      </w:pPr>
    </w:p>
    <w:p>
      <w:pPr>
        <w:ind w:left="120" w:right="520" w:firstLine="440"/>
        <w:spacing w:after="0" w:line="291" w:lineRule="auto"/>
        <w:rPr>
          <w:sz w:val="20"/>
          <w:szCs w:val="20"/>
          <w:color w:val="auto"/>
        </w:rPr>
      </w:pPr>
      <w:r>
        <w:rPr>
          <w:rFonts w:ascii="Arial" w:cs="Arial" w:eastAsia="Arial" w:hAnsi="Arial"/>
          <w:sz w:val="16"/>
          <w:szCs w:val="16"/>
          <w:color w:val="auto"/>
        </w:rPr>
        <w:t>We are obligated to pay TSRI a specified nominal annual license fee that is creditable against any royalties due for that calendar year. Upon achieving specified development and regulatory milestone events, we are obligated to pay TSRI milestone payments in the aggregate of up to</w:t>
      </w:r>
    </w:p>
    <w:p>
      <w:pPr>
        <w:ind w:left="120" w:right="20"/>
        <w:spacing w:after="0" w:line="290" w:lineRule="auto"/>
        <w:rPr>
          <w:sz w:val="20"/>
          <w:szCs w:val="20"/>
          <w:color w:val="auto"/>
        </w:rPr>
      </w:pPr>
      <w:r>
        <w:rPr>
          <w:rFonts w:ascii="Arial" w:cs="Arial" w:eastAsia="Arial" w:hAnsi="Arial"/>
          <w:sz w:val="16"/>
          <w:szCs w:val="16"/>
          <w:color w:val="auto"/>
        </w:rPr>
        <w:t>$1.5 million for each TSRI Program and upon achieving specified commercial milestone events, we are obligated to pay TSRI milestone payments in the aggregate of up to $3.5 million for each occurrence. We are also obligated to pay TSRI a percentage ranging from the mid-single digits to sub-teen double digits of any sublicensing revenues we receive from a sublicensee. We also agreed to pay TSRI, on a product-by-product and country-by-country basis, royalties in the low-single digit percentages on worldwide net sales of products, which are either tiered or not tiered depending on the category of product, until the later of the expiration of the last to expire licensed patent in the world and the tenth anniversary of the first commercial sale of such licensed product in such country, subject to certain reductions for generic entry, lack of patent coverage and payment obligations for third-party licenses.</w:t>
      </w:r>
    </w:p>
    <w:p>
      <w:pPr>
        <w:spacing w:after="0" w:line="16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2015 TSRI License Agreement continues in force until the expiration of all royalty payment obligations to TSRI. We may terminate the 2015 TSRI License Agreement for any reason upon 90 days’ prior written notice to TSRI. TSRI may immediately terminate the 2015 TSRI License Agreement if we fail to make a payment and do not cure within 20 days after written notice from TSRI, default on our indemnification or insurance obligations, become insolvent or bankrupt, are convicted of a felony relating to the development, manufacture, or commercialization of the licensed products, underpay by a certain percentage within any specified period of time, or default in the performance of any of our other obligations and fail to remedy the default within 60 days after written notice from TSRI. In the event we do not use commercially reasonable efforts to achieve the research and development milestones within the agreed upon time period and do not either meet the milestone or make substantial progress towards achieving the goals of the applicable research and development plan for such Program, in each case, within a specified cure period, TSRI has the right, based on the decision of an arbitrator, to either terminate the 2015 TSRI License Agreement with respect to a particular Program or terminate the 2015 License Agreement in its entirety. Upon any termination, all rights and licenses granted by TSRI to us will terminate. We also agreed to grant to TSRI, in return for royalties at a low-single-digit percentage of TSRI’s net sales of licensed products, an irrevocable, exclusive, worldwide, perpetual, sublicensable license to data, information, or other materials exclusively controlled by us that directly relate to the licensed products, to research, develop, manufacture and commercialize the licensed products for the diagnostic, prophylactic and/or therapeutic treatment of humans and animals.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Harvard License Agreement</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connection with the acquisition of Syllable, we gained rights to a license agreement between Syllable and President and Fellows of Harvard College (Harvard), entered into in June 2020 (as amended in March 2021, the Harvard License Agreement). Pursuant to the Harvard License Agreement, Syllable was granted an exclusive, worldwide, royalty-bearing, sublicensable license under certain patent rights and copyrights covering behavior imaging and behavioral tracking software, to develop, manufacture and commercialize products and services covered by such patent rights or that incorporate or use such software, in the field of methods, equipment, systems and services included within such patent rights. The last patent expiration date for the patents licensed pursuant to the Harvard License Agreement is 2040, excluding any patent term adjustment or patent term extension. The licensed patent rights are subject to Harvard’s and other non-profit organizations’ right to use the patent rights and software for research, educational and scholarly purposes and to one for-profit third party’s right to use certain existing patent rights and software for internal research and development purposes, which was secured under a previously existing agreement.</w:t>
      </w:r>
    </w:p>
    <w:p>
      <w:pPr>
        <w:spacing w:after="0" w:line="18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agreed to use commercially reasonable efforts to develop licensed products in accordance with a development plan and to commercialize licensed products. Additionally, we have obligations to achieve certain development and commercial milestones within specified time periods between December 2021 and January 2024. Failure to meet such milestones constitutes a material breach of contract that entitles Harvard to terminate the Harvard License Agreement.</w:t>
      </w:r>
    </w:p>
    <w:p>
      <w:pPr>
        <w:spacing w:after="0" w:line="187"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Under the Harvard License Agreement, Syllable paid a nominal upfront licensing fee and issued shares of its common stock representing five percent of its capital stock on a fully diluted basis. Syllable was also required to pay Harvard a change of control payment, which we agreed to pay on Syllable’s behalf as part of the acquisition and which was part of the net liabilities we assumed in the transaction. We are obligated to pay Harvard specified nominal annual license maintenance fees that are creditable against any royalty amounts payable for licensed products sold in the same year. We agreed to pay Harvard royalties in the mid-single digits on net sales, which are payable on a country-by-country and product-by-product basis until the later of (i) the expiration of the last to expire valid claim in the licensed patents that cover such product and (ii) the fifteenth anniversary of the first commercial sale of such product in such country. In addition, we are obligated to pay Harvard a percentage of sublicense income we receive, ranging from the high-teens to low-double-digits, based on the effective date of the sublicense agreement. As of September 30, 2021, no milestone, royalty or other payments have been made to Harvard pursuant to the Harvard License Agreement.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Harvard License Agreement will remain in force until the later of the (i) expiration of the last to expire valid claim in the licensed patents and</w:t>
      </w:r>
    </w:p>
    <w:p>
      <w:pPr>
        <w:spacing w:after="0" w:line="46" w:lineRule="exact"/>
        <w:rPr>
          <w:sz w:val="20"/>
          <w:szCs w:val="20"/>
          <w:color w:val="auto"/>
        </w:rPr>
      </w:pPr>
    </w:p>
    <w:p>
      <w:pPr>
        <w:ind w:left="120" w:right="80" w:hanging="4"/>
        <w:spacing w:after="0" w:line="253" w:lineRule="auto"/>
        <w:tabs>
          <w:tab w:leader="none" w:pos="38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fifteenth anniversary of the first commercial sale of the last licensed product offered for sale. We may terminate the Harvard License Agreement for convenience upon 120 days’ prior written notice to Harvard. Harvard may terminate the Harvard License Agreement upon notice if we become insolvent or bankrupt, or without notice, if we fail to meet development milestones or default in our obligations relating to procuring and maintaining insurance. Either party may terminate the Harvard License Agreement upon material breach of the other party that is not cured within 30 days after receiving written notice of breach.</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Vanderbilt License Agreement and Sponsored Research Agreement</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Pursuant to the Vanderbilt License Agreement, we obtained an exclusive, worldwide, royalty-bearing, sublicensable (subject to certain restrictions) license under certain patent rights and a non-exclusive, worldwide, royalty-bearing, sublicenseable (subject to certain restrictions) license under certain know-how covering small molecule positive allosteric modulators (PAMs) predominantly of the muscarinic acetylcholine receptor subtype 4 (M4), to develop, manufacture and commercialize products, processes, and services covered by such patent rights or that incorporate or use such know-how, for any and all uses. We also have an exclusive option, exercisable for a specified period of time, to obtain an exclusive license to certain patent rights conceived or developed by Vanderbilt in the course of carrying out the sponsored research pursuant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to a sponsored research agreement between us and Vanderbilt. The last patent expiration date for the licensed patents that are issued or expected to issue, from currently pending or provisional applications, pursuant to the Vanderbilt License Agreement is 2043, excluding any patent term adjustment or patent term extension. The licensed patent rights are subject to Vanderbilt’s right to use the patent rights for research, internal non-commercial use and educational purposes.</w:t>
      </w:r>
    </w:p>
    <w:p>
      <w:pPr>
        <w:spacing w:after="0" w:line="18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have agreed to use commercially reasonable efforts to develop and commercialize licensed products, and to achieve a certain development milestones, the first within a specified period following the effective date and the other on or before June 2024. Failure to meet our obligations in accordance with the Vanderbilt License Agreement to achieve such milestones may constitute a material breach of contract that entitles Vanderbilt to terminate the Vanderbilt License Agreement.</w:t>
      </w:r>
    </w:p>
    <w:p>
      <w:pPr>
        <w:spacing w:after="0" w:line="187"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Under the Vanderbilt License Agreement, we agreed to pay an upfront fee of $13.0 million. We are also obligated to pay Vanderbilt tiered royalties at mid-single-digit percentages on net sales of royalty-bearing products, which are payable on a country-by-country and product-by-product basis until the later of expiration of the last to expire valid claim covering composition of matter in the licensed patents and the tenth anniversary of the first commercial sale of such product in such country. Under the Vanderbilt License Agreement, the royalty payments are subject to reductions on a country-by-country basis for the lack of patent coverage, generic entry and payment obligations for third-party licenses. In addition, we are obligated to pay Vanderbilt a low-double-digit percentage of sublicense income we receive for sublicenses entered into before the achievement of a specified event. We also agreed to pay Vanderbilt payments of up to $42.0 million upon achievement of specified development milestone events and up to</w:t>
      </w:r>
    </w:p>
    <w:p>
      <w:pPr>
        <w:spacing w:after="0" w:line="2"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$380.0 million upon achievement of specified commercial milestone events. To date, no milestone, royalty or other payment (other than the upfront payment described above) has been payable to Vanderbilt pursuant to the Vanderbilt License Agreement.</w:t>
      </w:r>
    </w:p>
    <w:p>
      <w:pPr>
        <w:spacing w:after="0" w:line="18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Vanderbilt License Agreement will remain in force, on a country-by-country basis, until the expiration of all royalty payment obligations to Vanderbilt in such country. If we bring a patent challenge against any licensed patents, in addition to paying certain costs associated with the proceeding, Vanderbilt may convert the exclusive licenses to non-exclusive licenses or terminate the Vanderbilt License Agreement. If the licensed patents survive the patent challenge, all payments under the agreement will be increased by a specified amount. We have the right to terminate the Vanderbilt License Agreement at any time by providing Vanderbilt with 90 days’ prior notice. Vanderbilt has the right to terminate the Vanderbilt License Agreement if we file for bankruptcy. The Vanderbilt License Agreement will automatically terminate if our insurance coverage lapses and is not cured within 90 days. Vanderbilt also has the right to terminate if we fail to make payments, breach our diligence obligations or breach any other material term upon 60 days’ prior notice.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New Drug Application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federal, state, local and foreign statutes and regulations require the expenditure of substantial time and financial resources.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its implementing regulations. The process of obtaining regulatory approvals and the subsequent compliance with appropriate federal, state, local and foreign statutes and regulations require the expenditure of substantial time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financial resources. The process required by the FDA before a drug may be marketed in the United States generally involves the following:</w:t>
      </w:r>
    </w:p>
    <w:p>
      <w:pPr>
        <w:spacing w:after="0" w:line="142" w:lineRule="exact"/>
        <w:rPr>
          <w:sz w:val="20"/>
          <w:szCs w:val="20"/>
          <w:color w:val="auto"/>
        </w:rPr>
      </w:pPr>
    </w:p>
    <w:p>
      <w:pPr>
        <w:ind w:left="1080" w:right="38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(GLP) requirements and other applicable regulations;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(IRB) or ethics committee at each clinical site before each trial may be initiated;</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(GCPs) to establish the safety and efficacy of the proposed drug for its intended use;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preparation of and submission to the FDA of an NDA after completion of all pivotal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of selected clinical investigation sites to assess compliance with GCPs; and</w:t>
      </w:r>
    </w:p>
    <w:p>
      <w:pPr>
        <w:spacing w:after="0" w:line="54" w:lineRule="exact"/>
        <w:rPr>
          <w:rFonts w:ascii="Arial" w:cs="Arial" w:eastAsia="Arial" w:hAnsi="Arial"/>
          <w:sz w:val="16"/>
          <w:szCs w:val="16"/>
          <w:color w:val="auto"/>
        </w:rPr>
      </w:pPr>
    </w:p>
    <w:p>
      <w:pPr>
        <w:ind w:left="1080" w:right="50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7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preclinical developmental stage generally involves laboratory evaluations of chemistry, formulation and stability, as well as studies to evaluate the product candidate’s toxicity in animals, in an effort to support subsequent clinical testing. The conduct of preclinical studies is subject to federal regulations and requirements, including GLP regulations.</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the trial sponsor must submit an IND to the FDA. An IND is a request for authorization from the FDA to administer an investigational biologic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candidate, chemistry, manufacturing and controls information, and any available human data or literature to support the use of the product candidate.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96"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generally physicians not employed by or under the trial sponsor’s control,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subject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 including clinicaltrials.gov.</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080" w:right="100" w:hanging="532"/>
        <w:spacing w:after="0" w:line="286" w:lineRule="auto"/>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70" w:lineRule="exact"/>
        <w:rPr>
          <w:rFonts w:ascii="Arial" w:cs="Arial" w:eastAsia="Arial" w:hAnsi="Arial"/>
          <w:sz w:val="17"/>
          <w:szCs w:val="17"/>
          <w:color w:val="auto"/>
        </w:rPr>
      </w:pPr>
    </w:p>
    <w:p>
      <w:pPr>
        <w:ind w:left="1080" w:right="160" w:hanging="532"/>
        <w:spacing w:after="0" w:line="286" w:lineRule="auto"/>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0" w:lineRule="exact"/>
        <w:rPr>
          <w:rFonts w:ascii="Arial" w:cs="Arial" w:eastAsia="Arial" w:hAnsi="Arial"/>
          <w:sz w:val="17"/>
          <w:szCs w:val="17"/>
          <w:color w:val="auto"/>
        </w:rPr>
      </w:pPr>
    </w:p>
    <w:p>
      <w:pPr>
        <w:ind w:left="1080" w:right="220" w:hanging="532"/>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w:t>
      </w:r>
    </w:p>
    <w:p>
      <w:pPr>
        <w:spacing w:after="0" w:line="18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76"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In addition, 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Review and Approval Process</w:t>
      </w:r>
    </w:p>
    <w:p>
      <w:pPr>
        <w:spacing w:after="0" w:line="117"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unless a waiver or exemption applies.</w:t>
      </w:r>
    </w:p>
    <w:p>
      <w:pPr>
        <w:spacing w:after="0" w:line="19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has a goal of ten months from the filing date to complete a standard review of an NDA for a drug that is a new molecular entity. This review typically takes twelve months from the date the NDA is submitted to FDA because the FDA has approximately two months to make a “filing” decision after it the application is submitted. The FDA reviews an NDA to determine, among other things, whether a product is safe and effective for its intended use and whether its manufacturing is sufficient to assure and preserve the product’s identity, strength, quality and purity.</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 market studies and surveillance to further assess and monitor the product’s safety and effectiveness after commercialization, and may limit further marketing of the product based on the results of these post-marketing studies.</w:t>
      </w:r>
    </w:p>
    <w:p>
      <w:pPr>
        <w:spacing w:after="0" w:line="165"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In addition, the Pediatric Research Equity Act (PREA) requires a sponsor to conduct pediatric clinical trials for most drugs, for a new active ingredient, new indication, new dosage form, new dosing regimen or new route of administration. Under PREA,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For example, the Fast Track program is intended to expedite or facilitate the process for reviewing new product candidates that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candidate has opportunities for more frequent interactions with the applicable FDA review team during development and, once an NDA is submitted, the product candidate may be eligible for priority review.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Any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condition, and if approved, would provide a significant improvement in safety or effectiveness compared to available alternatives for such disease or condition. For new-molecular-entity NDAs, priority review designation means the FDA’s goal is to take action on the marketing application within six months of the 60-day filing date.</w:t>
      </w:r>
    </w:p>
    <w:p>
      <w:pPr>
        <w:spacing w:after="0" w:line="18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6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in the United States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6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Drug products manufactured or distributed pursuant to FDA approvals are subject to pervasive and continuing regulation by the FDA, including, among other things, requirements relating to record-keeping,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8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2"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Market exclusivity provisions authorized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7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U.S. Regulatory Requirements</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In addition to FDA regulation of pharmaceutical products, pharmaceutical companies are also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authorization. Such laws include, without limitation, state and federal anti-kickback, fraud and abuse, false claims, data privacy and security, and transparency laws and regulations related to drug pricing and payments and other transfers of value made to physicians and other healthcare providers. If their operations are found to be in violation of any of such laws or any other governmental regulations that apply, they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In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the United States, there have been, and continue to be, legislative and regulatory changes and proposed changes regarding the healthcare system that could prevent or delay marketing approval of product candidates, restrict or regulate post-approval activities, and affect the profitable sale of product candidates, and similar healthcare laws and regulations exist in the EU and other jurisdictions. 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9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By way of example, in March 2010, the Patient Protection and Affordable Care Act (the ACA) was passed, which substantially changed the way healthcare is financed by both governmental and private insurers, and significantly affected the pharmaceutical industry. The ACA, among other things, increased the minimum level of Medicaid rebates payable by manufacturers of brand name drugs from 15.1% to 23.1% of the average manufacturer price;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and Medicaid Innovation at the CMS to test innovative payment and service delivery models to lower Medicare and Medicaid spending, potentially including prescription drug spending.</w:t>
      </w:r>
    </w:p>
    <w:p>
      <w:pPr>
        <w:spacing w:after="0" w:line="17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Since its enactment, there have been judicial, executive and political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7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addition, other legislative changes have been proposed and adopted since the ACA was enacted. For example,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Further, in August 2011,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Budget Control Act of 2011, among other things, included aggregate reductions to Medicare payments to providers of 2% per fiscal year, which went into effect on April 1, 2013 and, due to subsequent legislative amendments to the statute, will remain in effect through 2031, with the exception of a temporary suspension from May 1, 2020 through March 31, 2022, unless additional Congressional action is taken. Under current legislation the actual reduction in Medicare payments will vary from 1% in 2022 to up to 3% in the final fiscal year of this sequester.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6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The likelihood of success of these and other reforms initiated by the former Trump administration is unclear, particularly in light of the new Biden administration.</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Numerous state, federal and foreign laws, regulations and standards govern the collection, use, access to, confidentiality and security of health-related and other personal information, including clinical trial data,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(e.g., Section 5 of the FTC Act) govern the collection, use, disclosure and protection of health-related and other personal information. Further, to the extent we collect personal data from individuals outside of the United States, through clinical trials or otherwise, we could be subject to foreign laws, such as the GDPR, which govern the privacy and security of personal data, including health-related data. Our use of AI/ML may also be subject to evolving laws and regulations, controlling for data bias and antidiscrimination.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Total research and development expenses were $0 for the period of November 22, 2019 (inception) through December 31, 2019, $17.6 million for the year ended December 31, 2020 and $6.7 million and $36.9 million for the nine months ended September 30, 2020 and 2021, respectively.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intend to retain significant development and commercial rights to our product candidates and, if marketing approval is obtained, we may commercialize our product candidates on our own, or potentially with a partner, in the United States and other geographies. We currently have no sales, marketing or commercial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product distribution capabilities. We may build the necessary infrastructure and capabilities over time for the United States, and potentially other regions, though like all things we do, we would seek to leverage technology to build these capabilities over time to be significantly more efficient than the industry average. Decisions to create this infrastructure and capability will be made following further advancement of our product candidates and based on our assessment of our ability to build said capabilities and infrastructure with competitive advantage. Clinical data, the size of the addressable patient population, the size of the commercial infrastructure, manufacturing needs and major trends as to how value is accrued in the industry may all influence or alter our commercialization plans.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do not own or operate any manufacturing facilities. We currently depend on third-party CMOs for all of our requirements of raw materials, drug substance and drug product for our preclinical research and our ongoing clinical trials of our product candidates. Certain of these CMOs, including the drug substance supplier for our NMRA-140 program (Almac) and the drug product suppliers for our NMRA-140 (Almac), NMRA-511 (Aptuit) and NMRA-094 (Piramal) programs, are single source suppliers. None of these single source suppliers have the ability to terminate these agreements for convenience and there are no minimum purchase commitments. If not extended by us and the counter parties thereto, these supplier agreements terminate in the following years: Almac in October 2023, Aptuit in May 2023 and Piramal in August 2026. We intend to continue to rely on CMOs for later-stage development and commercialization of our product candidates, including any additional product candidates that we may identify. Although we rely on CMOs, we have personnel and third-party consultants with extensive manufacturing experience to oversee the relationships with our contract manufacturers.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a clinical-stage biotechnology company pioneering a precision medicine approach for brain diseases through the integration of data science and neuroscience. Our efforts to date have resulted in a pipeline of eight clinical and preclinical precision neuroscience programs targeting a broad range of underserved neuropsychiatric disorders and neurodegenerative diseases. Our platform is powered by advanced AI/ML methods that integrate multiple modalities of data from individual patients to deconvolve complex drivers of brain diseases to create Data Biopsy Signature. As such, we compete with multiple pharmaceutical and biotechnology companies that are similarly working to develop therapeutics targeting neuropsychiatric disorders and neurodegenerative diseases, as well as companies that are integrating computational and data science methods into their drug discovery and development activities and/or are creating scalable scientific platforms with the potential to generate large therapeutic pipelines. While we believe we have the competitive advantages referred to above, we face competition from major pharmaceutical and biotechnology companies, academic institutions, governmental agencies, consortiums and public and private research institutions, among others, many of whom have significantly greater resources than us. Notable competitors include traditional biotechnology companies targeting brain diseases such as Cerevel Therapeutics, Sage Therapeutics, ATAI Life Sciences, Karuna Therapeutics, Prothena, Cortexyme, Intra-Cellular Therapies and Alector; and other biotechnology companies that are increasingly making their own investments in the application of AI/ML methods across the drug discovery and development value chain such as AbCellera, Adaptive Biotechnologies, Recursion Pharmaceuticals and Absci. Such companies apply sophisticated computational tools to unlock novel insights or accelerate drug discovery and development across different points in the value chain.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corporate headquarters are located in Watertown, Massachusetts, where we lease approximately 7,200 square feet of office and laboratory space pursuant to a lease agreement which was executed in September 2020 and expires in October 2023.</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March 2021, we entered into a new lease agreement for an office facility in South San Francisco, California. The term of the lease commenced in April 2021 and ends in December 2023.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believe that our existing facilities are sufficient for our near-term needs but expect to need additional space as we grow. We believe that suitable additional alternative spaces will be available in the future on commercially reasonable terms, if required.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of September 30, 2021, we had 84 employees, 56 of whom were primarily engaged in research and development activities. A total of 59 employees have an advanced degree. None of our employees are represented by a labor union or party to a collective bargaining agreement. We consider our relationship with our employees to be good.</w:t>
      </w:r>
    </w:p>
    <w:p>
      <w:pPr>
        <w:spacing w:after="0" w:line="184"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not currently a party to any material legal proceedings. From time to time,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and financial position. Additionally, any such claims, whether or not successful, could damage our reputation and business.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January 31,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760" w:type="dxa"/>
            <w:vAlign w:val="bottom"/>
            <w:gridSpan w:val="4"/>
          </w:tcPr>
          <w:p>
            <w:pPr>
              <w:spacing w:after="0"/>
              <w:rPr>
                <w:sz w:val="20"/>
                <w:szCs w:val="20"/>
                <w:color w:val="auto"/>
              </w:rPr>
            </w:pPr>
            <w:r>
              <w:rPr>
                <w:rFonts w:ascii="Arial" w:cs="Arial" w:eastAsia="Arial" w:hAnsi="Arial"/>
                <w:sz w:val="14"/>
                <w:szCs w:val="14"/>
                <w:b w:val="1"/>
                <w:bCs w:val="1"/>
                <w:color w:val="auto"/>
              </w:rPr>
              <w:t>Executive Officers and Employee Director</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580" w:type="dxa"/>
            <w:vAlign w:val="bottom"/>
            <w:gridSpan w:val="3"/>
          </w:tcPr>
          <w:p>
            <w:pPr>
              <w:ind w:left="1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89"/>
        </w:trPr>
        <w:tc>
          <w:tcPr>
            <w:tcW w:w="260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8"/>
                <w:szCs w:val="18"/>
                <w:color w:val="auto"/>
              </w:rPr>
              <w:t>Paul Berns</w:t>
            </w:r>
          </w:p>
        </w:tc>
        <w:tc>
          <w:tcPr>
            <w:tcW w:w="1160" w:type="dxa"/>
            <w:vAlign w:val="bottom"/>
          </w:tcPr>
          <w:p>
            <w:pPr>
              <w:spacing w:after="0"/>
              <w:rPr>
                <w:sz w:val="16"/>
                <w:szCs w:val="16"/>
                <w:color w:val="auto"/>
              </w:rPr>
            </w:pPr>
          </w:p>
        </w:tc>
        <w:tc>
          <w:tcPr>
            <w:tcW w:w="5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w:t>
            </w:r>
          </w:p>
        </w:tc>
        <w:tc>
          <w:tcPr>
            <w:tcW w:w="2980" w:type="dxa"/>
            <w:vAlign w:val="bottom"/>
          </w:tcPr>
          <w:p>
            <w:pPr>
              <w:spacing w:after="0" w:line="189" w:lineRule="exact"/>
              <w:rPr>
                <w:sz w:val="20"/>
                <w:szCs w:val="20"/>
                <w:color w:val="auto"/>
              </w:rPr>
            </w:pPr>
            <w:r>
              <w:rPr>
                <w:rFonts w:ascii="Arial" w:cs="Arial" w:eastAsia="Arial" w:hAnsi="Arial"/>
                <w:sz w:val="18"/>
                <w:szCs w:val="18"/>
                <w:color w:val="auto"/>
                <w:w w:val="90"/>
              </w:rPr>
              <w:t>Executive Officer, Director and Chairman</w:t>
            </w:r>
          </w:p>
        </w:tc>
        <w:tc>
          <w:tcPr>
            <w:tcW w:w="0" w:type="dxa"/>
            <w:vAlign w:val="bottom"/>
          </w:tcPr>
          <w:p>
            <w:pPr>
              <w:spacing w:after="0"/>
              <w:rPr>
                <w:sz w:val="1"/>
                <w:szCs w:val="1"/>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rPr>
              <w:t>Lori Lyons-Williams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rPr>
              <w:t>Joshua Pinto,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rPr>
              <w:t>Tamara L. Tompkins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w w:val="97"/>
              </w:rPr>
              <w:t>Chief Legal Officer and Corporate Secretary</w:t>
            </w:r>
          </w:p>
        </w:tc>
        <w:tc>
          <w:tcPr>
            <w:tcW w:w="0" w:type="dxa"/>
            <w:vAlign w:val="bottom"/>
          </w:tcPr>
          <w:p>
            <w:pPr>
              <w:spacing w:after="0"/>
              <w:rPr>
                <w:sz w:val="1"/>
                <w:szCs w:val="1"/>
                <w:color w:val="auto"/>
              </w:rPr>
            </w:pPr>
          </w:p>
        </w:tc>
      </w:tr>
      <w:tr>
        <w:trPr>
          <w:trHeight w:val="230"/>
        </w:trPr>
        <w:tc>
          <w:tcPr>
            <w:tcW w:w="3760" w:type="dxa"/>
            <w:vAlign w:val="bottom"/>
            <w:gridSpan w:val="4"/>
          </w:tcPr>
          <w:p>
            <w:pPr>
              <w:spacing w:after="0"/>
              <w:rPr>
                <w:sz w:val="20"/>
                <w:szCs w:val="20"/>
                <w:color w:val="auto"/>
              </w:rPr>
            </w:pPr>
            <w:r>
              <w:rPr>
                <w:rFonts w:ascii="Arial" w:cs="Arial" w:eastAsia="Arial" w:hAnsi="Arial"/>
                <w:sz w:val="18"/>
                <w:szCs w:val="18"/>
                <w:color w:val="auto"/>
              </w:rPr>
              <w:t>John Dunlop,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Head of Research and Development</w:t>
            </w:r>
          </w:p>
        </w:tc>
        <w:tc>
          <w:tcPr>
            <w:tcW w:w="0" w:type="dxa"/>
            <w:vAlign w:val="bottom"/>
          </w:tcPr>
          <w:p>
            <w:pPr>
              <w:spacing w:after="0"/>
              <w:rPr>
                <w:sz w:val="1"/>
                <w:szCs w:val="1"/>
                <w:color w:val="auto"/>
              </w:rPr>
            </w:pPr>
          </w:p>
        </w:tc>
      </w:tr>
      <w:tr>
        <w:trPr>
          <w:trHeight w:val="230"/>
        </w:trPr>
        <w:tc>
          <w:tcPr>
            <w:tcW w:w="3760" w:type="dxa"/>
            <w:vAlign w:val="bottom"/>
            <w:gridSpan w:val="4"/>
          </w:tcPr>
          <w:p>
            <w:pPr>
              <w:spacing w:after="0"/>
              <w:rPr>
                <w:sz w:val="20"/>
                <w:szCs w:val="20"/>
                <w:color w:val="auto"/>
              </w:rPr>
            </w:pPr>
            <w:r>
              <w:rPr>
                <w:rFonts w:ascii="Arial" w:cs="Arial" w:eastAsia="Arial" w:hAnsi="Arial"/>
                <w:sz w:val="18"/>
                <w:szCs w:val="18"/>
                <w:color w:val="auto"/>
              </w:rPr>
              <w:t>Daljit (Bill) Singh Aurora, Pharm.D.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Chief Corporate Affairs Officer</w:t>
            </w:r>
          </w:p>
        </w:tc>
        <w:tc>
          <w:tcPr>
            <w:tcW w:w="0" w:type="dxa"/>
            <w:vAlign w:val="bottom"/>
          </w:tcPr>
          <w:p>
            <w:pPr>
              <w:spacing w:after="0"/>
              <w:rPr>
                <w:sz w:val="1"/>
                <w:szCs w:val="1"/>
                <w:color w:val="auto"/>
              </w:rPr>
            </w:pPr>
          </w:p>
        </w:tc>
      </w:tr>
      <w:tr>
        <w:trPr>
          <w:trHeight w:val="418"/>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Key Employees</w:t>
            </w:r>
          </w:p>
        </w:tc>
        <w:tc>
          <w:tcPr>
            <w:tcW w:w="2800" w:type="dxa"/>
            <w:vAlign w:val="bottom"/>
            <w:gridSpan w:val="3"/>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9"/>
              </w:rPr>
              <w:t>48</w:t>
            </w:r>
          </w:p>
        </w:tc>
        <w:tc>
          <w:tcPr>
            <w:tcW w:w="3580" w:type="dxa"/>
            <w:vAlign w:val="bottom"/>
            <w:gridSpan w:val="3"/>
            <w:vMerge w:val="restart"/>
          </w:tcPr>
          <w:p>
            <w:pPr>
              <w:ind w:left="120"/>
              <w:spacing w:after="0"/>
              <w:rPr>
                <w:sz w:val="20"/>
                <w:szCs w:val="20"/>
                <w:color w:val="auto"/>
              </w:rPr>
            </w:pPr>
            <w:r>
              <w:rPr>
                <w:rFonts w:ascii="Arial" w:cs="Arial" w:eastAsia="Arial" w:hAnsi="Arial"/>
                <w:sz w:val="18"/>
                <w:szCs w:val="18"/>
                <w:color w:val="auto"/>
              </w:rPr>
              <w:t>Chief Scientific Officer</w:t>
            </w:r>
          </w:p>
        </w:tc>
        <w:tc>
          <w:tcPr>
            <w:tcW w:w="0" w:type="dxa"/>
            <w:vAlign w:val="bottom"/>
          </w:tcPr>
          <w:p>
            <w:pPr>
              <w:spacing w:after="0"/>
              <w:rPr>
                <w:sz w:val="1"/>
                <w:szCs w:val="1"/>
                <w:color w:val="auto"/>
              </w:rPr>
            </w:pPr>
          </w:p>
        </w:tc>
      </w:tr>
      <w:tr>
        <w:trPr>
          <w:trHeight w:val="195"/>
        </w:trPr>
        <w:tc>
          <w:tcPr>
            <w:tcW w:w="3760" w:type="dxa"/>
            <w:vAlign w:val="bottom"/>
            <w:gridSpan w:val="4"/>
          </w:tcPr>
          <w:p>
            <w:pPr>
              <w:spacing w:after="0" w:line="195" w:lineRule="exact"/>
              <w:rPr>
                <w:sz w:val="20"/>
                <w:szCs w:val="20"/>
                <w:color w:val="auto"/>
              </w:rPr>
            </w:pPr>
            <w:r>
              <w:rPr>
                <w:rFonts w:ascii="Arial" w:cs="Arial" w:eastAsia="Arial" w:hAnsi="Arial"/>
                <w:sz w:val="18"/>
                <w:szCs w:val="18"/>
                <w:color w:val="auto"/>
              </w:rPr>
              <w:t>Nicholas (Nick) Brandon, Ph.D.</w:t>
            </w:r>
          </w:p>
        </w:tc>
        <w:tc>
          <w:tcPr>
            <w:tcW w:w="540" w:type="dxa"/>
            <w:vAlign w:val="bottom"/>
            <w:vMerge w:val="continue"/>
          </w:tcPr>
          <w:p>
            <w:pPr>
              <w:spacing w:after="0"/>
              <w:rPr>
                <w:sz w:val="16"/>
                <w:szCs w:val="16"/>
                <w:color w:val="auto"/>
              </w:rPr>
            </w:pPr>
          </w:p>
        </w:tc>
        <w:tc>
          <w:tcPr>
            <w:tcW w:w="3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rPr>
              <w:t>Maryjo Chamberlain-Tharp,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rPr>
              <w:t>Julie Person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Chief People Officer</w:t>
            </w:r>
          </w:p>
        </w:tc>
        <w:tc>
          <w:tcPr>
            <w:tcW w:w="0" w:type="dxa"/>
            <w:vAlign w:val="bottom"/>
          </w:tcPr>
          <w:p>
            <w:pPr>
              <w:spacing w:after="0"/>
              <w:rPr>
                <w:sz w:val="1"/>
                <w:szCs w:val="1"/>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rPr>
              <w:t>John Reynders,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Chief Data Sciences Officer</w:t>
            </w:r>
          </w:p>
        </w:tc>
        <w:tc>
          <w:tcPr>
            <w:tcW w:w="0" w:type="dxa"/>
            <w:vAlign w:val="bottom"/>
          </w:tcPr>
          <w:p>
            <w:pPr>
              <w:spacing w:after="0"/>
              <w:rPr>
                <w:sz w:val="1"/>
                <w:szCs w:val="1"/>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rPr>
              <w:t>Jane Tiller, MBChB, FRCPsych</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rPr>
              <w:t>Lori Houle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Senior Vice President, Quality</w:t>
            </w:r>
          </w:p>
        </w:tc>
        <w:tc>
          <w:tcPr>
            <w:tcW w:w="0" w:type="dxa"/>
            <w:vAlign w:val="bottom"/>
          </w:tcPr>
          <w:p>
            <w:pPr>
              <w:spacing w:after="0"/>
              <w:rPr>
                <w:sz w:val="1"/>
                <w:szCs w:val="1"/>
                <w:color w:val="auto"/>
              </w:rPr>
            </w:pPr>
          </w:p>
        </w:tc>
      </w:tr>
      <w:tr>
        <w:trPr>
          <w:trHeight w:val="230"/>
        </w:trPr>
        <w:tc>
          <w:tcPr>
            <w:tcW w:w="3760" w:type="dxa"/>
            <w:vAlign w:val="bottom"/>
            <w:gridSpan w:val="4"/>
          </w:tcPr>
          <w:p>
            <w:pPr>
              <w:spacing w:after="0"/>
              <w:rPr>
                <w:sz w:val="20"/>
                <w:szCs w:val="20"/>
                <w:color w:val="auto"/>
              </w:rPr>
            </w:pPr>
            <w:r>
              <w:rPr>
                <w:rFonts w:ascii="Arial" w:cs="Arial" w:eastAsia="Arial" w:hAnsi="Arial"/>
                <w:sz w:val="18"/>
                <w:szCs w:val="18"/>
                <w:color w:val="auto"/>
              </w:rPr>
              <w:t>Carol Suh</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Vice President, Business Development</w:t>
            </w:r>
          </w:p>
        </w:tc>
        <w:tc>
          <w:tcPr>
            <w:tcW w:w="0" w:type="dxa"/>
            <w:vAlign w:val="bottom"/>
          </w:tcPr>
          <w:p>
            <w:pPr>
              <w:spacing w:after="0"/>
              <w:rPr>
                <w:sz w:val="1"/>
                <w:szCs w:val="1"/>
                <w:color w:val="auto"/>
              </w:rPr>
            </w:pPr>
          </w:p>
        </w:tc>
      </w:tr>
      <w:tr>
        <w:trPr>
          <w:trHeight w:val="418"/>
        </w:trPr>
        <w:tc>
          <w:tcPr>
            <w:tcW w:w="3760" w:type="dxa"/>
            <w:vAlign w:val="bottom"/>
            <w:gridSpan w:val="4"/>
          </w:tcPr>
          <w:p>
            <w:pPr>
              <w:spacing w:after="0"/>
              <w:rPr>
                <w:sz w:val="20"/>
                <w:szCs w:val="20"/>
                <w:color w:val="auto"/>
              </w:rPr>
            </w:pPr>
            <w:r>
              <w:rPr>
                <w:rFonts w:ascii="Arial" w:cs="Arial" w:eastAsia="Arial" w:hAnsi="Arial"/>
                <w:sz w:val="14"/>
                <w:szCs w:val="14"/>
                <w:b w:val="1"/>
                <w:bCs w:val="1"/>
                <w:color w:val="auto"/>
              </w:rPr>
              <w:t>Non-Employee Directors</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9"/>
              </w:rPr>
              <w:t>48</w:t>
            </w:r>
          </w:p>
        </w:tc>
        <w:tc>
          <w:tcPr>
            <w:tcW w:w="35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15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Kristina M. Burow</w:t>
            </w:r>
          </w:p>
        </w:tc>
        <w:tc>
          <w:tcPr>
            <w:tcW w:w="2240" w:type="dxa"/>
            <w:vAlign w:val="bottom"/>
            <w:gridSpan w:val="2"/>
          </w:tcPr>
          <w:p>
            <w:pPr>
              <w:spacing w:after="0"/>
              <w:rPr>
                <w:sz w:val="16"/>
                <w:szCs w:val="16"/>
                <w:color w:val="auto"/>
              </w:rPr>
            </w:pPr>
          </w:p>
        </w:tc>
        <w:tc>
          <w:tcPr>
            <w:tcW w:w="540" w:type="dxa"/>
            <w:vAlign w:val="bottom"/>
            <w:vMerge w:val="continue"/>
          </w:tcPr>
          <w:p>
            <w:pPr>
              <w:spacing w:after="0"/>
              <w:rPr>
                <w:sz w:val="16"/>
                <w:szCs w:val="16"/>
                <w:color w:val="auto"/>
              </w:rPr>
            </w:pPr>
          </w:p>
        </w:tc>
        <w:tc>
          <w:tcPr>
            <w:tcW w:w="3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rPr>
              <w:t>Matthew Fust</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rPr>
              <w:t>Maykin Ho, Ph.D.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rPr>
              <w:t>Robert Nelsen</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60" w:type="dxa"/>
            <w:vAlign w:val="bottom"/>
            <w:gridSpan w:val="4"/>
          </w:tcPr>
          <w:p>
            <w:pPr>
              <w:spacing w:after="0"/>
              <w:rPr>
                <w:sz w:val="20"/>
                <w:szCs w:val="20"/>
                <w:color w:val="auto"/>
              </w:rPr>
            </w:pPr>
            <w:r>
              <w:rPr>
                <w:rFonts w:ascii="Arial" w:cs="Arial" w:eastAsia="Arial" w:hAnsi="Arial"/>
                <w:sz w:val="18"/>
                <w:szCs w:val="18"/>
                <w:color w:val="auto"/>
              </w:rPr>
              <w:t>Kári Stefánsson, M.D.</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3760" w:type="dxa"/>
            <w:vAlign w:val="bottom"/>
            <w:gridSpan w:val="4"/>
          </w:tcPr>
          <w:p>
            <w:pPr>
              <w:spacing w:after="0"/>
              <w:rPr>
                <w:sz w:val="20"/>
                <w:szCs w:val="20"/>
                <w:color w:val="auto"/>
              </w:rPr>
            </w:pPr>
            <w:r>
              <w:rPr>
                <w:rFonts w:ascii="Arial" w:cs="Arial" w:eastAsia="Arial" w:hAnsi="Arial"/>
                <w:sz w:val="18"/>
                <w:szCs w:val="18"/>
                <w:color w:val="auto"/>
              </w:rPr>
              <w:t>Stacie Weninger, Ph.D.</w:t>
            </w:r>
            <w:r>
              <w:rPr>
                <w:rFonts w:ascii="Arial" w:cs="Arial" w:eastAsia="Arial" w:hAnsi="Arial"/>
                <w:sz w:val="15"/>
                <w:szCs w:val="15"/>
                <w:color w:val="auto"/>
              </w:rPr>
              <w:t>(4)</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35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Dr. Weninger has indicated her intention to resign as a director prior to the effectiveness of the registration statement for which this prospectus is a part.</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 and Employee Director</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Paul Berns </w:t>
      </w:r>
      <w:r>
        <w:rPr>
          <w:rFonts w:ascii="Arial" w:cs="Arial" w:eastAsia="Arial" w:hAnsi="Arial"/>
          <w:sz w:val="16"/>
          <w:szCs w:val="16"/>
          <w:color w:val="auto"/>
        </w:rPr>
        <w:t>has served as our Chief Executive Officer since November 2019 and as Chairman of our board of directors since January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Berns has been a member of ARCH Venture Partners since August 2018 and became a Managing Director in 2020. Mr. Berns was a consultant to the pharmaceutical industry July 2016 to August 2018, as well as from August 2012 to March 2014 and from July 2005 to March 2006. From March 2014 to June 2016, Mr. Berns served as President, Chief Executive Officer and Chairman of the board of directors at Anacor Pharmaceuticals a biopharmaceutical company, which was acquired by Pfizer in 2016. Previously, Mr. Berns served as President and Chief Executive Officer of Allos Therapeutics, a biopharmaceutical company, from March 2006 to September 2012, when it was acquired by Spectrum Pharmaceuticals. Mr. Berns was President and Chief Executive Officer of Bone Care International, a specialty pharmaceutical company, from June 2002 to July 2005, when it was acquired by Genzyme Corporation. Prior to that, Mr. Berns was Vice President and General Manager of the Immunology, Oncology and Pain Therapeutics business unit of Abbott Laboratories from 2001 to 2002, and from 2000 to 2001, he served as Vice President, Marketing of BASF Pharmaceuticals/Knoll, when it was acquired by Abbott Laboratories in 2001. Earlier in his career, Mr. Berns held various positions, including senior management roles, at Bristol Myers Squibb (BMS) from 1990 to 2000. Mr. Berns has served as a board member of the publicly</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980"/>
          </w:cols>
          <w:pgMar w:left="320" w:top="459" w:right="59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held companies UNITY Biotechnology since March 2018 and EQRx since January 2020. Mr. Berns has also served as a board member of the privately held companies Epirium Bio and HI Bio since July 2019 and August 2021, respectively. Mr. Berns has served as the chairman of the board of directors of the privately held company Happy AI since July 2019. Mr. Berns previously served on the boards of Jazz Pharmaceuticals, PLC (from April 2010 to July 2021), MC2 Therapeutics (from May 2017 to January 2020), Menlo Therapeutics (from November 2017 to March 2020), Anacor Pharmaceuticals (from June 2012 to June 2016), XenoPort (from November 2005 to May 2016), Allos Therapeutics (from March 2006 to September 2012) and Bone Care International (from June 2002 to July 2005). Mr. Berns holds a B.S. in Economics from the University of Wisconsin. We believe Mr. Berns is qualified to serve on our board of directors because of his extensive management and leadership experience with biopharmaceutical and life sciences companies.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Lori Lyons-Williams </w:t>
      </w:r>
      <w:r>
        <w:rPr>
          <w:rFonts w:ascii="Arial" w:cs="Arial" w:eastAsia="Arial" w:hAnsi="Arial"/>
          <w:sz w:val="17"/>
          <w:szCs w:val="17"/>
          <w:color w:val="auto"/>
        </w:rPr>
        <w:t>has served as our President and Chief Operating Officer since April 2021. Prior to joining Neumora, Ms. Lyons-Williams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Chief Commercial Officer of Dermira from December 2016 to May 2020, which was acquired by Eli Lilly in 2020. She previously served as the Vice President of Sales and Marketing at Allergan from January 2014 to August 2016. Ms. Lyons-Williams has served as an independent director on the board of Pipeline Therapeutics since September 2020 and previously served as independent director on the board of Five Prime Therapeutics from June 2019 to April 2021. Ms. Lyons-Williams holds a B.A. in Pre-Medicine from Virginia Polytechnic Institute and State University and an M.B.A. from the Carlson School of Management at the University of Minnesota.</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Joshua Pinto, Ph.D., </w:t>
      </w:r>
      <w:r>
        <w:rPr>
          <w:rFonts w:ascii="Arial" w:cs="Arial" w:eastAsia="Arial" w:hAnsi="Arial"/>
          <w:sz w:val="16"/>
          <w:szCs w:val="16"/>
          <w:color w:val="auto"/>
        </w:rPr>
        <w:t>has served as our Chief Financial Officer since June 2021. Prior to Neumora, Dr. Pinto was the director of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banking at Credit Suisse from 2015 to 2021, where he focused on the life sciences sector and was responsible for advising biotech companies on mergers, acquisitions, restructurings, activism and financing. Dr. Pinto worked for Piper Jaffray as an associate in healthcare banking from 2014 to 2015. Before that, he worked in global external R&amp;D at Eli Lilly and Company from 2013 to 2014. Dr. Pinto holds a B.S. in Business and Biochemistry from Centenary College of Louisiana, an M.B.A. in finance from McMaster University and a Ph.D. in Neuroscience from McMaster University.</w:t>
      </w:r>
    </w:p>
    <w:p>
      <w:pPr>
        <w:spacing w:after="0" w:line="16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Tamara L. Tompkins </w:t>
      </w:r>
      <w:r>
        <w:rPr>
          <w:rFonts w:ascii="Arial" w:cs="Arial" w:eastAsia="Arial" w:hAnsi="Arial"/>
          <w:sz w:val="17"/>
          <w:szCs w:val="17"/>
          <w:color w:val="auto"/>
        </w:rPr>
        <w:t>has served as our Chief Legal Officer and Corporate Secretary since October 2020. From June 2017 to September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Tompkins served as General Counsel and Corporate Secretary at UNITY Biotechnology. Prior to that, Ms. Tompkins served as an Operating Partner, General Counsel and Chief Administrative Officer of Khosla Ventures, a venture capital firm, from January 2013 to December 2016. From February 2005 to May 2012, Ms. Tompkins served as General Counsel of Amyris, a publicly held bio-renewables company. She began her career in private practice, first with Shearman &amp; Sterling, then Brobeck, Phleger &amp; Harrison, and finally as Of Counsel at Morgan Lewis. Ms. Tompkins holds a B.A. in History from Middlebury College and a J.D. from Georgetown University.</w:t>
      </w:r>
    </w:p>
    <w:p>
      <w:pPr>
        <w:spacing w:after="0" w:line="17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b w:val="1"/>
          <w:bCs w:val="1"/>
          <w:i w:val="1"/>
          <w:iCs w:val="1"/>
          <w:color w:val="auto"/>
        </w:rPr>
        <w:t xml:space="preserve">John Dunlop, Ph.D., </w:t>
      </w:r>
      <w:r>
        <w:rPr>
          <w:rFonts w:ascii="Arial" w:cs="Arial" w:eastAsia="Arial" w:hAnsi="Arial"/>
          <w:sz w:val="17"/>
          <w:szCs w:val="17"/>
          <w:color w:val="auto"/>
        </w:rPr>
        <w:t>serves as our Head of Research and Development and from March 2020 through December 2021 served as our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Scientific Officer. Prior to Neumora, Dr. Dunlop was most recently at Amgen from September 2016 to March 2020, where he led the neuroscience research program responsible for therapeutic discovery activities in neurodegenerative diseases, pain and migraine. From March 2012 to August 2016, he led neuroscience discovery and early development at AstraZeneca, and previously held executive leadership roles in neuroscience at Pfizer from November 2009 to March 2012 and Wyeth prior to that. Dr. Dunlop is an industry member of the HEAL (Helping End Addiction Long term) Partnership Committee, an NIH advisory committee established to support NIH initiatives launched to address the U.S. opioid crisis. He is a board member of Target-ALS, a non-profit enterprise dedicated to accelerating drug discovery and development in ALS, and MassBio, and is on the scientific advisory boards of Vigil Neuroscience and the Packard Center for ALS Research at Johns Hopkins. Dr. Dunlop holds a B.Sc. in Biochemistry from the University of Glasgow and a Ph.D. in Neuroscience from the University of St. Andrews.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Bill Aurora, Pharm.D., </w:t>
      </w:r>
      <w:r>
        <w:rPr>
          <w:rFonts w:ascii="Arial" w:cs="Arial" w:eastAsia="Arial" w:hAnsi="Arial"/>
          <w:sz w:val="17"/>
          <w:szCs w:val="17"/>
          <w:color w:val="auto"/>
        </w:rPr>
        <w:t>joined Neumora in August 2021 and serves as our Chief Corporate Affairs Officer. From July 2016 to June 2021,</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Dr. Aurora served as Chief Scientific Affairs Officer of Dermira, which was acquired by Eli Lilly in 2020. Previously, he held vice president roles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medical affairs at Neurocrine Biosciences from May 2015 to July 2016 as well as global scientific affairs at Merck Research Laboratories from</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September 2014 to April 2015 and Amgen from July 2002 to September 2014. Dr. Aurora holds a B.S. in pharmacy from the University of Texas at Austin and a Pharm.D. from the University of Texas Health Science Center, San Antonio, and is board certified in psychiatric pharmacy practice.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Employees</w:t>
      </w:r>
    </w:p>
    <w:p>
      <w:pPr>
        <w:spacing w:after="0" w:line="117"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b w:val="1"/>
          <w:bCs w:val="1"/>
          <w:i w:val="1"/>
          <w:iCs w:val="1"/>
          <w:color w:val="auto"/>
        </w:rPr>
        <w:t xml:space="preserve">Nicholas Brandon, Ph.D., </w:t>
      </w:r>
      <w:r>
        <w:rPr>
          <w:rFonts w:ascii="Arial" w:cs="Arial" w:eastAsia="Arial" w:hAnsi="Arial"/>
          <w:sz w:val="18"/>
          <w:szCs w:val="18"/>
          <w:color w:val="auto"/>
        </w:rPr>
        <w:t>has served as our Chief Scientific Officer since January 2022 and from April 2020 to December 2021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Research Officer. From April 2019 to April 2020, Dr. Brandon served as senior vice president and head of biology at Jnana Therapeutics. Previously, Dr. Brandon worked at AstraZeneca from May 2012 to April 2019, where he held multiple positions including chief scientist and head of neuroscience discovery. Previously, Dr. Brandon was head of psychiatry and behavioral disorders for a period that bridged the Wyeth and Pfizer Neuroscience organizations between April 2006 and May 2012. Dr. Brandon holds an undergraduate degree in Genetics from Pembroke College, Cambridge and a Ph.D. from University College London.</w:t>
      </w:r>
    </w:p>
    <w:p>
      <w:pPr>
        <w:spacing w:after="0" w:line="19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i w:val="1"/>
          <w:iCs w:val="1"/>
          <w:color w:val="auto"/>
        </w:rPr>
        <w:t>Maryjo Chamberlain-Tharp, Ph.D</w:t>
      </w:r>
      <w:r>
        <w:rPr>
          <w:rFonts w:ascii="Arial" w:cs="Arial" w:eastAsia="Arial" w:hAnsi="Arial"/>
          <w:sz w:val="16"/>
          <w:szCs w:val="16"/>
          <w:color w:val="auto"/>
        </w:rPr>
        <w:t>., has served as our Chief Business Officer since January 2022 and from August 2021 to December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our Senior Vice President of Business Development. From September 2014 to August 2021, Dr. Chamberlain-Tharp held multiple positions including Global Head of Academic Outreach and Sr. Director of Strategic Alliance Management at AbbVie. From March 2014 to September 2014, Dr. Chamberlain-Tharp was President and CEO at Z&amp;D Biopharma Consulting PLLC. Prior to that, from December 1997 to March 2014, Dr. Chamberlain-Tharp held multiple positions including Head of Neuroscience and East Coast Operations/Global External R&amp;D at Eli Lilly. Dr. Chamberlain-Tharp holds a B.S. in Molecular Biology from Purdue University, an M.B.A. from Indiana University Bloomington and a Ph.D. from Walden University.</w:t>
      </w:r>
    </w:p>
    <w:p>
      <w:pPr>
        <w:spacing w:after="0" w:line="16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Julie Person </w:t>
      </w:r>
      <w:r>
        <w:rPr>
          <w:rFonts w:ascii="Arial" w:cs="Arial" w:eastAsia="Arial" w:hAnsi="Arial"/>
          <w:sz w:val="16"/>
          <w:szCs w:val="16"/>
          <w:color w:val="auto"/>
        </w:rPr>
        <w:t>has served as our Chief People Officer since January 2021. Ms. Person’s prior experience includes heads of human resources roles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Sangamo from March 2019 to April 2020 and Audentes Therapeutics from April 2020 to January 2021. Ms. Person also served in senior leadership roles at Shire from September 2015 to February 2019 and McKesson from August 2001 to August 2014. Ms. Person holds a B.A. in Communications from Saint Mary’s College of California and attended the University of Michigan Ross School of Business Executive Leadership Program.</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John Reynders, Ph.D., </w:t>
      </w:r>
      <w:r>
        <w:rPr>
          <w:rFonts w:ascii="Arial" w:cs="Arial" w:eastAsia="Arial" w:hAnsi="Arial"/>
          <w:sz w:val="17"/>
          <w:szCs w:val="17"/>
          <w:color w:val="auto"/>
        </w:rPr>
        <w:t>has served as our Chief Data Sciences Officer since December 2020. Dr. Reynders is also founder and CEO of Latent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Strategies, a startup applying artificial intelligence, data sciences and game theory to business strategy and education. Prior to founding Latent Strategies in August 2020, Dr. Reynders served as Vice President, Data Sciences, Genomics and Bioinformatics at Alexion from September 2017 to August 2020. From July 2013 to December 2014, Dr. Reynders served as the founding Chief Information Officer of Moderna Therapeutics, and from October 2010 to July 2013, Dr. Reynders served as Vice President of R&amp;D information at AstraZeneca. From August 2007 to October 2010, Dr. Reynders served in leadership roles at Johnson &amp; Johnson, including as Vice President, Integrative Neuroscience and Biomarkers, Head of Informatics and Vice President of R&amp;D Information Technology. Previously, he served as Information Officer with Lilly Research Laboratories, Vice President of Informatics at Celera Genomics, and held roles as Director and Program Manager at the Los Alamos National Laboratory. Dr. Reynders holds a B.S. in Mathematics from Rensselaer Polytechnic Institute, a Ph.D. in Applied and Computational Mathematics from Princeton University and an M.B.A from Northwestern University Kellogg School of Management.</w:t>
      </w:r>
    </w:p>
    <w:p>
      <w:pPr>
        <w:spacing w:after="0" w:line="18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b w:val="1"/>
          <w:bCs w:val="1"/>
          <w:i w:val="1"/>
          <w:iCs w:val="1"/>
          <w:color w:val="auto"/>
        </w:rPr>
        <w:t xml:space="preserve">Jane Tiller, MBChB, FRCPsych, </w:t>
      </w:r>
      <w:r>
        <w:rPr>
          <w:rFonts w:ascii="Arial" w:cs="Arial" w:eastAsia="Arial" w:hAnsi="Arial"/>
          <w:sz w:val="17"/>
          <w:szCs w:val="17"/>
          <w:color w:val="auto"/>
        </w:rPr>
        <w:t>has served as our Chief Medical Officer since September 2020. Prior to Neumora, she was Chief Medical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at BlackThorn, a wholly owned subsidiary of our company, from March 2019 to its acquisition in September 2020. Dr. Tiller was head of European markets, Australia and Canada, at BMS from 2014 to 2018, where she oversaw all medical functions. During her tenure at BMS from May 2011 to December 2018, Dr. Tiller also served as vice president of global medical for neuroscience, virology and immunoscience and as full development team lead for the Alzheimer’s program. Prior to joining BMS, Dr. Tiller held various positions at Cephalon, including as Vice President of Neuroscience and Pain. Dr. Tiller was clinical director at the Maudsley Hospital, London, where she was responsible for clinical</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psychiatricservices for Southwark and across several London teaching hospitals. She was a consultant psychiatrist (attending) and honorary senior lecturer. Dr. Tiller holds a medical degree from the Glasgow University Medical School, an M.B.A. from Drexel University and an M.Phil. from the University of Pennsylvania.</w:t>
      </w:r>
    </w:p>
    <w:p>
      <w:pPr>
        <w:spacing w:after="0" w:line="184"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Lori Houle </w:t>
      </w:r>
      <w:r>
        <w:rPr>
          <w:rFonts w:ascii="Arial" w:cs="Arial" w:eastAsia="Arial" w:hAnsi="Arial"/>
          <w:sz w:val="17"/>
          <w:szCs w:val="17"/>
          <w:color w:val="auto"/>
        </w:rPr>
        <w:t>has served as our Senior Vice President of Quality since April 2021. From October 2017 to April 2021, Ms. Houle acted as the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Global Quality at Vir Biotechnology. Prior to Vir, Ms. Houle held leadership roles at Dermira from November 2014 to October 2017, Sarepta Therapeutics from October 2011 to September 2014, EraGen Bioscienses from to October 2010 to August 2011, Anteco Pharma June 2007 to September 2011, PPD from June 2004 to October 2010 and Wyeth (SPL) from May 1998 to June 2004. Ms. Houle holds degrees in Bacteriology and Medical Microbiology from the University of Wisconsin Madison and an M.B.A. from DeVry University.</w:t>
      </w:r>
    </w:p>
    <w:p>
      <w:pPr>
        <w:spacing w:after="0" w:line="176"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Carol Suh </w:t>
      </w:r>
      <w:r>
        <w:rPr>
          <w:rFonts w:ascii="Arial" w:cs="Arial" w:eastAsia="Arial" w:hAnsi="Arial"/>
          <w:sz w:val="17"/>
          <w:szCs w:val="17"/>
          <w:color w:val="auto"/>
        </w:rPr>
        <w:t>is one of our co-founders and has served as our Vice President of Business Development since January 2020. Ms. Suh has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ARCH Venture Partners since August 2018 and became a Partner in July 2021. While at ARCH, she has been involved in company creation and helped build Sana Biotechnology, Autobahn Therapeutics and Boundless Bio across the fields of cell and gene therapy, neuroscience and oncology. She has served on the board of directors of HI Bio since August 2021. Prior to ARCH, Carol helped launch Magenta Therapeutics, a biotechnology company, from May 2016 to August 2016. Previously, she was a consultant at Trinity Partners from January 2015 to May 2016. Ms. Suh began her career in R&amp;D strategy with GlaxoSmithKline’s Regenerative Medicine group from May 2014 to December 2014. Ms. Suh holds an A.B. in molecular cellular biology from Harvard University, where she trained under Dr. David Scadden at the Harvard Stem Cell Institute, an M.Phil. from Yale University, where she was awarded the National Science Foundation Graduate Research Fellowship for her work in stem cell biology, and an M.B.A. from Stanford Graduate School of Business.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i w:val="1"/>
          <w:iCs w:val="1"/>
          <w:color w:val="auto"/>
        </w:rPr>
        <w:t xml:space="preserve">Kristina M. Burow </w:t>
      </w:r>
      <w:r>
        <w:rPr>
          <w:rFonts w:ascii="Arial" w:cs="Arial" w:eastAsia="Arial" w:hAnsi="Arial"/>
          <w:sz w:val="16"/>
          <w:szCs w:val="16"/>
          <w:color w:val="auto"/>
        </w:rPr>
        <w:t>has served as a member of our board of directors since January 2020. Ms. Burow has served as Managing Director of 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Partners since November 2011 and previously held various roles at ARCH from August 2002 to November 2011. Ms. Burow currently serves on the boards of directors of several biopharmaceutical and biotechnology companies, including Boundless Bio since February 2018, Autobahn Therapeutics since February 2018, Gossamer Bio since January 2018, Beam Therapeutics since June 2017, Metacrine, Inc. since May 2015, Scholar Rock since August 2014 and UNITY Biotechnology since July 2013. She previously was a co-founder and member of the board of directors of Receptos, acquired by Celgene, and was a was a co-founder and member of the board of directors of Sapphire Energy. Ms. Burow previously served on the board of directors of Sienna Biopharmaceuticals, from October 2015 to December 2019, Vividion Therapeutics, Inc. from January 2017 to October 2021, VIR Biotechnology from January 2017 to September 2020, AgBiome, LLC from December 2012 to October 2021, BlackThorn from October 2013 to September 2020 and Lycera Corp. from April 2009 to 2020. Prior to joining ARCH, Ms. Burow was an Associate with the Novartis BioVenture Fund and an early employee at the Genomics Institute of the Novartis Research Foundation. Ms. Burow holds a B.S. in Chemistry from the University of California, Berkeley, an M.A. in Chemistry from Columbia University and an M.B.A. from the University of Chicago Booth School of Business. We believe Ms. Burow is qualified to serve on our board of directors because of her extensive experience investing in biopharmaceutical and biotechnology companies and her experience on boards of directors in the medical industry.</w:t>
      </w:r>
    </w:p>
    <w:p>
      <w:pPr>
        <w:spacing w:after="0" w:line="17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Matthew Fust </w:t>
      </w:r>
      <w:r>
        <w:rPr>
          <w:rFonts w:ascii="Arial" w:cs="Arial" w:eastAsia="Arial" w:hAnsi="Arial"/>
          <w:sz w:val="16"/>
          <w:szCs w:val="16"/>
          <w:color w:val="auto"/>
        </w:rPr>
        <w:t>has served as a member of our board of directors since December 2020. Mr. Fust is an advisor to life science companies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Executive Vice President and Chief Financial Officer of Onyx Pharmaceuticals from January 2009 to October 2013. Prior to that, Mr. Fust held the position of Chief Financial Officer of Jazz Pharmaceuticals from May 2003 to December 2008, and Chief Financial Officer of Perlegen Sciences from May 2002 to April 2003. Mr. Fust previously served as Senior Vice President and Chief Financial Officer of ALZA Corporation, where he was an executive from 1996 to 2002. Mr. Fust has served on the boards of directors of Ultragenyx Pharmaceutical since January 2014; Atara Biotherapeutics since March 2014; and Crinetics Pharmaceuticals since February 2018. Mr. Fust previously served on the boards of Dermira,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from April 2014 to February 2020, MacroGenics, from March 2014 to May 2020 and BlackThorn until June 2020. Mr. Fust holds a B.A. from the University of Minnesota and an M.B.A. from Stanford University Graduate School of Business. We believe Mr. Fust is qualified to serve on our board of directors because of his deep experience running and serving on the boards of biopharmaceutical companies.</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Maykin Ho, Ph.D., </w:t>
      </w:r>
      <w:r>
        <w:rPr>
          <w:rFonts w:ascii="Arial" w:cs="Arial" w:eastAsia="Arial" w:hAnsi="Arial"/>
          <w:sz w:val="16"/>
          <w:szCs w:val="16"/>
          <w:color w:val="auto"/>
        </w:rPr>
        <w:t>has served as a member of our board of directors since April 2021. Dr. Ho has more than 30 years of experience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and finance industries, and has served as a venture partner of Qiming Venture Partners since July 2015, and as a member of the Biotech Advisory Panel of the Stock Exchange of Hong Kong. Dr. Ho is a retired partner of the Goldman Sachs Group, where she served in several roles from July 1992 to February 2015, including as senior biotechnology analyst, co-head of healthcare for global investment research and advisory director for healthcare investment banking. Prior to Goldman Sachs, she held various managerial positions in licensing, strategic planning, marketing and research at DuPont-Merck Pharmaceuticals and DuPont de Nemours &amp; Company from January 1982 to July 1992. Dr. Ho has served on the board of directors for Agios Pharmaceuticals since June 2015, BioMarin Pharmaceutical since February 2021, Fibrogen since December 2018, GRAIL since May 2019, Parexel International since August 2015, the Aaron Diamond AIDS Research Center and the Institute for Protein Innovation. Dr. Ho holds a B.S. and a Ph.D. in Microbiology and Immunology from the State University of New York, Downstate Medical Center. She was a postdoctoral fellow at Harvard Medical School and a graduate of the Advanced Management Program at The Fuqua School of Business at Duke University. We believe Dr. Ho is qualified to serve on our board of directors due to her extensive experience in healthcare investment research and banking.</w:t>
      </w:r>
    </w:p>
    <w:p>
      <w:pPr>
        <w:spacing w:after="0" w:line="17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b w:val="1"/>
          <w:bCs w:val="1"/>
          <w:i w:val="1"/>
          <w:iCs w:val="1"/>
          <w:color w:val="auto"/>
        </w:rPr>
        <w:t xml:space="preserve">Robert Nelsen </w:t>
      </w:r>
      <w:r>
        <w:rPr>
          <w:rFonts w:ascii="Arial" w:cs="Arial" w:eastAsia="Arial" w:hAnsi="Arial"/>
          <w:sz w:val="16"/>
          <w:szCs w:val="16"/>
          <w:color w:val="auto"/>
        </w:rPr>
        <w:t>has served as a member of our board of directors since September 2020. Since 1986, Mr. Nelsen has served as co-founder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Managing Director of ARCH Venture Partners, a venture capital firm focused on early stage technology companies. Mr. Nelsen currently serves as a member of the board of directors of Beam Therapeutics, Brii Biosciences, Denali Therapeutics, Hua Medicine (Shanghai), Lyell Immunopharma, Revolution Healthcare Acquisition Corp., Sana Biotechnology and Vir Biotechnology, all of which are publicly-traded companies. He also serves as a member of the board of directors of several privately-held biotechnology and biopharmaceutical companies. Mr. Nelsen previously served on the board of directors of various publicly-traded biopharmaceutical companies including Agios Pharmaceuticals, Karuna Therapeutics, Illumina, Juno Therapeutics (acquired by Celgene (now part of BMS) in January 2018), Sage Therapeutics, Syros Pharmaceuticals and UNITY Biotechnology. He also previously served as Trustee of the Fred Hutchinson Cancer Research Center and as a director of the National Venture Capital Association. Mr. Nelsen hold a B.S. with majors in Economics and Biology from the University of Puget Sound and an M.B.A from the University of Chicago Booth School of Business. We believe Mr. Nelsen is qualified to serve on our board of directors because of his experience as a venture capitalist, building and serving boards of many public and private emerging companies, including multiple life sciences, biotechnology and pharmaceutical companies.</w:t>
      </w:r>
    </w:p>
    <w:p>
      <w:pPr>
        <w:spacing w:after="0" w:line="17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Kári Stefánsson, M.D., Dr. Med., </w:t>
      </w:r>
      <w:r>
        <w:rPr>
          <w:rFonts w:ascii="Arial" w:cs="Arial" w:eastAsia="Arial" w:hAnsi="Arial"/>
          <w:sz w:val="17"/>
          <w:szCs w:val="17"/>
          <w:color w:val="auto"/>
        </w:rPr>
        <w:t>has served as a member of our board of directors since September 2021. Dr. Stefánsson founded deCODE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genetics in August 1996 and currently serves as its Chief Executive Officer. He has shaped deCODE’s scientific approach and been actively engaged in leading its gene discovery work, serving as senior author on most of the company’s publications in major scientific journals. Dr. Stefánsson was previously a professor of Neurology, Neuropathology and Neuroscience at Harvard University and Director of Neuropathology at Beth Israel Hospital in Boston, Massachusetts. From 1983 to 1993, he held faculty positions in Neurology, Neuropathology and Neurosciences at the University of Chicago. Dr. Stefansson is recognized as a leading figure in human genetics. Dr. Stefánsson holds an M.D. and Dr. Med. from the University of Iceland and is board-certified in neurology and neuropathology in the United States. We believe Mr. Stefánsson is qualified to serve on our board of directors because his expertise and leadership in the fields of genetics and neuroscience.</w:t>
      </w:r>
    </w:p>
    <w:p>
      <w:pPr>
        <w:spacing w:after="0" w:line="17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Stacie Weninger, Ph.D., </w:t>
      </w:r>
      <w:r>
        <w:rPr>
          <w:rFonts w:ascii="Arial" w:cs="Arial" w:eastAsia="Arial" w:hAnsi="Arial"/>
          <w:sz w:val="18"/>
          <w:szCs w:val="18"/>
          <w:color w:val="auto"/>
        </w:rPr>
        <w:t>has served as a member of our board of directors since September 2020. Dr. Weninger has indicated her intention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resign as a director prior to the effectiveness of the registration statement for which this prospectus is a part.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Structure and Composition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board of directors currently consists of seven members. Our board of directors has determined that all of our directors, other than Mr. Berns, qualify as independent directors in accordance with The Nasdaq Stock Market LLC (Nasdaq) Marketplace Rules (the Nasdaq Listing Rules). Mr. Berns is not considered independent by virtue of his position as an executive officer of the company. Under the Nasdaq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Listing Rules, our board of directors has made a subjective determination as to each independent director that no relationships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relationships as they may relate to us and our management.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which will be effective immediately prior to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2"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rPr>
              <w:t>The Class I directors will be</w:t>
            </w:r>
          </w:p>
        </w:tc>
        <w:tc>
          <w:tcPr>
            <w:tcW w:w="8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ind w:left="340"/>
              <w:spacing w:after="0"/>
              <w:rPr>
                <w:sz w:val="20"/>
                <w:szCs w:val="20"/>
                <w:color w:val="auto"/>
              </w:rPr>
            </w:pPr>
            <w:r>
              <w:rPr>
                <w:rFonts w:ascii="Arial" w:cs="Arial" w:eastAsia="Arial" w:hAnsi="Arial"/>
                <w:sz w:val="18"/>
                <w:szCs w:val="18"/>
                <w:color w:val="auto"/>
              </w:rPr>
              <w:t>and</w:t>
            </w:r>
          </w:p>
        </w:tc>
        <w:tc>
          <w:tcPr>
            <w:tcW w:w="5580" w:type="dxa"/>
            <w:vAlign w:val="bottom"/>
          </w:tcPr>
          <w:p>
            <w:pPr>
              <w:ind w:left="320"/>
              <w:spacing w:after="0"/>
              <w:rPr>
                <w:sz w:val="20"/>
                <w:szCs w:val="20"/>
                <w:color w:val="auto"/>
              </w:rPr>
            </w:pPr>
            <w:r>
              <w:rPr>
                <w:rFonts w:ascii="Arial" w:cs="Arial" w:eastAsia="Arial" w:hAnsi="Arial"/>
                <w:sz w:val="18"/>
                <w:szCs w:val="18"/>
                <w:color w:val="auto"/>
                <w:w w:val="93"/>
              </w:rPr>
              <w:t>, and their terms will expire at the annual meeting of stockholders to be</w:t>
            </w:r>
          </w:p>
        </w:tc>
      </w:tr>
      <w:tr>
        <w:trPr>
          <w:trHeight w:val="230"/>
        </w:trPr>
        <w:tc>
          <w:tcPr>
            <w:tcW w:w="300" w:type="dxa"/>
            <w:vAlign w:val="bottom"/>
          </w:tcPr>
          <w:p>
            <w:pPr>
              <w:spacing w:after="0"/>
              <w:rPr>
                <w:sz w:val="20"/>
                <w:szCs w:val="20"/>
                <w:color w:val="auto"/>
              </w:rPr>
            </w:pPr>
          </w:p>
        </w:tc>
        <w:tc>
          <w:tcPr>
            <w:tcW w:w="2720" w:type="dxa"/>
            <w:vAlign w:val="bottom"/>
          </w:tcPr>
          <w:p>
            <w:pPr>
              <w:ind w:left="240"/>
              <w:spacing w:after="0"/>
              <w:rPr>
                <w:sz w:val="20"/>
                <w:szCs w:val="20"/>
                <w:color w:val="auto"/>
              </w:rPr>
            </w:pPr>
            <w:r>
              <w:rPr>
                <w:rFonts w:ascii="Arial" w:cs="Arial" w:eastAsia="Arial" w:hAnsi="Arial"/>
                <w:sz w:val="18"/>
                <w:szCs w:val="18"/>
                <w:color w:val="auto"/>
              </w:rPr>
              <w:t>held in 202 ;</w:t>
            </w: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rPr>
              <w:t>The Class II directors will be</w:t>
            </w: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ind w:left="400"/>
              <w:spacing w:after="0"/>
              <w:rPr>
                <w:sz w:val="20"/>
                <w:szCs w:val="20"/>
                <w:color w:val="auto"/>
              </w:rPr>
            </w:pPr>
            <w:r>
              <w:rPr>
                <w:rFonts w:ascii="Arial" w:cs="Arial" w:eastAsia="Arial" w:hAnsi="Arial"/>
                <w:sz w:val="18"/>
                <w:szCs w:val="18"/>
                <w:color w:val="auto"/>
              </w:rPr>
              <w:t>and</w:t>
            </w:r>
          </w:p>
        </w:tc>
        <w:tc>
          <w:tcPr>
            <w:tcW w:w="5580" w:type="dxa"/>
            <w:vAlign w:val="bottom"/>
          </w:tcPr>
          <w:p>
            <w:pPr>
              <w:ind w:left="440"/>
              <w:spacing w:after="0"/>
              <w:rPr>
                <w:sz w:val="20"/>
                <w:szCs w:val="20"/>
                <w:color w:val="auto"/>
              </w:rPr>
            </w:pPr>
            <w:r>
              <w:rPr>
                <w:rFonts w:ascii="Arial" w:cs="Arial" w:eastAsia="Arial" w:hAnsi="Arial"/>
                <w:sz w:val="18"/>
                <w:szCs w:val="18"/>
                <w:color w:val="auto"/>
                <w:w w:val="90"/>
              </w:rPr>
              <w:t>, and their terms will expire at the annual meeting of stockholders to be</w:t>
            </w:r>
          </w:p>
        </w:tc>
      </w:tr>
      <w:tr>
        <w:trPr>
          <w:trHeight w:val="230"/>
        </w:trPr>
        <w:tc>
          <w:tcPr>
            <w:tcW w:w="300" w:type="dxa"/>
            <w:vAlign w:val="bottom"/>
          </w:tcPr>
          <w:p>
            <w:pPr>
              <w:spacing w:after="0"/>
              <w:rPr>
                <w:sz w:val="20"/>
                <w:szCs w:val="20"/>
                <w:color w:val="auto"/>
              </w:rPr>
            </w:pPr>
          </w:p>
        </w:tc>
        <w:tc>
          <w:tcPr>
            <w:tcW w:w="2720" w:type="dxa"/>
            <w:vAlign w:val="bottom"/>
          </w:tcPr>
          <w:p>
            <w:pPr>
              <w:ind w:left="240"/>
              <w:spacing w:after="0"/>
              <w:rPr>
                <w:sz w:val="20"/>
                <w:szCs w:val="20"/>
                <w:color w:val="auto"/>
              </w:rPr>
            </w:pPr>
            <w:r>
              <w:rPr>
                <w:rFonts w:ascii="Arial" w:cs="Arial" w:eastAsia="Arial" w:hAnsi="Arial"/>
                <w:sz w:val="18"/>
                <w:szCs w:val="18"/>
                <w:color w:val="auto"/>
              </w:rPr>
              <w:t>held in 202 ; and</w:t>
            </w: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rPr>
              <w:t>The Class III directors will be</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ind w:left="460"/>
              <w:spacing w:after="0"/>
              <w:rPr>
                <w:sz w:val="20"/>
                <w:szCs w:val="20"/>
                <w:color w:val="auto"/>
              </w:rPr>
            </w:pPr>
            <w:r>
              <w:rPr>
                <w:rFonts w:ascii="Arial" w:cs="Arial" w:eastAsia="Arial" w:hAnsi="Arial"/>
                <w:sz w:val="18"/>
                <w:szCs w:val="18"/>
                <w:color w:val="auto"/>
              </w:rPr>
              <w:t>and</w:t>
            </w:r>
          </w:p>
        </w:tc>
        <w:tc>
          <w:tcPr>
            <w:tcW w:w="5580" w:type="dxa"/>
            <w:vAlign w:val="bottom"/>
          </w:tcPr>
          <w:p>
            <w:pPr>
              <w:ind w:left="440"/>
              <w:spacing w:after="0"/>
              <w:rPr>
                <w:sz w:val="20"/>
                <w:szCs w:val="20"/>
                <w:color w:val="auto"/>
              </w:rPr>
            </w:pPr>
            <w:r>
              <w:rPr>
                <w:rFonts w:ascii="Arial" w:cs="Arial" w:eastAsia="Arial" w:hAnsi="Arial"/>
                <w:sz w:val="18"/>
                <w:szCs w:val="18"/>
                <w:color w:val="auto"/>
                <w:w w:val="90"/>
              </w:rPr>
              <w:t>, and their terms will expire at the annual meeting of stockholders to be</w:t>
            </w:r>
          </w:p>
        </w:tc>
      </w:tr>
      <w:tr>
        <w:trPr>
          <w:trHeight w:val="230"/>
        </w:trPr>
        <w:tc>
          <w:tcPr>
            <w:tcW w:w="300" w:type="dxa"/>
            <w:vAlign w:val="bottom"/>
          </w:tcPr>
          <w:p>
            <w:pPr>
              <w:spacing w:after="0"/>
              <w:rPr>
                <w:sz w:val="20"/>
                <w:szCs w:val="20"/>
                <w:color w:val="auto"/>
              </w:rPr>
            </w:pPr>
          </w:p>
        </w:tc>
        <w:tc>
          <w:tcPr>
            <w:tcW w:w="2720" w:type="dxa"/>
            <w:vAlign w:val="bottom"/>
          </w:tcPr>
          <w:p>
            <w:pPr>
              <w:ind w:left="240"/>
              <w:spacing w:after="0"/>
              <w:rPr>
                <w:sz w:val="20"/>
                <w:szCs w:val="20"/>
                <w:color w:val="auto"/>
              </w:rPr>
            </w:pPr>
            <w:r>
              <w:rPr>
                <w:rFonts w:ascii="Arial" w:cs="Arial" w:eastAsia="Arial" w:hAnsi="Arial"/>
                <w:sz w:val="18"/>
                <w:szCs w:val="18"/>
                <w:color w:val="auto"/>
              </w:rPr>
              <w:t>held in 202 .</w:t>
            </w: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tcPr>
          <w:p>
            <w:pPr>
              <w:spacing w:after="0"/>
              <w:rPr>
                <w:sz w:val="20"/>
                <w:szCs w:val="20"/>
                <w:color w:val="auto"/>
              </w:rPr>
            </w:pPr>
          </w:p>
        </w:tc>
      </w:tr>
    </w:tbl>
    <w:p>
      <w:pPr>
        <w:spacing w:after="0" w:line="202"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Arrangements</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election of the members of our board of directors is currently governed by the voting agreement that we entered into with certain holders of our common stock and convertible preferred stock and the related provisions of our amended and restated certificate of incorporation. Pursuant to our voting agreement and amended and restated certificate of incorporation, our current directors were elected as follows:</w:t>
      </w:r>
    </w:p>
    <w:p>
      <w:pPr>
        <w:spacing w:after="0" w:line="54"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Ms. Burow and Mr. Nelsen were elected as the designees of ARCH Venture Partners;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Dr. Weninger was elected as the designee of F-Prime Capital Partners;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Mr. Berns was elected and designated as our then serving and current Chief Executive Officer; and</w:t>
      </w:r>
    </w:p>
    <w:p>
      <w:pPr>
        <w:spacing w:after="0" w:line="130" w:lineRule="exact"/>
        <w:rPr>
          <w:rFonts w:ascii="Arial" w:cs="Arial" w:eastAsia="Arial" w:hAnsi="Arial"/>
          <w:sz w:val="18"/>
          <w:szCs w:val="18"/>
          <w:color w:val="auto"/>
        </w:rPr>
      </w:pPr>
    </w:p>
    <w:p>
      <w:pPr>
        <w:jc w:val="center"/>
        <w:ind w:left="5480" w:right="480" w:hanging="4932"/>
        <w:spacing w:after="0" w:line="449" w:lineRule="auto"/>
        <w:tabs>
          <w:tab w:leader="none" w:pos="107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Dr. Ho and Mr. Fust were elected and designated by the holders of a majority of our common stock and convertible preferred stock. 172</w:t>
      </w:r>
    </w:p>
    <w:p>
      <w:pPr>
        <w:sectPr>
          <w:pgSz w:w="11900" w:h="16838" w:orient="portrait"/>
          <w:cols w:equalWidth="0" w:num="1">
            <w:col w:w="11040"/>
          </w:cols>
          <w:pgMar w:left="320" w:top="459" w:right="5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voting agreement will terminate and the provisions of our current amended and restated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Leadership Structure of the Board</w:t>
      </w:r>
    </w:p>
    <w:p>
      <w:pPr>
        <w:spacing w:after="0" w:line="12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Our amended and restated bylaws and corporate governance guidelines provide our board of directors with flexibility to combine or separate the positions of Chairman of the board of directors and Chief Executive Officer. Mr. Berns currently serves as the Chairman of the Board.</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Our board of directors has three standing committees: the audit committee; the compensation committee; and the nominating and governance committee. Each committee is governed by a charter that will be available on our website following completion of this offering.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Effective as of the date the registration statement of which this prospectus forms a part is declared effective by the SEC, the members of our audit</w:t>
      </w:r>
    </w:p>
    <w:p>
      <w:pPr>
        <w:spacing w:after="0" w:line="46" w:lineRule="exact"/>
        <w:rPr>
          <w:sz w:val="20"/>
          <w:szCs w:val="20"/>
          <w:color w:val="auto"/>
        </w:rPr>
      </w:pPr>
    </w:p>
    <w:p>
      <w:pPr>
        <w:ind w:left="120" w:right="80"/>
        <w:spacing w:after="0" w:line="250" w:lineRule="auto"/>
        <w:rPr>
          <w:sz w:val="20"/>
          <w:szCs w:val="20"/>
          <w:color w:val="auto"/>
        </w:rPr>
      </w:pPr>
      <w:r>
        <w:rPr>
          <w:rFonts w:ascii="Arial" w:cs="Arial" w:eastAsia="Arial" w:hAnsi="Arial"/>
          <w:sz w:val="18"/>
          <w:szCs w:val="18"/>
          <w:color w:val="auto"/>
        </w:rPr>
        <w:t>committee will consist of , , and . will be the chairperson of our audit committee. The composition of our audit committee meets the requirements for independence under the current Nasdaq Listing Rules and Rule 10A-3 of the Exchange Act. Each member of our</w:t>
      </w:r>
    </w:p>
    <w:p>
      <w:pPr>
        <w:spacing w:after="0" w:line="1"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audit committee is financially literate. In addition, our board of directors has determined that is an “audit committee financial expert” within the meaning of the SEC rules. This designation does not impose 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such directors any duties, obligations, or liabilities that are greater than are generally imposed on members of our audit committee and our board of directors. Our audit committee is directly responsible for, among other things:</w:t>
      </w:r>
    </w:p>
    <w:p>
      <w:pPr>
        <w:spacing w:after="0" w:line="76"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appointing, retaining, compensating and overseeing the work of our independent registered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assessing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monitoring the rotation of partners of our independent registered public accounting firm on our engagement team as required by law;</w:t>
      </w:r>
    </w:p>
    <w:p>
      <w:pPr>
        <w:spacing w:after="0" w:line="142" w:lineRule="exact"/>
        <w:rPr>
          <w:rFonts w:ascii="Arial" w:cs="Arial" w:eastAsia="Arial" w:hAnsi="Arial"/>
          <w:sz w:val="17"/>
          <w:szCs w:val="17"/>
          <w:color w:val="auto"/>
        </w:rPr>
      </w:pPr>
    </w:p>
    <w:p>
      <w:pPr>
        <w:ind w:left="1080" w:right="38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 firm’s annual audit of our consolidated financial statements;</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consolidated financial statements that we will file with the SEC;</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pre-approving all audit and permissible non-audit services to be performed by our independent registered public accounting firm;</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reviewing policies and practices related to risk assessment and management;</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reviewing our accounting and financial reporting policies and practices and accounting controls, as well as compliance with legal and regulatory requirements;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reviewing, overseeing, approving, or disapproving any related-person and related party transactions;</w:t>
      </w:r>
    </w:p>
    <w:p>
      <w:pPr>
        <w:spacing w:after="0" w:line="130"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reviewing with our management the scope and results of management’s evaluation of our disclosure controls and procedures and management’s assessment of our internal control over financial reporting, including the related certifications to be included in the periodic reports we will file with the SEC; and</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 or other ethics or compliance issues.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Effective as of the date the registration statement of which this prospectus forms a part is declared effective by the SEC, the members of our compensation committee will consist of , , and . will be the chairperson of our compensation committee. Each of , , and is a non-employee director, as defined by Rule 16b-3 promulgated under the Exchange Act and meets the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requirements for independence under the current Nasdaq Listing Rules. Our compensation committee is responsible for, among other things:</w:t>
      </w:r>
    </w:p>
    <w:p>
      <w:pPr>
        <w:spacing w:after="0" w:line="128" w:lineRule="exact"/>
        <w:rPr>
          <w:sz w:val="20"/>
          <w:szCs w:val="20"/>
          <w:color w:val="auto"/>
        </w:rPr>
      </w:pPr>
    </w:p>
    <w:p>
      <w:pPr>
        <w:ind w:left="1080" w:right="20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reviewing and approving the compensation of our executive officers, including reviewing and approving corporate goals and objectives with respect to compensation;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authority to act as an administrator of our equity incentive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incentive compensation and equity plans;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reviewing and recommending that our board of directors approve the compensation for our non-employee board members; and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of our employees.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Effective as of the date the registration statement of which this prospectus forms a part is declared effective by the SEC, the members of our</w:t>
      </w:r>
    </w:p>
    <w:p>
      <w:pPr>
        <w:spacing w:after="0" w:line="46" w:lineRule="exact"/>
        <w:rPr>
          <w:sz w:val="20"/>
          <w:szCs w:val="20"/>
          <w:color w:val="auto"/>
        </w:rPr>
      </w:pPr>
    </w:p>
    <w:p>
      <w:pPr>
        <w:ind w:left="120"/>
        <w:spacing w:after="0"/>
        <w:tabs>
          <w:tab w:leader="none" w:pos="4720" w:val="left"/>
          <w:tab w:leader="none" w:pos="5540" w:val="left"/>
        </w:tabs>
        <w:rPr>
          <w:sz w:val="20"/>
          <w:szCs w:val="20"/>
          <w:color w:val="auto"/>
        </w:rPr>
      </w:pPr>
      <w:r>
        <w:rPr>
          <w:rFonts w:ascii="Arial" w:cs="Arial" w:eastAsia="Arial" w:hAnsi="Arial"/>
          <w:sz w:val="18"/>
          <w:szCs w:val="18"/>
          <w:color w:val="auto"/>
        </w:rPr>
        <w:t>nominating and governance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and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40"/>
          </w:cols>
          <w:pgMar w:left="320" w:top="459" w:right="5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840"/>
        <w:spacing w:after="0"/>
        <w:tabs>
          <w:tab w:leader="none" w:pos="1680" w:val="left"/>
          <w:tab w:leader="none" w:pos="7460" w:val="left"/>
          <w:tab w:leader="none" w:pos="8260" w:val="left"/>
          <w:tab w:leader="none" w:pos="9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be the chairperson of our nominating and governance committee.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5"/>
          <w:szCs w:val="15"/>
          <w:color w:val="auto"/>
        </w:rPr>
        <w:t>meet the requirements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independence under the current Nasdaq Listing Rules. Our nominating and governance committee is responsible for, among other things:</w:t>
      </w:r>
    </w:p>
    <w:p>
      <w:pPr>
        <w:spacing w:after="0" w:line="128" w:lineRule="exact"/>
        <w:rPr>
          <w:sz w:val="20"/>
          <w:szCs w:val="20"/>
          <w:color w:val="auto"/>
        </w:rPr>
      </w:pPr>
    </w:p>
    <w:p>
      <w:pPr>
        <w:ind w:left="108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 including the consideration of nominees submitted by stockholders, and on each of the board’s committees;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reviewing proposed waivers of the code of business conduct and ethics for directors and executive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connection with this offering, our board of directors will adopt a code of business conduct and ethics that applies to all of our employees, officers and directors, including our Chief Executive Officer, Chief Financial Officer and other executive and senior financial officers. Upon completion of this offering, the full text of our code of business conduct and ethics will be posted on the investor relations section of our website. We intend to disclose future amendments to our code of business conduct and ethics, or any waivers of such code, on our website or in public filings.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None of our executive officers has served as a member of a compensation committee (or if no committee performs that function, the board of directors) of any other entity that has an executive officer serving as a member of our board of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Historically, we have not had a formalized non-employee director compensation program.</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During 2021, only Mr. Fust and Dr. Ho received compensation for their service on our board of directors. Each of Mr. Fust and Dr. Ho received $10,000 per quarter of service on our board of directors. In April 2021, we granted an option to each of Mr. Fust and Dr. Ho to purchase 750,000 shares of our common stock. The options vest and become exercisable, respectively, as to 1/36th of the shares on each monthly anniversary of December 23, 2020 for Mr. Fust and April 23, 2021 for Dr. Ho, subject to Mr. Fust’s and Dr. Ho’s respective continued service through the applicable vesting date. In addition, we reimburse our non-employee directors for travel and other necessary business expenses incurred in the performance of their services for us.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intend to approve and implement a compensation policy for our non-employee directors to be effective on the consummation of this offering.</w:t>
      </w:r>
    </w:p>
    <w:p>
      <w:pPr>
        <w:spacing w:after="0" w:line="248" w:lineRule="exact"/>
        <w:rPr>
          <w:sz w:val="20"/>
          <w:szCs w:val="20"/>
          <w:color w:val="auto"/>
        </w:rPr>
      </w:pPr>
    </w:p>
    <w:p>
      <w:pPr>
        <w:ind w:left="120" w:right="1020" w:firstLine="440"/>
        <w:spacing w:after="0" w:line="277" w:lineRule="auto"/>
        <w:rPr>
          <w:sz w:val="20"/>
          <w:szCs w:val="20"/>
          <w:color w:val="auto"/>
        </w:rPr>
      </w:pPr>
      <w:r>
        <w:rPr>
          <w:rFonts w:ascii="Arial" w:cs="Arial" w:eastAsia="Arial" w:hAnsi="Arial"/>
          <w:sz w:val="18"/>
          <w:szCs w:val="18"/>
          <w:color w:val="auto"/>
        </w:rPr>
        <w:t>The following table sets forth information concerning the compensation earned by our non-employee directors during the year ended December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Director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4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90"/>
              </w:rPr>
              <w:t>Fees Earned or</w:t>
            </w: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w:t>
            </w:r>
          </w:p>
        </w:tc>
        <w:tc>
          <w:tcPr>
            <w:tcW w:w="3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860" w:type="dxa"/>
            <w:vAlign w:val="bottom"/>
            <w:vMerge w:val="restart"/>
          </w:tcPr>
          <w:p>
            <w:pPr>
              <w:spacing w:after="0"/>
              <w:rPr>
                <w:sz w:val="12"/>
                <w:szCs w:val="12"/>
                <w:color w:val="auto"/>
              </w:rPr>
            </w:pPr>
          </w:p>
        </w:tc>
        <w:tc>
          <w:tcPr>
            <w:tcW w:w="244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940" w:type="dxa"/>
            <w:vAlign w:val="bottom"/>
          </w:tcPr>
          <w:p>
            <w:pPr>
              <w:jc w:val="right"/>
              <w:ind w:right="296"/>
              <w:spacing w:after="0" w:line="158" w:lineRule="exact"/>
              <w:rPr>
                <w:sz w:val="20"/>
                <w:szCs w:val="20"/>
                <w:color w:val="auto"/>
              </w:rPr>
            </w:pPr>
            <w:r>
              <w:rPr>
                <w:rFonts w:ascii="Arial" w:cs="Arial" w:eastAsia="Arial" w:hAnsi="Arial"/>
                <w:sz w:val="14"/>
                <w:szCs w:val="14"/>
                <w:b w:val="1"/>
                <w:bCs w:val="1"/>
                <w:color w:val="auto"/>
              </w:rPr>
              <w:t>($)</w:t>
            </w:r>
          </w:p>
        </w:tc>
        <w:tc>
          <w:tcPr>
            <w:tcW w:w="1500" w:type="dxa"/>
            <w:vAlign w:val="bottom"/>
          </w:tcPr>
          <w:p>
            <w:pPr>
              <w:spacing w:after="0"/>
              <w:rPr>
                <w:sz w:val="15"/>
                <w:szCs w:val="15"/>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500" w:type="dxa"/>
            <w:vAlign w:val="bottom"/>
          </w:tcPr>
          <w:p>
            <w:pPr>
              <w:spacing w:after="0"/>
              <w:rPr>
                <w:sz w:val="15"/>
                <w:szCs w:val="15"/>
                <w:color w:val="auto"/>
              </w:rPr>
            </w:pPr>
          </w:p>
        </w:tc>
        <w:tc>
          <w:tcPr>
            <w:tcW w:w="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Kristina Burow</w:t>
            </w:r>
          </w:p>
        </w:tc>
        <w:tc>
          <w:tcPr>
            <w:tcW w:w="940" w:type="dxa"/>
            <w:vAlign w:val="bottom"/>
            <w:tcBorders>
              <w:top w:val="single" w:sz="8" w:color="auto"/>
            </w:tcBorders>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Matthew Fust</w:t>
            </w:r>
          </w:p>
        </w:tc>
        <w:tc>
          <w:tcPr>
            <w:tcW w:w="2440" w:type="dxa"/>
            <w:vAlign w:val="bottom"/>
            <w:gridSpan w:val="2"/>
          </w:tcPr>
          <w:p>
            <w:pPr>
              <w:jc w:val="right"/>
              <w:ind w:right="1500"/>
              <w:spacing w:after="0"/>
              <w:rPr>
                <w:sz w:val="20"/>
                <w:szCs w:val="20"/>
                <w:color w:val="auto"/>
              </w:rPr>
            </w:pPr>
            <w:r>
              <w:rPr>
                <w:rFonts w:ascii="Arial" w:cs="Arial" w:eastAsia="Arial" w:hAnsi="Arial"/>
                <w:sz w:val="18"/>
                <w:szCs w:val="18"/>
                <w:color w:val="auto"/>
              </w:rPr>
              <w:t>30,000</w:t>
            </w:r>
          </w:p>
        </w:tc>
        <w:tc>
          <w:tcPr>
            <w:tcW w:w="1980" w:type="dxa"/>
            <w:vAlign w:val="bottom"/>
            <w:gridSpan w:val="2"/>
          </w:tcPr>
          <w:p>
            <w:pPr>
              <w:jc w:val="right"/>
              <w:ind w:right="16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Maykin Ho, Ph.D.</w:t>
            </w:r>
          </w:p>
        </w:tc>
        <w:tc>
          <w:tcPr>
            <w:tcW w:w="24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17,588</w:t>
            </w:r>
          </w:p>
        </w:tc>
        <w:tc>
          <w:tcPr>
            <w:tcW w:w="198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Robert Nelsen</w:t>
            </w:r>
          </w:p>
        </w:tc>
        <w:tc>
          <w:tcPr>
            <w:tcW w:w="24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6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Kári Stefánsson</w:t>
            </w:r>
          </w:p>
        </w:tc>
        <w:tc>
          <w:tcPr>
            <w:tcW w:w="2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Stacie Weninger</w:t>
            </w:r>
            <w:r>
              <w:rPr>
                <w:rFonts w:ascii="Arial" w:cs="Arial" w:eastAsia="Arial" w:hAnsi="Arial"/>
                <w:sz w:val="15"/>
                <w:szCs w:val="15"/>
                <w:color w:val="auto"/>
              </w:rPr>
              <w:t>(2)</w:t>
            </w:r>
          </w:p>
        </w:tc>
        <w:tc>
          <w:tcPr>
            <w:tcW w:w="24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6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8" w:lineRule="exact"/>
        <w:rPr>
          <w:sz w:val="20"/>
          <w:szCs w:val="20"/>
          <w:color w:val="auto"/>
        </w:rPr>
      </w:pPr>
    </w:p>
    <w:p>
      <w:pPr>
        <w:ind w:left="540" w:right="60" w:hanging="424"/>
        <w:spacing w:after="0" w:line="264"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For the option awards columns, amounts shown represents the grant date fair value of options granted during 2021 as calculated in accordance with ASC Topic 718. See Financial Accounting Standards Board, Accounting Standards Codification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(FASB ASC Topic 718). Assumptions used in the calculation of these amounts are described in Note 13 and Note 11 to our audited consolidated financial statements and unaudited condensed consolidated financial statements and notes, respectively appearing elsewhere in this prospectus. These amounts do not reflect the actual economic value that will be realized by our named executive officers upon the vesting of the stock options, the exercise of the stock options, or the sale of the common stock underlying such stock options.</w:t>
      </w:r>
    </w:p>
    <w:p>
      <w:pPr>
        <w:spacing w:after="0" w:line="4" w:lineRule="exact"/>
        <w:rPr>
          <w:rFonts w:ascii="Arial" w:cs="Arial" w:eastAsia="Arial" w:hAnsi="Arial"/>
          <w:sz w:val="16"/>
          <w:szCs w:val="16"/>
          <w:color w:val="auto"/>
        </w:rPr>
      </w:pPr>
    </w:p>
    <w:p>
      <w:pPr>
        <w:ind w:left="540" w:hanging="424"/>
        <w:spacing w:after="0"/>
        <w:tabs>
          <w:tab w:leader="none" w:pos="5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Dr. Weninger has indicated her intention to resign as a director prior to the effectiveness of the registration statement for which this prospectus is a part.</w:t>
      </w:r>
    </w:p>
    <w:p>
      <w:pPr>
        <w:spacing w:after="0" w:line="23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table below shows the aggregate numbers of option awards (exercisable and unexercisable) held as of December 31, 2021 by each non-employee director who was serving as of December 31,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930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Options Outstanding</w:t>
            </w:r>
          </w:p>
        </w:tc>
      </w:tr>
      <w:tr>
        <w:trPr>
          <w:trHeight w:val="203"/>
        </w:trPr>
        <w:tc>
          <w:tcPr>
            <w:tcW w:w="9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Kristina Burow</w:t>
            </w:r>
          </w:p>
        </w:tc>
        <w:tc>
          <w:tcPr>
            <w:tcW w:w="1300" w:type="dxa"/>
            <w:vAlign w:val="bottom"/>
            <w:tcBorders>
              <w:top w:val="single" w:sz="8" w:color="auto"/>
            </w:tcBorders>
            <w:shd w:val="clear" w:color="auto" w:fill="CCEEFF"/>
          </w:tcPr>
          <w:p>
            <w:pPr>
              <w:ind w:left="102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Matthew Fust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842,499</w:t>
            </w: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Maykin Ho, Ph.D.</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750,000</w:t>
            </w: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Robert Nelsen</w:t>
            </w: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Kári Stefánsson</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Stacie Weninger</w:t>
            </w:r>
            <w:r>
              <w:rPr>
                <w:rFonts w:ascii="Arial" w:cs="Arial" w:eastAsia="Arial" w:hAnsi="Arial"/>
                <w:sz w:val="15"/>
                <w:szCs w:val="15"/>
                <w:color w:val="auto"/>
              </w:rPr>
              <w:t>(1)</w:t>
            </w: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Dr. Weninger has indicated her intention to resign as a director prior to the effectiveness of the registration statement for which this prospectus is a part.</w:t>
      </w:r>
    </w:p>
    <w:p>
      <w:pPr>
        <w:spacing w:after="0" w:line="174" w:lineRule="exact"/>
        <w:rPr>
          <w:rFonts w:ascii="Arial" w:cs="Arial" w:eastAsia="Arial" w:hAnsi="Arial"/>
          <w:sz w:val="15"/>
          <w:szCs w:val="15"/>
          <w:color w:val="auto"/>
        </w:rPr>
      </w:pPr>
    </w:p>
    <w:p>
      <w:pPr>
        <w:ind w:left="5480"/>
        <w:spacing w:after="0"/>
        <w:rPr>
          <w:rFonts w:ascii="Arial" w:cs="Arial" w:eastAsia="Arial" w:hAnsi="Arial"/>
          <w:sz w:val="15"/>
          <w:szCs w:val="15"/>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following is a discussion and analysis of compensation arrangements of our named executive officers, or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76"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NEOs for 2021 were as follows:</w:t>
      </w:r>
    </w:p>
    <w:p>
      <w:pPr>
        <w:spacing w:after="0" w:line="131"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Paul Berns, our Chief Executive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Lori Lyons-Williams, our President and Chief Operating Officer;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Joshua Pinto, Ph.D., our Chief Financial Officer.</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Ms. Lyons-Williams commenced services with us in April 2021 as our President and Chief Operating Officer and Dr. Pinto commenced services with us in June 2021 as our Chief Financial Officer.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total compensation paid to our named executive officers for the year ending on December 31, 2021.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Non-Equity</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Salary</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Bonus</w:t>
            </w:r>
          </w:p>
        </w:tc>
        <w:tc>
          <w:tcPr>
            <w:tcW w:w="940" w:type="dxa"/>
            <w:vAlign w:val="bottom"/>
            <w:gridSpan w:val="2"/>
            <w:vMerge w:val="continue"/>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02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Name and Principal Position</w:t>
            </w: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9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Paul Berns</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60"/>
              <w:spacing w:after="0" w:line="195" w:lineRule="exact"/>
              <w:rPr>
                <w:sz w:val="20"/>
                <w:szCs w:val="20"/>
                <w:color w:val="auto"/>
              </w:rPr>
            </w:pPr>
            <w:r>
              <w:rPr>
                <w:rFonts w:ascii="Arial" w:cs="Arial" w:eastAsia="Arial" w:hAnsi="Arial"/>
                <w:sz w:val="18"/>
                <w:szCs w:val="18"/>
                <w:color w:val="auto"/>
                <w:w w:val="84"/>
              </w:rPr>
              <w:t>2021</w:t>
            </w: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5"/>
              </w:rPr>
              <w:t>520,000</w:t>
            </w: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8"/>
              </w:rPr>
              <w:t>13,000</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520"/>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247,000</w:t>
            </w: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620"/>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780,000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Executive Officer</w:t>
            </w: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020" w:type="dxa"/>
            <w:vAlign w:val="bottom"/>
            <w:gridSpan w:val="2"/>
          </w:tcPr>
          <w:p>
            <w:pPr>
              <w:spacing w:after="0"/>
              <w:rPr>
                <w:sz w:val="20"/>
                <w:szCs w:val="20"/>
                <w:color w:val="auto"/>
              </w:rPr>
            </w:pPr>
            <w:r>
              <w:rPr>
                <w:rFonts w:ascii="Arial" w:cs="Arial" w:eastAsia="Arial" w:hAnsi="Arial"/>
                <w:sz w:val="18"/>
                <w:szCs w:val="18"/>
                <w:color w:val="auto"/>
              </w:rPr>
              <w:t>Lori Lyons-Williams</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2021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352,273</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2,457,692</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2,809,965</w:t>
            </w:r>
          </w:p>
        </w:tc>
        <w:tc>
          <w:tcPr>
            <w:tcW w:w="0" w:type="dxa"/>
            <w:vAlign w:val="bottom"/>
          </w:tcPr>
          <w:p>
            <w:pPr>
              <w:spacing w:after="0"/>
              <w:rPr>
                <w:sz w:val="1"/>
                <w:szCs w:val="1"/>
                <w:color w:val="auto"/>
              </w:rPr>
            </w:pPr>
          </w:p>
        </w:tc>
      </w:tr>
      <w:tr>
        <w:trPr>
          <w:trHeight w:val="230"/>
        </w:trPr>
        <w:tc>
          <w:tcPr>
            <w:tcW w:w="5020" w:type="dxa"/>
            <w:vAlign w:val="bottom"/>
            <w:gridSpan w:val="2"/>
          </w:tcPr>
          <w:p>
            <w:pPr>
              <w:ind w:left="180"/>
              <w:spacing w:after="0"/>
              <w:rPr>
                <w:sz w:val="20"/>
                <w:szCs w:val="20"/>
                <w:color w:val="auto"/>
              </w:rPr>
            </w:pPr>
            <w:r>
              <w:rPr>
                <w:rFonts w:ascii="Arial" w:cs="Arial" w:eastAsia="Arial" w:hAnsi="Arial"/>
                <w:sz w:val="18"/>
                <w:szCs w:val="18"/>
                <w:color w:val="auto"/>
              </w:rPr>
              <w:t>President and Chief Operating Officer</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5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Joshua Pinto, Ph.D.</w:t>
            </w:r>
          </w:p>
        </w:tc>
        <w:tc>
          <w:tcPr>
            <w:tcW w:w="5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2021</w:t>
            </w:r>
          </w:p>
        </w:tc>
        <w:tc>
          <w:tcPr>
            <w:tcW w:w="8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5"/>
              </w:rPr>
              <w:t>262,500</w:t>
            </w:r>
          </w:p>
        </w:tc>
        <w:tc>
          <w:tcPr>
            <w:tcW w:w="7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4"/>
              </w:rPr>
              <w:t>2,388,353</w:t>
            </w:r>
          </w:p>
        </w:tc>
        <w:tc>
          <w:tcPr>
            <w:tcW w:w="10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177,800</w:t>
            </w:r>
          </w:p>
        </w:tc>
        <w:tc>
          <w:tcPr>
            <w:tcW w:w="106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2,828,653</w:t>
            </w:r>
          </w:p>
        </w:tc>
        <w:tc>
          <w:tcPr>
            <w:tcW w:w="0" w:type="dxa"/>
            <w:vAlign w:val="bottom"/>
          </w:tcPr>
          <w:p>
            <w:pPr>
              <w:spacing w:after="0"/>
              <w:rPr>
                <w:sz w:val="1"/>
                <w:szCs w:val="1"/>
                <w:color w:val="auto"/>
              </w:rPr>
            </w:pPr>
          </w:p>
        </w:tc>
      </w:tr>
      <w:tr>
        <w:trPr>
          <w:trHeight w:val="244"/>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Constitutes a discretionary bonus paid based on individual performance in 2021.</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amounts reported represent the aggregate grant-date fair value of the stock options awarded to the NEOs in 2021, calculated in accordance with ASC</w:t>
      </w:r>
    </w:p>
    <w:p>
      <w:pPr>
        <w:spacing w:after="0" w:line="30" w:lineRule="exact"/>
        <w:rPr>
          <w:rFonts w:ascii="Arial" w:cs="Arial" w:eastAsia="Arial" w:hAnsi="Arial"/>
          <w:sz w:val="15"/>
          <w:szCs w:val="15"/>
          <w:color w:val="auto"/>
        </w:rPr>
      </w:pPr>
    </w:p>
    <w:p>
      <w:pPr>
        <w:ind w:left="540" w:right="160"/>
        <w:spacing w:after="0" w:line="264" w:lineRule="auto"/>
        <w:rPr>
          <w:rFonts w:ascii="Arial" w:cs="Arial" w:eastAsia="Arial" w:hAnsi="Arial"/>
          <w:sz w:val="15"/>
          <w:szCs w:val="15"/>
          <w:color w:val="auto"/>
        </w:rPr>
      </w:pPr>
      <w:r>
        <w:rPr>
          <w:rFonts w:ascii="Arial" w:cs="Arial" w:eastAsia="Arial" w:hAnsi="Arial"/>
          <w:sz w:val="16"/>
          <w:szCs w:val="16"/>
          <w:color w:val="auto"/>
        </w:rPr>
        <w:t>Topic 718. The assumptions used in calculating the grant-date fair value of the options reported in this column will be included in the financial statements for the year ended December 31, 2021 that will be included in an amendment to this registration statement.</w:t>
      </w:r>
    </w:p>
    <w:p>
      <w:pPr>
        <w:ind w:left="540" w:right="620" w:hanging="424"/>
        <w:spacing w:after="0" w:line="288" w:lineRule="auto"/>
        <w:tabs>
          <w:tab w:leader="none" w:pos="5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Annual cash incentive amounts for all NEOs were determined in January 2022, under our 2021 Bonus Plan, as described in the section below titled “2021 Bonuses.”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Salaries</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Our NEOs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For 2021, Mr. Berns, Ms. Lyons-Williams and Dr. Pinto had an annual base salary of $520,000, $500,000 and $450,000 respectively. Ms. Lyons-Williams’ and Dr. Pinto’s annual base salary was pro-rated for their partial employment with us commencing in April 2021 and June 2021, respectively.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January 2022, Mr. Berns’ annual base salary was increased to $570,000, and Dr. Pinto’s annual base salary was increased to $465,800.</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and compensation committee may adjust base salaries from time to time in their discretion.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Bonuses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maintain an annual performance-based cash bonus program in which each of our NEOs participated in 2021. Each NEO’s target bonus is expressed as a percentage of their annual base salary which can be achieved by meeting company and individual goals at target level. The 2021 annual bonuses for Mr. Berns, Ms. Lyons-Williams and Dr. Pinto were targeted at 50%, 45% and 40% of their respective base salaries. Our board of directors has historically reviewed these target percentages to ensure they are adequate, but does not follow a formula. Instead, our board of directors set these rates based on each NEO’s experience in their role with us and the level of responsibility held by the NEO, which we believe directly correlates to their ability to influence corporate results.</w:t>
      </w:r>
    </w:p>
    <w:p>
      <w:pPr>
        <w:spacing w:after="0" w:line="19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determining performance bonus amounts, our board of directors set certain corporate performance goals after receiving input from our Chief Executive Officer. Mr. Berns’ bonus is based 100% on the achievement of our corporate goals and Dr. Pinto’s bonus is based 75% on the achievement of our corporate goals and 25% on individual performance. In January 2022, our board of directors determined that the corporate goals for 2021 had been achieved at 95.0% and assessed Dr. Pinto’s individual performance at 110%. Our board of directors increased the amount payable to Mr. Berns to 100% of his target bonus opportunity based on its assessment of strong individual performance in 2021. The actual amounts earned by our named executive officers are set forth in the Summary Compensation Table above under the columns “Bonus” and “Non-Equity Incentive Compensation.”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April 2021, in connection with her commencement of employment, we granted Ms. Lyons-Williams an option to purchase 7,000,000 shares. The option vests as to 25% of the shares on each anniversary of April 19, 2021 (the date Ms. Lyons-Williams commenced employment with us), subject to Ms. Lyons-Williams continuing to provide services to us through such vesting date, except that 2,062,500 shares subject to the option were exercisable prior to vesting, subject to Ms. Lyons-Williams entering into a restricted stock purchase agreement for any such exercised shares. In July 2021, Ms. Lyons-Williams early exercised 1,750,000 shares, which became restricted stock.</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June 2021, in connection with his commencement of employment, we granted Dr. Pinto an option to purchase 7,500,000 shares that vests in two tranches—a service-based tranche comprised of 4,000,000 shares and a performance-based tranche comprised of 3,500,000 shares. The service-based tranche of the option vests as to 25% on June 1, 2022 (the first anniversary of the date Dr. Pinto commenced employment with us) and as to 1/48th of the original number of shares underlying the option each month thereafter, subject to Dr. Pinto continuing to provide services to us through such vesting date. The performance-based tranche of the option vests upon attainment of certain stock price targets. 1,875,000 shares subject to the option were exercisable prior to vesting, subject to Dr. Pinto entering into a restricted stock purchase agreement for any such exercised shares. In June 2021, Dr. Pinto early exercised 1,875,000 shares, which became restricted stock.</w:t>
      </w:r>
    </w:p>
    <w:p>
      <w:pPr>
        <w:spacing w:after="0" w:line="17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January 2022, our board of directors modified the performance goals applicable to the performance-based tranche of Dr. Pinto’s option such that 50% of the shares underlying the performance-based tranche will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commence vesting upon the closing of this offering, with 50% of those shares vesting in 12 equal monthly installments and 50% of those shares vesting in 24 equal monthly installments, in each case, commencing on the closing of this offering. The remaining shares underlying the performance-based tranche become eligible to vest in two equal installments after achievement of two stock price goals, with the portion earned based on achievement vesting in equal monthly installments over the two years subsequent to achievement.</w:t>
      </w:r>
    </w:p>
    <w:p>
      <w:pPr>
        <w:spacing w:after="0" w:line="18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January 2022, our board of directors granted each of Mr. Berns and Dr. Pinto an option to purchase 3,900,000 and 5,650,000 shares of our common stock, respectively, with an exercise price per share of $0.59, that vests as to 25% of the shares underlying the option on February 1, 2023 and as to 1/48th of the original number of shares underlying the option each month thereafter, subject to continued service to us through the vesting date.</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this offering, we intend to adopt a 2022 Incentive Award Plan, referred to below as the 2022 Plan, in order to facilitate the grant of cash and equity incentives to directors, employees (including our NEOs) and consultants of our company and certain of its affiliates and to enable us to obtain and retain services of these individuals, which is essential to our long-term success. We expect that the 2022 Plan will be effective on the day prior to the first public trading date of our common stock, subject to approval of such plan by our stockholders. For additional information about the 2022 Plan, please see the section titled “Equity Incentive Plans.”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Elements of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During 2021, there was no matching contribution under our 401(k) plan.</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 Our NEOs are eligible for certain enhanced benefits under our executive-level medical insurance, life insurance and short-term and long-term disability insurance.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did not provide any perquisites to our named executive officers during 2021, but our compensation committee may from time to time approve them in the future when our compensation committee determines that such perquisites are necessary or advisable to fairly compensate or incentivize our employees.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2021 Year 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lists all outstanding equity awards held by our NEOs as of December 31, 2021.</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3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4"/>
          </w:tcPr>
          <w:p>
            <w:pPr>
              <w:ind w:left="720"/>
              <w:spacing w:after="0"/>
              <w:rPr>
                <w:sz w:val="20"/>
                <w:szCs w:val="20"/>
                <w:color w:val="auto"/>
              </w:rPr>
            </w:pPr>
            <w:r>
              <w:rPr>
                <w:rFonts w:ascii="Arial" w:cs="Arial" w:eastAsia="Arial" w:hAnsi="Arial"/>
                <w:sz w:val="13"/>
                <w:szCs w:val="13"/>
                <w:b w:val="1"/>
                <w:bCs w:val="1"/>
                <w:color w:val="auto"/>
              </w:rPr>
              <w:t>Option Awards</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4"/>
          </w:tcPr>
          <w:p>
            <w:pPr>
              <w:ind w:left="360"/>
              <w:spacing w:after="0"/>
              <w:rPr>
                <w:sz w:val="20"/>
                <w:szCs w:val="20"/>
                <w:color w:val="auto"/>
              </w:rPr>
            </w:pPr>
            <w:r>
              <w:rPr>
                <w:rFonts w:ascii="Arial" w:cs="Arial" w:eastAsia="Arial" w:hAnsi="Arial"/>
                <w:sz w:val="13"/>
                <w:szCs w:val="13"/>
                <w:b w:val="1"/>
                <w:bCs w:val="1"/>
                <w:color w:val="auto"/>
              </w:rPr>
              <w:t>Stock Awards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top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rPr>
              <w:t>Equity</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Equity</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Incentive</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Equity</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Plan</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2"/>
              </w:rPr>
              <w:t>Market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Incentive</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Awards:</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Plan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Number of</w:t>
            </w:r>
          </w:p>
        </w:tc>
        <w:tc>
          <w:tcPr>
            <w:tcW w:w="6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Market</w:t>
            </w: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Unearned</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Number</w:t>
            </w: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Number Of</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Value of</w:t>
            </w: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Shares,</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0"/>
              </w:rPr>
              <w:t>Shares,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of Securities</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Securities</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Securities</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Number</w:t>
            </w: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Shares or</w:t>
            </w: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Units or</w:t>
            </w:r>
          </w:p>
        </w:tc>
        <w:tc>
          <w:tcPr>
            <w:tcW w:w="6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Underlying</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Underlying</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Underlying</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of Shares</w:t>
            </w: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Units of</w:t>
            </w: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6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That Have</w:t>
            </w: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Shares that</w:t>
            </w: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Rights</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3"/>
              </w:rPr>
              <w:t>Rights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Vesting</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Options</w:t>
            </w: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Options</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Unearned</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2"/>
              </w:rPr>
              <w:t>Exercise</w:t>
            </w: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Option</w:t>
            </w: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Not</w:t>
            </w: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Have Not</w:t>
            </w: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that have</w:t>
            </w:r>
          </w:p>
        </w:tc>
        <w:tc>
          <w:tcPr>
            <w:tcW w:w="6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that have</w:t>
            </w:r>
          </w:p>
        </w:tc>
        <w:tc>
          <w:tcPr>
            <w:tcW w:w="0" w:type="dxa"/>
            <w:vAlign w:val="bottom"/>
          </w:tcPr>
          <w:p>
            <w:pPr>
              <w:spacing w:after="0"/>
              <w:rPr>
                <w:sz w:val="1"/>
                <w:szCs w:val="1"/>
                <w:color w:val="auto"/>
              </w:rPr>
            </w:pPr>
          </w:p>
        </w:tc>
      </w:tr>
      <w:tr>
        <w:trPr>
          <w:trHeight w:val="135"/>
        </w:trPr>
        <w:tc>
          <w:tcPr>
            <w:tcW w:w="320" w:type="dxa"/>
            <w:vAlign w:val="bottom"/>
            <w:vMerge w:val="restart"/>
          </w:tcPr>
          <w:p>
            <w:pPr>
              <w:spacing w:after="0"/>
              <w:rPr>
                <w:sz w:val="20"/>
                <w:szCs w:val="20"/>
                <w:color w:val="auto"/>
              </w:rPr>
            </w:pPr>
            <w:r>
              <w:rPr>
                <w:rFonts w:ascii="Arial" w:cs="Arial" w:eastAsia="Arial" w:hAnsi="Arial"/>
                <w:sz w:val="13"/>
                <w:szCs w:val="13"/>
                <w:b w:val="1"/>
                <w:bCs w:val="1"/>
                <w:color w:val="auto"/>
                <w:w w:val="84"/>
              </w:rPr>
              <w:t>Name</w:t>
            </w:r>
          </w:p>
        </w:tc>
        <w:tc>
          <w:tcPr>
            <w:tcW w:w="2340" w:type="dxa"/>
            <w:vAlign w:val="bottom"/>
            <w:vMerge w:val="restart"/>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Commencement</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Exercisable</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Unexercisable</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Options</w:t>
            </w: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Price</w:t>
            </w: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Expiration</w:t>
            </w: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79"/>
              </w:rPr>
              <w:t>Vested</w:t>
            </w: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79"/>
              </w:rPr>
              <w:t>Vested as</w:t>
            </w: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not Vested</w:t>
            </w:r>
          </w:p>
        </w:tc>
        <w:tc>
          <w:tcPr>
            <w:tcW w:w="6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not Vested</w:t>
            </w:r>
          </w:p>
        </w:tc>
        <w:tc>
          <w:tcPr>
            <w:tcW w:w="0" w:type="dxa"/>
            <w:vAlign w:val="bottom"/>
          </w:tcPr>
          <w:p>
            <w:pPr>
              <w:spacing w:after="0"/>
              <w:rPr>
                <w:sz w:val="1"/>
                <w:szCs w:val="1"/>
                <w:color w:val="auto"/>
              </w:rPr>
            </w:pPr>
          </w:p>
        </w:tc>
      </w:tr>
      <w:tr>
        <w:trPr>
          <w:trHeight w:val="160"/>
        </w:trPr>
        <w:tc>
          <w:tcPr>
            <w:tcW w:w="320" w:type="dxa"/>
            <w:vAlign w:val="bottom"/>
            <w:tcBorders>
              <w:bottom w:val="single" w:sz="8" w:color="auto"/>
            </w:tcBorders>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104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92"/>
              </w:rPr>
              <w:t>Date</w:t>
            </w:r>
          </w:p>
        </w:tc>
        <w:tc>
          <w:tcPr>
            <w:tcW w:w="6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7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4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76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92"/>
              </w:rPr>
              <w:t>Date</w:t>
            </w:r>
          </w:p>
        </w:tc>
        <w:tc>
          <w:tcPr>
            <w:tcW w:w="6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3"/>
                <w:szCs w:val="13"/>
                <w:color w:val="auto"/>
              </w:rPr>
            </w:pPr>
          </w:p>
        </w:tc>
        <w:tc>
          <w:tcPr>
            <w:tcW w:w="6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(1)</w:t>
            </w:r>
          </w:p>
        </w:tc>
        <w:tc>
          <w:tcPr>
            <w:tcW w:w="220" w:type="dxa"/>
            <w:vAlign w:val="bottom"/>
          </w:tcPr>
          <w:p>
            <w:pPr>
              <w:spacing w:after="0"/>
              <w:rPr>
                <w:sz w:val="13"/>
                <w:szCs w:val="13"/>
                <w:color w:val="auto"/>
              </w:rPr>
            </w:pPr>
          </w:p>
        </w:tc>
        <w:tc>
          <w:tcPr>
            <w:tcW w:w="6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Paul Berns</w:t>
            </w:r>
          </w:p>
        </w:tc>
        <w:tc>
          <w:tcPr>
            <w:tcW w:w="88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11/1/2018</w:t>
            </w:r>
            <w:r>
              <w:rPr>
                <w:rFonts w:ascii="Arial" w:cs="Arial" w:eastAsia="Arial" w:hAnsi="Arial"/>
                <w:sz w:val="12"/>
                <w:szCs w:val="12"/>
                <w:color w:val="auto"/>
                <w:w w:val="93"/>
              </w:rPr>
              <w:t>(2)</w:t>
            </w: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200"/>
              <w:spacing w:after="0" w:line="135" w:lineRule="exact"/>
              <w:rPr>
                <w:sz w:val="20"/>
                <w:szCs w:val="20"/>
                <w:color w:val="auto"/>
              </w:rPr>
            </w:pPr>
            <w:r>
              <w:rPr>
                <w:rFonts w:ascii="Arial" w:cs="Arial" w:eastAsia="Arial" w:hAnsi="Arial"/>
                <w:sz w:val="14"/>
                <w:szCs w:val="14"/>
                <w:color w:val="auto"/>
                <w:w w:val="86"/>
              </w:rPr>
              <w:t>536,520</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159,506</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1.38</w:t>
            </w: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9/7/2030</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380"/>
              <w:spacing w:after="0" w:line="13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60"/>
              <w:spacing w:after="0" w:line="13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Lori Lyons-Williams</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3"/>
              </w:rPr>
              <w:t>4/19/2021</w:t>
            </w:r>
            <w:r>
              <w:rPr>
                <w:rFonts w:ascii="Arial" w:cs="Arial" w:eastAsia="Arial" w:hAnsi="Arial"/>
                <w:sz w:val="12"/>
                <w:szCs w:val="12"/>
                <w:color w:val="auto"/>
                <w:w w:val="93"/>
              </w:rPr>
              <w:t>(3)</w:t>
            </w:r>
          </w:p>
        </w:tc>
        <w:tc>
          <w:tcPr>
            <w:tcW w:w="160" w:type="dxa"/>
            <w:vAlign w:val="bottom"/>
          </w:tcPr>
          <w:p>
            <w:pPr>
              <w:spacing w:after="0"/>
              <w:rPr>
                <w:sz w:val="12"/>
                <w:szCs w:val="12"/>
                <w:color w:val="auto"/>
              </w:rPr>
            </w:pPr>
          </w:p>
        </w:tc>
        <w:tc>
          <w:tcPr>
            <w:tcW w:w="8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312,500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4,937,500</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0.32</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4/22/2031</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1,750,000</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Joshua Pinto, Ph.D.</w:t>
            </w: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6/1/2021</w:t>
            </w:r>
            <w:r>
              <w:rPr>
                <w:rFonts w:ascii="Arial" w:cs="Arial" w:eastAsia="Arial" w:hAnsi="Arial"/>
                <w:sz w:val="12"/>
                <w:szCs w:val="12"/>
                <w:color w:val="auto"/>
                <w:w w:val="95"/>
              </w:rPr>
              <w:t>(4)</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3,000,000</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2,625,000</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0.32</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6/6/2031</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1,000,000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875,000</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80" w:hanging="424"/>
        <w:spacing w:after="0" w:line="230" w:lineRule="auto"/>
        <w:tabs>
          <w:tab w:leader="none" w:pos="5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Market value based on $ , the fair market value of our common stock as of December 31, 2021, as determined by our board of directors, less any repurchase price payable by us.</w:t>
      </w:r>
    </w:p>
    <w:p>
      <w:pPr>
        <w:ind w:left="540" w:right="160" w:hanging="424"/>
        <w:spacing w:after="0" w:line="221" w:lineRule="auto"/>
        <w:tabs>
          <w:tab w:leader="none" w:pos="5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Option vests and becomes exercisable as to 25% of the underlying shares on the first anniversary of the vesting commencement date and as to 1/48th of the underlying shares on each monthly anniversary of the vesting commencement date thereafter, in each case, subject to continued service to us.</w:t>
      </w:r>
    </w:p>
    <w:p>
      <w:pPr>
        <w:ind w:left="540" w:right="40" w:hanging="424"/>
        <w:spacing w:after="0" w:line="221" w:lineRule="auto"/>
        <w:tabs>
          <w:tab w:leader="none" w:pos="5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Option vests 25% of the underlying shares on the first anniversary of the vesting commencement date and as to 1/48th of the underlying shares on each monthly anniversary of the vesting commencement date thereafter, in each case, subject to continued service to us. The option was exercised in respect of 1,750,000 shares prior to vesting. The shares acquired prior to vesting are subject to a repurchase right in favor of us for $0.32 per share in the event the executive terminates employment prior to vesting. Exercised shares vest prior to shares that remain subject to the option.</w:t>
      </w:r>
    </w:p>
    <w:p>
      <w:pPr>
        <w:spacing w:after="0" w:line="1" w:lineRule="exact"/>
        <w:rPr>
          <w:rFonts w:ascii="Arial" w:cs="Arial" w:eastAsia="Arial" w:hAnsi="Arial"/>
          <w:sz w:val="14"/>
          <w:szCs w:val="14"/>
          <w:color w:val="auto"/>
        </w:rPr>
      </w:pPr>
    </w:p>
    <w:p>
      <w:pPr>
        <w:ind w:left="540" w:right="40" w:hanging="424"/>
        <w:spacing w:after="0" w:line="224" w:lineRule="auto"/>
        <w:tabs>
          <w:tab w:leader="none" w:pos="5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4,000,000 shares underlying the option were subject to service-based vesting and 3,500,000 shares underlying the option were subject to performance-based vesting. The service-based portion of the option vests as to 25% of the underlying shares on the first anniversary of the vesting commencement date and as to 1/48th of the underlying shares on each monthly anniversary of the vesting commencement date thereafter, in each case, subject to continued service to us. The performance-based portion of the option is split into three tranches. The first tranche will become eligible to vest upon the closing of this offering, with 50% of the shares in the first tranche vesting in 12 equal monthly installments and 50% of the shares in the first tranche vesting in 24 equal monthly installments, in each case, commencing on the closing of this offering. The remaining two tranches will become eligible to vest upon achieving certain stock price goals and vest in 24 equal monthly installments commencing on the date of achievement. The option was exercised in respect of 1,875,000 shares prior to vesting, of which 1,000,000 shares were subject to service-based vesting and 875,000 shares were subject to performance-based vesting. The shares acquired prior to vesting are subject to a repurchase right in favor of us for $0.32 per share in the event the executive terminates employment prior to vesting. Exercised shares vest prior to shares that remain subject to the option.</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2021, we have entered into offer letter agreements with each of our NEOs.</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Paul Berns</w:t>
      </w:r>
      <w:r>
        <w:rPr>
          <w:rFonts w:ascii="Arial" w:cs="Arial" w:eastAsia="Arial" w:hAnsi="Arial"/>
          <w:sz w:val="17"/>
          <w:szCs w:val="17"/>
          <w:color w:val="auto"/>
        </w:rPr>
        <w:t>. We entered into an offer letter with Mr. Berns effective as of January 17, 2020, pursuant to which he serves as our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The offer letter provides for his annual base salary, discretionary annual performance bonus, a restricted stock purchase grant and eligibility for benefits. The employment agreement also contains a requirement that he enter into our standard employee proprietary information and inventions assignment agreement. The offer letter provides that in the event his employment is terminated without cause or he resigns for good reason (as each term is defined in the offer letter), he will be entitled to receive continued payment for four months’ base salary and four months of COBRA reimbursements. All severance payments will be contingent on a full release of any and all claims.</w:t>
      </w:r>
    </w:p>
    <w:p>
      <w:pPr>
        <w:spacing w:after="0" w:line="178"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i w:val="1"/>
          <w:iCs w:val="1"/>
          <w:color w:val="auto"/>
        </w:rPr>
        <w:t>Lori Lyons-Williams</w:t>
      </w:r>
      <w:r>
        <w:rPr>
          <w:rFonts w:ascii="Arial" w:cs="Arial" w:eastAsia="Arial" w:hAnsi="Arial"/>
          <w:sz w:val="16"/>
          <w:szCs w:val="16"/>
          <w:color w:val="auto"/>
        </w:rPr>
        <w:t>. We entered into an offer letter with Ms. Lyons-Williams effective as of April 19, 2021, pursuant to which she serves as our</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Operating Officer. The offer letter provides for her annual base salary, discretionary annual performance bonus, an initial option grant (as described above) and eligibility for benefits. The employment agreement also contains a requirement that she enter into our standard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employee proprietary information and inventions assignment agreement. The offer letter provides that in the event her employment is terminated without cause or she resigns for good reason (as each term is defined in the offer letter), she will be entitled to receive continued payment for four months’ base salary and four months of COBRA reimbursements. All severance payments will be contingent on a full release of any and all claims.</w:t>
      </w:r>
    </w:p>
    <w:p>
      <w:pPr>
        <w:spacing w:after="0" w:line="14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i w:val="1"/>
          <w:iCs w:val="1"/>
          <w:color w:val="auto"/>
        </w:rPr>
        <w:t>Joshua Pinto, Ph.D</w:t>
      </w:r>
      <w:r>
        <w:rPr>
          <w:rFonts w:ascii="Arial" w:cs="Arial" w:eastAsia="Arial" w:hAnsi="Arial"/>
          <w:sz w:val="16"/>
          <w:szCs w:val="16"/>
          <w:color w:val="auto"/>
        </w:rPr>
        <w:t>. We entered into an offer letter with Dr. Pinto effective as of June 1, 2021, pursuant to which he serves as our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The offer letter provides for his annual base salary, discretionary annual performance bonus, an initial option grants (as described above) and eligibility for benefits. In addition, the offer letter provides Dr. Pinto with a one-time signing bonus in an amount of (i) an amount to be grossed up so that Dr. Pinto receives $160,000 after taxes plus (ii) $350,000. This sign-on bonus was paid to Dr. Pinto in June 2021 in connection with the commencement of his services. If Dr. Pinto terminates employment without good reason or the Company terminates his employment for cause prior to June 1, 2022, then he must repay the net amount of the sign-on bonus (less any nonrefundable taxes paid by him). The offer letter also provides that in event any other executive who directly reports to our Chief Executive Officer is provided terms which are more favorable, we will amend the offer letter to include such terms (including any equity acceleration upon a change of control or enhanced severance).</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employment agreement also contains a requirement that he enter into our standard employee proprietary information and inventions assignment agreement. The offer letter provides that in the event his employment is terminated without cause or he resigns for good reason (as each term is defined in the offer letter), he will be entitled to receive continued payment for four months’ base salary and four months of COBRA reimbursements. All severance payments will be contingent on a full release of any and all claims.</w:t>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connection with this offering, we intend to adopt a change in control and severance plan that will provide severance benefits to each of</w:t>
      </w:r>
    </w:p>
    <w:p>
      <w:pPr>
        <w:spacing w:after="0" w:line="23" w:lineRule="exact"/>
        <w:rPr>
          <w:sz w:val="20"/>
          <w:szCs w:val="20"/>
          <w:color w:val="auto"/>
        </w:rPr>
      </w:pPr>
    </w:p>
    <w:p>
      <w:pPr>
        <w:ind w:left="120" w:right="220"/>
        <w:spacing w:after="0" w:line="269" w:lineRule="auto"/>
        <w:rPr>
          <w:sz w:val="20"/>
          <w:szCs w:val="20"/>
          <w:color w:val="auto"/>
        </w:rPr>
      </w:pPr>
      <w:r>
        <w:rPr>
          <w:rFonts w:ascii="Arial" w:cs="Arial" w:eastAsia="Arial" w:hAnsi="Arial"/>
          <w:sz w:val="17"/>
          <w:szCs w:val="17"/>
          <w:color w:val="auto"/>
        </w:rPr>
        <w:t>Mr. Berns and Dr. Pinto in the event of certain terminations of their employment. If the named executive officer’s employment is terminated by us for other than cause or if the named executive officer resigns for good reason, then, subject to the delivery of a general release of claims against us, the named executive officer is entitled to receive 12 and nine months, respectively, of continued base salary and reimbursement of continued healthcare premiums, provided, that if such termination or resignation occurs within the period commencing 3 months prior to a change in control and ending 12 months after the change in control, in lieu of the severance described above, the named executive officer will be entitled to receive 18 and 12 months, respectively, of base salary, reimbursement of healthcare premiums and target bonus opportunity, along with full vesting acceleration of each outstanding service-based equity award.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following summarizes the material terms of the long-term incentive compensation plan in which our named executive officers will be eligible to participate following the consummation of this offering and our 2020 Equity Incentive Plan (the 2020 Plan) and the 2015 Equity Incentive Plan that we assumed in a transaction in 2020 (the 2015 Plan, and collectively with the 2020 Plan, the Prior Plans), under which we have previously made periodic grants of equity and equity-based awards to our named executive officers and other key employees.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Incentive Award Plan</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intend to adopt the 2022 Plan, which will be effective on the day prior to the first public trading date of our common stock. The principal purpose of the 2022 Plan is to attract, retain and motivate selected employees, consultants and directors through the granting of stock-based compensation awards and cash-based performance bonus awards. The material terms of the 2022 Plan, as it is currently contemplated, are summarized below.</w:t>
      </w:r>
    </w:p>
    <w:p>
      <w:pPr>
        <w:spacing w:after="0" w:line="18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Under the 2022 Plan, shares of our common stock will be initially reserved for issuance pursuant to a variety of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awards, including stock options, stock appreciation rights, or SARs, restricted stock awards, restricted stock unit awards and other stock-based awards. The number of shares initially reserved for issuance or transfer pursuant to awards under the 2022 Plan will be increased by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hanging="4"/>
        <w:spacing w:after="0" w:line="291" w:lineRule="auto"/>
        <w:tabs>
          <w:tab w:leader="none" w:pos="33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number of shares represented by awards outstanding under our Prior Plans, or Prior Plan Awards, that become available for issuance under the counting provisions described below following the effective date and (ii) an annual increase on each January 1 beginning in 2023 and ending in 2032,</w:t>
      </w:r>
    </w:p>
    <w:p>
      <w:pPr>
        <w:ind w:left="120"/>
        <w:spacing w:after="0"/>
        <w:rPr>
          <w:rFonts w:ascii="Arial" w:cs="Arial" w:eastAsia="Arial" w:hAnsi="Arial"/>
          <w:sz w:val="16"/>
          <w:szCs w:val="16"/>
          <w:color w:val="auto"/>
        </w:rPr>
      </w:pPr>
      <w:r>
        <w:rPr>
          <w:rFonts w:ascii="Arial" w:cs="Arial" w:eastAsia="Arial" w:hAnsi="Arial"/>
          <w:sz w:val="18"/>
          <w:szCs w:val="18"/>
          <w:color w:val="auto"/>
        </w:rPr>
        <w:t>equal to the lesser of (A)</w:t>
      </w:r>
      <w:r>
        <w:rPr>
          <w:rFonts w:ascii="Arial" w:cs="Arial" w:eastAsia="Arial" w:hAnsi="Arial"/>
          <w:sz w:val="16"/>
          <w:szCs w:val="16"/>
          <w:color w:val="auto"/>
        </w:rPr>
        <w:t>% of the shares of our common stock outstanding (on an as converted basis) on the immediately preceding December 31</w:t>
      </w:r>
    </w:p>
    <w:p>
      <w:pPr>
        <w:spacing w:after="0" w:line="20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and (B) such smaller number of shares of stock as determined by our board of directors; provided, however, that no more than shares of stock may be issued upon the exercise of incentive stock options.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counting provisions will be in effect for the share reserve under the 2022 Plan:</w:t>
      </w:r>
    </w:p>
    <w:p>
      <w:pPr>
        <w:spacing w:after="0" w:line="131" w:lineRule="exact"/>
        <w:rPr>
          <w:sz w:val="20"/>
          <w:szCs w:val="20"/>
          <w:color w:val="auto"/>
        </w:rPr>
      </w:pPr>
    </w:p>
    <w:p>
      <w:pPr>
        <w:ind w:left="1080" w:hanging="532"/>
        <w:spacing w:after="0" w:line="308" w:lineRule="auto"/>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the extent that an award (including a Prior Plan Award) terminates, expires or lapses for any reason or an award is settled in cash without the delivery of shares, any shares subject to the award at such time will be available for future grants under the 2022 Plan;</w:t>
      </w:r>
    </w:p>
    <w:p>
      <w:pPr>
        <w:spacing w:after="0" w:line="51" w:lineRule="exact"/>
        <w:rPr>
          <w:rFonts w:ascii="Arial" w:cs="Arial" w:eastAsia="Arial" w:hAnsi="Arial"/>
          <w:sz w:val="17"/>
          <w:szCs w:val="17"/>
          <w:color w:val="auto"/>
        </w:rPr>
      </w:pPr>
    </w:p>
    <w:p>
      <w:pPr>
        <w:ind w:left="1080" w:right="340" w:hanging="532"/>
        <w:spacing w:after="0" w:line="342"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to the extent shares are tendered or withheld to satisfy the grant, exercise price or tax withholding obligation with respect to any award under the 2022 Plan or Prior Plan Award, such tendered or withheld shares will be available for future grants under the 2022 Plan;</w:t>
      </w:r>
    </w:p>
    <w:p>
      <w:pPr>
        <w:spacing w:after="0" w:line="29" w:lineRule="exact"/>
        <w:rPr>
          <w:rFonts w:ascii="Arial" w:cs="Arial" w:eastAsia="Arial" w:hAnsi="Arial"/>
          <w:sz w:val="16"/>
          <w:szCs w:val="16"/>
          <w:color w:val="auto"/>
        </w:rPr>
      </w:pPr>
    </w:p>
    <w:p>
      <w:pPr>
        <w:ind w:left="1080" w:right="200" w:hanging="532"/>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are not issued in connection with the stock settlement of stock appreciation rights on exercise thereof, such shares will be available for future grants under the 2022 Plan;</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extent that shares of our common stock are repurchased by us prior to vesting so that shares are returned to us, such shares will be available for future grants under the 2022 Plan;</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or Prior Plan Awards will not be counted against the shares available for issuance under the 2022 Plan; and</w:t>
      </w:r>
    </w:p>
    <w:p>
      <w:pPr>
        <w:spacing w:after="0" w:line="75"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2022 Plan.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the sum of the grant date fair value of all equity-based awards and the maximum that may become payable pursuant to all cash-based</w:t>
      </w:r>
    </w:p>
    <w:p>
      <w:pPr>
        <w:spacing w:after="0" w:line="46" w:lineRule="exact"/>
        <w:rPr>
          <w:sz w:val="20"/>
          <w:szCs w:val="20"/>
          <w:color w:val="auto"/>
        </w:rPr>
      </w:pPr>
    </w:p>
    <w:p>
      <w:pPr>
        <w:ind w:left="120"/>
        <w:spacing w:after="0"/>
        <w:tabs>
          <w:tab w:leader="none" w:pos="8420" w:val="left"/>
        </w:tabs>
        <w:rPr>
          <w:sz w:val="20"/>
          <w:szCs w:val="20"/>
          <w:color w:val="auto"/>
        </w:rPr>
      </w:pPr>
      <w:r>
        <w:rPr>
          <w:rFonts w:ascii="Arial" w:cs="Arial" w:eastAsia="Arial" w:hAnsi="Arial"/>
          <w:sz w:val="17"/>
          <w:szCs w:val="17"/>
          <w:color w:val="auto"/>
        </w:rPr>
        <w:t>awards to any individual for services as a non-employee director during any calendar year may not exceed $</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compensation committee of our board of directors is expected to administer the 2022 Plan unless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assumes authority for administration. The compensation committee 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common stock are traded. The 2022 Plan provides that the board or compensation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7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Subject to the terms and conditions of the 2022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2022 Plan. The administrator is also authorized to adopt, amend or rescind rules relating to administration of the 2022 Plan. Our board of directors may at any time remove the compensation committee as the administrator and revest in itself the authority to administer the 2022 Plan. The full board of directors will administer the 2022 Plan with respect to awards to non-employee directors.</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SARs, restricted stock and all other stock-based and cash-based awards under the 2022 Plan may be granted to individuals</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then our officers, employees or consultants or are the officers,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employees or consultants of certain of our subsidiaries. Such awards also may be granted to our directors. Only employees of our company or certain of our subsidiaries may be granted incentive stock options, or ISOs.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2022 Plan provides that the administrator may grant or issue stock options, SARs, restricted stock, restricted stock units, other stock-or cash-based awards and dividend equivalents, or any combination thereof. Each award will be set forth in a separate agreement with the person receiving the award and will indicate the type, terms and conditions of the award.</w:t>
      </w:r>
    </w:p>
    <w:p>
      <w:pPr>
        <w:spacing w:after="0" w:line="89" w:lineRule="exact"/>
        <w:rPr>
          <w:sz w:val="20"/>
          <w:szCs w:val="20"/>
          <w:color w:val="auto"/>
        </w:rPr>
      </w:pPr>
    </w:p>
    <w:p>
      <w:pPr>
        <w:ind w:left="1080" w:hanging="532"/>
        <w:spacing w:after="0" w:line="25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or NSOs, will provide for the right to purchase shares of our common stock at a specified price which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93" w:lineRule="exact"/>
        <w:rPr>
          <w:rFonts w:ascii="Arial" w:cs="Arial" w:eastAsia="Arial" w:hAnsi="Arial"/>
          <w:sz w:val="18"/>
          <w:szCs w:val="18"/>
          <w:color w:val="auto"/>
        </w:rPr>
      </w:pPr>
    </w:p>
    <w:p>
      <w:pPr>
        <w:ind w:left="1080" w:hanging="532"/>
        <w:spacing w:after="0" w:line="272" w:lineRule="auto"/>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Incentive Stock Options</w:t>
      </w:r>
      <w:r>
        <w:rPr>
          <w:rFonts w:ascii="Arial" w:cs="Arial" w:eastAsia="Arial" w:hAnsi="Arial"/>
          <w:sz w:val="17"/>
          <w:szCs w:val="17"/>
          <w:color w:val="auto"/>
        </w:rPr>
        <w:t>, or ISOs, will be designed in a manner intended to comply with the provisions of Section 422 of the Code,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2022 Plan provides that the exercise price must be at least 110% of the fair market value of a share of common stock on the date of grant and the ISO must not be exercisable after a period of five years measured from the date of grant.</w:t>
      </w:r>
    </w:p>
    <w:p>
      <w:pPr>
        <w:spacing w:after="0" w:line="82" w:lineRule="exact"/>
        <w:rPr>
          <w:rFonts w:ascii="Arial" w:cs="Arial" w:eastAsia="Arial" w:hAnsi="Arial"/>
          <w:sz w:val="17"/>
          <w:szCs w:val="17"/>
          <w:color w:val="auto"/>
        </w:rPr>
      </w:pPr>
    </w:p>
    <w:p>
      <w:pPr>
        <w:ind w:left="1080" w:right="20" w:hanging="532"/>
        <w:spacing w:after="0" w:line="255"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may be granted to any eligible individual and made subject to such restrictions as may be determined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97" w:lineRule="exact"/>
        <w:rPr>
          <w:rFonts w:ascii="Arial" w:cs="Arial" w:eastAsia="Arial" w:hAnsi="Arial"/>
          <w:sz w:val="18"/>
          <w:szCs w:val="18"/>
          <w:color w:val="auto"/>
        </w:rPr>
      </w:pPr>
    </w:p>
    <w:p>
      <w:pPr>
        <w:ind w:left="1080" w:right="300" w:hanging="532"/>
        <w:spacing w:after="0" w:line="296"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66" w:lineRule="exact"/>
        <w:rPr>
          <w:rFonts w:ascii="Arial" w:cs="Arial" w:eastAsia="Arial" w:hAnsi="Arial"/>
          <w:sz w:val="16"/>
          <w:szCs w:val="16"/>
          <w:color w:val="auto"/>
        </w:rPr>
      </w:pPr>
    </w:p>
    <w:p>
      <w:pPr>
        <w:ind w:left="1080" w:right="280" w:hanging="532"/>
        <w:spacing w:after="0" w:line="275" w:lineRule="auto"/>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or SARs, may be granted in connection with stock options or other awards, or separately. SARs granted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stock options or other awards typically will provide for payments to the holder based upon increases in the price of our common stock over a set exercise price. The exercise price of any SAR granted under the 2022 Plan must be at least 100% of the fair market value of a share of our common stock on the date of grant. SARs under the 2022 Plan will be settled in cash or shares of our common stock, or in a combination of both, at the election of the administrator.</w:t>
      </w:r>
    </w:p>
    <w:p>
      <w:pPr>
        <w:spacing w:after="0" w:line="81" w:lineRule="exact"/>
        <w:rPr>
          <w:rFonts w:ascii="Arial" w:cs="Arial" w:eastAsia="Arial" w:hAnsi="Arial"/>
          <w:sz w:val="17"/>
          <w:szCs w:val="17"/>
          <w:color w:val="auto"/>
        </w:rPr>
      </w:pPr>
    </w:p>
    <w:p>
      <w:pPr>
        <w:ind w:left="1080" w:right="60" w:hanging="532"/>
        <w:spacing w:after="0" w:line="279" w:lineRule="auto"/>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Other Stock or Cash Based Awards </w:t>
      </w:r>
      <w:r>
        <w:rPr>
          <w:rFonts w:ascii="Arial" w:cs="Arial" w:eastAsia="Arial" w:hAnsi="Arial"/>
          <w:sz w:val="17"/>
          <w:szCs w:val="17"/>
          <w:color w:val="auto"/>
        </w:rPr>
        <w:t>are awards of cash, fully vested shares of our common stock and other awards valued wholly or</w:t>
      </w:r>
      <w:r>
        <w:rPr>
          <w:rFonts w:ascii="Arial" w:cs="Arial" w:eastAsia="Arial" w:hAnsi="Arial"/>
          <w:sz w:val="17"/>
          <w:szCs w:val="17"/>
          <w:i w:val="1"/>
          <w:iCs w:val="1"/>
          <w:color w:val="auto"/>
        </w:rPr>
        <w:t xml:space="preserve"> </w:t>
      </w:r>
      <w:r>
        <w:rPr>
          <w:rFonts w:ascii="Arial" w:cs="Arial" w:eastAsia="Arial" w:hAnsi="Arial"/>
          <w:sz w:val="17"/>
          <w:szCs w:val="17"/>
          <w:color w:val="auto"/>
        </w:rPr>
        <w:t>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60"/>
        <w:spacing w:after="0" w:line="277" w:lineRule="auto"/>
        <w:rPr>
          <w:sz w:val="20"/>
          <w:szCs w:val="20"/>
          <w:color w:val="auto"/>
        </w:rPr>
      </w:pPr>
      <w:r>
        <w:rPr>
          <w:rFonts w:ascii="Arial" w:cs="Arial" w:eastAsia="Arial" w:hAnsi="Arial"/>
          <w:sz w:val="18"/>
          <w:szCs w:val="18"/>
          <w:color w:val="auto"/>
        </w:rPr>
        <w:t>receive awards. The plan administrator will determine the terms and conditions of other stock or cash based awards, which may include vesting conditions based on continued service, performance and/or other conditions.</w:t>
      </w:r>
    </w:p>
    <w:p>
      <w:pPr>
        <w:spacing w:after="0" w:line="76" w:lineRule="exact"/>
        <w:rPr>
          <w:sz w:val="20"/>
          <w:szCs w:val="20"/>
          <w:color w:val="auto"/>
        </w:rPr>
      </w:pPr>
    </w:p>
    <w:p>
      <w:pPr>
        <w:ind w:left="1080" w:right="20" w:hanging="532"/>
        <w:spacing w:after="0" w:line="255"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common stock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unless the plan administrator elects to terminate an award in exchange for cash,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The administrator may also make appropriate adjustments to awards under the 2022 Plan and is authorized to provide for the acceleration, cash-out, termination, assumption, substitution or conversion of such awards in the event of a change in control or certain other unusual or nonrecurring events or transactions.</w:t>
      </w:r>
    </w:p>
    <w:p>
      <w:pPr>
        <w:spacing w:after="0" w:line="19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Adjustments of Awards</w:t>
      </w:r>
      <w:r>
        <w:rPr>
          <w:rFonts w:ascii="Arial" w:cs="Arial" w:eastAsia="Arial" w:hAnsi="Arial"/>
          <w:sz w:val="16"/>
          <w:szCs w:val="16"/>
          <w:color w:val="auto"/>
        </w:rPr>
        <w:t>. In the event of any stock dividend or other distribution, stock split, reverse stock split, reorganization, combination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of shares, merger, consolidation, split-up, spin-off, recapitalization, repurchase or any other corporate event affecting the number of outstanding shares of our common stock or the share price of our common stock that would require adjustments to the 2022 Plan or any awards under the 2022 Plan in order to prevent the dilution or enlargement of the potential benefits intended to be made available thereunder, the administrator will make appropriate, proportionate adjustments to: (i) the aggregate number and type of shares subject to the 2022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2022 Plan.</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administrator may terminate, amend or modify the 2022 Plan at any time and from time to time. However, we</w:t>
      </w:r>
      <w:r>
        <w:rPr>
          <w:rFonts w:ascii="Arial" w:cs="Arial" w:eastAsia="Arial" w:hAnsi="Arial"/>
          <w:sz w:val="18"/>
          <w:szCs w:val="18"/>
          <w:i w:val="1"/>
          <w:iCs w:val="1"/>
          <w:color w:val="auto"/>
        </w:rPr>
        <w:t xml:space="preserve"> </w:t>
      </w:r>
      <w:r>
        <w:rPr>
          <w:rFonts w:ascii="Arial" w:cs="Arial" w:eastAsia="Arial" w:hAnsi="Arial"/>
          <w:sz w:val="18"/>
          <w:szCs w:val="18"/>
          <w:color w:val="auto"/>
        </w:rPr>
        <w:t>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88"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No incentive stock options may be granted pursuant to the 2022 Plan after the tenth anniversary of the effective date of the 2022 Plan, and no additional annual share increases to the 2022 Plan’s aggregate share limit will occur from and after such anniversary. Any award that is outstanding on the termination date of the 2022 Plan will remain in force according to the terms of the 2022 Plan and the applicable award agreement.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We currently maintain the 2020 Plan, which was adopted by our board of directors in January 2020. We have previously granted stock options to our NEOs under the 2020 Plan, as described in more detail above. The principal purpose of the 2020 Plan is to is to enhance our ability to attract, retain and motivate persons who make (or are expected to make) important contributions to us by providing them with equity ownership opportunities.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440"/>
        <w:spacing w:after="0" w:line="291" w:lineRule="auto"/>
        <w:rPr>
          <w:sz w:val="20"/>
          <w:szCs w:val="20"/>
          <w:color w:val="auto"/>
        </w:rPr>
      </w:pPr>
      <w:r>
        <w:rPr>
          <w:rFonts w:ascii="Arial" w:cs="Arial" w:eastAsia="Arial" w:hAnsi="Arial"/>
          <w:sz w:val="16"/>
          <w:szCs w:val="16"/>
          <w:color w:val="auto"/>
        </w:rPr>
        <w:t>Following the completion of this offering, we will not make any further grants under the 2020 Plan. However, the 2020 Plan will continue to govern the terms and conditions of the outstanding awards granted under the 2020 Plan which, as of the date of this prospectus, constitute</w:t>
      </w:r>
    </w:p>
    <w:p>
      <w:pPr>
        <w:ind w:left="120"/>
        <w:spacing w:after="0"/>
        <w:tabs>
          <w:tab w:leader="none" w:pos="2680" w:val="left"/>
        </w:tabs>
        <w:rPr>
          <w:sz w:val="20"/>
          <w:szCs w:val="20"/>
          <w:color w:val="auto"/>
        </w:rPr>
      </w:pPr>
      <w:r>
        <w:rPr>
          <w:rFonts w:ascii="Arial" w:cs="Arial" w:eastAsia="Arial" w:hAnsi="Arial"/>
          <w:sz w:val="18"/>
          <w:szCs w:val="18"/>
          <w:color w:val="auto"/>
        </w:rPr>
        <w:t>outstanding stock options and</w:t>
      </w:r>
      <w:r>
        <w:rPr>
          <w:sz w:val="20"/>
          <w:szCs w:val="20"/>
          <w:color w:val="auto"/>
        </w:rPr>
        <w:tab/>
      </w:r>
      <w:r>
        <w:rPr>
          <w:rFonts w:ascii="Arial" w:cs="Arial" w:eastAsia="Arial" w:hAnsi="Arial"/>
          <w:sz w:val="16"/>
          <w:szCs w:val="16"/>
          <w:color w:val="auto"/>
        </w:rPr>
        <w:t>restricted stock awards.</w:t>
      </w:r>
    </w:p>
    <w:p>
      <w:pPr>
        <w:spacing w:after="0" w:line="21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The 2020 Plan provides for the grant of non-qualified options, restricted stock, restricted stock units or other stock-based awards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non-employee members of the board of directors and consultants. The 2020 Plan provides for the grant of ISOs to employees.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We have reserved an aggregate of shares of our common stock for issuance under the 2020 Plan. As of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purchase a total of shares of our common stock were issued and outstanding, a total of shares of common stock had been issued upon the exercise of options or pursuant to other awards granted under the 2020 Plan and were outstanding, and shares remained available for future grants.</w:t>
      </w:r>
    </w:p>
    <w:p>
      <w:pPr>
        <w:spacing w:after="0" w:line="18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or a committee appointed by our board of directors administers the 2020 Plan. The administrator has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select the service providers to whom equity awards will be granted under the 2020 Plan, the number of shares to be subject to those awards under the 2020 Plan, and the terms and conditions of the awards granted. In addition, the administrator has the authority to construe and interpret the 2020 Plan and to adopt rules for the administration, interpretation and application of the 2020 Plan that are consistent with the terms of the 2020 Plan.</w:t>
      </w:r>
    </w:p>
    <w:p>
      <w:pPr>
        <w:spacing w:after="0" w:line="15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The 2020 Plan provides that the administrator may grant or issue stock options, restricted stock, restricted stock units or stock awards, or</w:t>
      </w:r>
      <w:r>
        <w:rPr>
          <w:rFonts w:ascii="Arial" w:cs="Arial" w:eastAsia="Arial" w:hAnsi="Arial"/>
          <w:sz w:val="18"/>
          <w:szCs w:val="18"/>
          <w:i w:val="1"/>
          <w:iCs w:val="1"/>
          <w:color w:val="auto"/>
        </w:rPr>
        <w:t xml:space="preserve"> </w:t>
      </w:r>
      <w:r>
        <w:rPr>
          <w:rFonts w:ascii="Arial" w:cs="Arial" w:eastAsia="Arial" w:hAnsi="Arial"/>
          <w:sz w:val="18"/>
          <w:szCs w:val="18"/>
          <w:color w:val="auto"/>
        </w:rPr>
        <w:t>any combination thereof. Each award will be set forth in a separate agreement with the person receiving the award and will indicate the type, terms and conditions of the award.</w:t>
      </w:r>
    </w:p>
    <w:p>
      <w:pPr>
        <w:spacing w:after="0" w:line="89" w:lineRule="exact"/>
        <w:rPr>
          <w:sz w:val="20"/>
          <w:szCs w:val="20"/>
          <w:color w:val="auto"/>
        </w:rPr>
      </w:pPr>
    </w:p>
    <w:p>
      <w:pPr>
        <w:ind w:left="1080" w:right="80" w:hanging="532"/>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NSOs will provide for the right to purchase shares of our common stock at a specified price which shall be not less than fair market value on the date of grant, and usually will become exercisable (at the discretion of the administrator) in one or more installments after the grant date, subject to the participant’s continued employment or service with us. NSOs may be granted for any term specified by the administrator, but in no event more than 10 years after they are granted.</w:t>
      </w:r>
    </w:p>
    <w:p>
      <w:pPr>
        <w:spacing w:after="0" w:line="92"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ISOs will be designed in a manner intended to comply with the provisions of Section 422 of the Code, and will be subject to specified restrictions contained in the Code. Among such restrictions, ISOs must have an exercise price of not less than the fair market value of a share of common stock on the date of grant (or 110% for an individual who owns (or is deemed to own) more than 10% of the total combined voting power of all classes of our capital stock), may only be granted to employees, and must not be exercisable after a period of ten years measured from the date of grant (or five years for an individual who owns (or is deemed to own) more than 10% of the total combined voting power of all classes of our capital stock).</w:t>
      </w:r>
    </w:p>
    <w:p>
      <w:pPr>
        <w:spacing w:after="0" w:line="97"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Restricted Stock may be granted to any eligible individual and made subject to such restrictions as may be determined by the administrator, including whether there is any purchase price.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Recipients of restricted stock awards will generally have rights equivalent to those of a stockholder with respect to such shares upon grant without regard to vesting.</w:t>
      </w:r>
    </w:p>
    <w:p>
      <w:pPr>
        <w:spacing w:after="0" w:line="81" w:lineRule="exact"/>
        <w:rPr>
          <w:rFonts w:ascii="Arial" w:cs="Arial" w:eastAsia="Arial" w:hAnsi="Arial"/>
          <w:sz w:val="17"/>
          <w:szCs w:val="17"/>
          <w:color w:val="auto"/>
        </w:rPr>
      </w:pPr>
    </w:p>
    <w:p>
      <w:pPr>
        <w:ind w:left="1080" w:right="60" w:hanging="532"/>
        <w:spacing w:after="0" w:line="279" w:lineRule="auto"/>
        <w:tabs>
          <w:tab w:leader="none" w:pos="1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Restricted stock units are units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6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Stock Awards are awards of shares of our common stock and other awards valued wholly or partially by referring to, or otherwise based on, shares of our common stock. Stock awards may be granted to participants as standalone payments and as payment in lieu of base salary, bonus, fees or other cash compensation otherwise payable to any individual who is eligible to receive awards. The plan administrator will determine the terms and conditions of stock awards.</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A participant may not transfer stock awards under our 2020 Plan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our 2020 Plan.</w:t>
      </w:r>
    </w:p>
    <w:p>
      <w:pPr>
        <w:spacing w:after="0" w:line="170"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i w:val="1"/>
          <w:iCs w:val="1"/>
          <w:color w:val="auto"/>
        </w:rPr>
        <w:t xml:space="preserve">Certain Events. </w:t>
      </w:r>
      <w:r>
        <w:rPr>
          <w:rFonts w:ascii="Arial" w:cs="Arial" w:eastAsia="Arial" w:hAnsi="Arial"/>
          <w:sz w:val="16"/>
          <w:szCs w:val="16"/>
          <w:color w:val="auto"/>
        </w:rPr>
        <w:t>In the event of any dividend or other distribution, reorganization, merger, consolidation, combination, repurchase,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liquidation, dissolution, or sale, transfer, exchange or other disposition of all or substantially all of the assets of the Company, or sale of exchange of our common stock or other securities, issuance of warrants or other rights to purchase common stock, or any other corporate transaction or event affecting the common stock that would require adjustments to the 2020 Plan or any awards under the 2020 Plan in order to prevent the dilution or enlargement of the potential benefits intended to be made available thereunder, the administrator will make appropriate, proportionate adjustments to: (i) the aggregate number and kind of shares with respect to which awards may be granted or awarded under the 2020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2020 Plan.</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the event of any transaction or event described above (including any change in control), the administrator may make appropriate adjustments to awards under the 2020 Plan and is authorized to provide for the acceleration, cash-out, termination, assumption, substitution or conversion of such awards in the event of a change in control or certain other unusual or nonrecurring events or transactions or to comply with changes in applicable laws or accounting principles.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Our board of directors may amend or terminate the 2020 Plan or any portion thereof at any time; an amendment of the</w:t>
      </w:r>
    </w:p>
    <w:p>
      <w:pPr>
        <w:spacing w:after="0" w:line="46"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2020 Plan shall be subject to the approval of our stockholders only to the extent required by applicable laws. As described above, the 2020 Plan will terminate when the 2022 Plan is effective. No awards may be granted under our 2020 Plan after it is terminated.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previously had assumed the 2015 Plan as part of a transaction involving the acquisition of BlackThorn Therapeutics, Inc. in 2020. We have previously granted stock options to Mr. Berns under the 2015 Plan, as described in more detail above. The principal purpose of the 2015 Plan is to enhance our ability to attract, retain and motivate persons who make (or are expected to make) important contributions to us by providing them with equity ownership opportunities.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2015 Plan was suspended in connection with the closing of the acquisition of BlackThorn in September 2020, and we will not make any</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further grants under the 2015 Plan. However, the 2015 Plan will continue to govern the terms and conditions of the outstanding awards granted under the</w:t>
      </w:r>
    </w:p>
    <w:p>
      <w:pPr>
        <w:spacing w:after="0" w:line="32" w:lineRule="exact"/>
        <w:rPr>
          <w:sz w:val="20"/>
          <w:szCs w:val="20"/>
          <w:color w:val="auto"/>
        </w:rPr>
      </w:pPr>
    </w:p>
    <w:p>
      <w:pPr>
        <w:ind w:left="120"/>
        <w:spacing w:after="0"/>
        <w:tabs>
          <w:tab w:leader="none" w:pos="4900" w:val="left"/>
          <w:tab w:leader="none" w:pos="7500" w:val="left"/>
        </w:tabs>
        <w:rPr>
          <w:sz w:val="20"/>
          <w:szCs w:val="20"/>
          <w:color w:val="auto"/>
        </w:rPr>
      </w:pPr>
      <w:r>
        <w:rPr>
          <w:rFonts w:ascii="Arial" w:cs="Arial" w:eastAsia="Arial" w:hAnsi="Arial"/>
          <w:sz w:val="18"/>
          <w:szCs w:val="18"/>
          <w:color w:val="auto"/>
        </w:rPr>
        <w:t>2015 Plan which, as of the date of this prospectus, constitute</w:t>
      </w:r>
      <w:r>
        <w:rPr>
          <w:sz w:val="20"/>
          <w:szCs w:val="20"/>
          <w:color w:val="auto"/>
        </w:rPr>
        <w:tab/>
      </w:r>
      <w:r>
        <w:rPr>
          <w:rFonts w:ascii="Arial" w:cs="Arial" w:eastAsia="Arial" w:hAnsi="Arial"/>
          <w:sz w:val="18"/>
          <w:szCs w:val="18"/>
          <w:color w:val="auto"/>
        </w:rPr>
        <w:t>outstanding stock options and</w:t>
      </w:r>
      <w:r>
        <w:rPr>
          <w:sz w:val="20"/>
          <w:szCs w:val="20"/>
          <w:color w:val="auto"/>
        </w:rPr>
        <w:tab/>
      </w:r>
      <w:r>
        <w:rPr>
          <w:rFonts w:ascii="Arial" w:cs="Arial" w:eastAsia="Arial" w:hAnsi="Arial"/>
          <w:sz w:val="16"/>
          <w:szCs w:val="16"/>
          <w:color w:val="auto"/>
        </w:rPr>
        <w:t>restricted stock awards.</w:t>
      </w:r>
    </w:p>
    <w:p>
      <w:pPr>
        <w:spacing w:after="0" w:line="211"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The 2015 Plan provides for the grant of non-qualified options, restricted stock, restricted stock units or other stock-based awards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non-employee members of the board of directors and consultants. The 2015 Plan provides for the grant of ISOs to employees.</w:t>
      </w:r>
    </w:p>
    <w:p>
      <w:pPr>
        <w:spacing w:after="0" w:line="12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We have reserved an aggregate of shares of our common stock for issuance under the 2015 Plan. As of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purchase a total of shares of our common stock were issued and outstanding, a total of shares of common stock had been issued upon the exercise of options or pursuant to other awards granted under the 2015 Plan and were outstanding, and shares remained available for future grants.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or a committee appointed by our board of directors administers the 2015 Plan. The administrator has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select the service providers to whom equity awards will be granted under the 2015 Plan, the number of shares to be subject to those awards under the 2015 Plan, and the terms and conditions of the awards granted. In addition, the administrator has the authority to construe and interpret the 2015 Plan and to adopt rules for the administration, interpretation and application of the 2015 Plan that are consistent with the terms of the 2015 Plan.</w:t>
      </w:r>
    </w:p>
    <w:p>
      <w:pPr>
        <w:spacing w:after="0" w:line="15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The 2015 Plan provides that the administrator may grant or issue stock options, restricted stock, restricted stock units or stock awards, or</w:t>
      </w:r>
      <w:r>
        <w:rPr>
          <w:rFonts w:ascii="Arial" w:cs="Arial" w:eastAsia="Arial" w:hAnsi="Arial"/>
          <w:sz w:val="18"/>
          <w:szCs w:val="18"/>
          <w:i w:val="1"/>
          <w:iCs w:val="1"/>
          <w:color w:val="auto"/>
        </w:rPr>
        <w:t xml:space="preserve"> </w:t>
      </w:r>
      <w:r>
        <w:rPr>
          <w:rFonts w:ascii="Arial" w:cs="Arial" w:eastAsia="Arial" w:hAnsi="Arial"/>
          <w:sz w:val="18"/>
          <w:szCs w:val="18"/>
          <w:color w:val="auto"/>
        </w:rPr>
        <w:t>any combination thereof. Each award will be set forth in a separate agreement with the person receiving the award and will indicate the type, terms and conditions of the award.</w:t>
      </w:r>
    </w:p>
    <w:p>
      <w:pPr>
        <w:spacing w:after="0" w:line="89" w:lineRule="exact"/>
        <w:rPr>
          <w:sz w:val="20"/>
          <w:szCs w:val="20"/>
          <w:color w:val="auto"/>
        </w:rPr>
      </w:pPr>
    </w:p>
    <w:p>
      <w:pPr>
        <w:ind w:left="1080" w:right="80" w:hanging="532"/>
        <w:spacing w:after="0" w:line="259"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NSOs will provide for the right to purchase shares of our common stock at a specified price which shall be not less than fair market value on the date of grant, and usually will become exercisable (at the discretion of the administrator) in one or more installments after the grant date, subject to the participant’s continued employment or service with us. NSOs may be granted for any term specified by the administrator, but in no event more than 10 years after they are granted.</w:t>
      </w:r>
    </w:p>
    <w:p>
      <w:pPr>
        <w:spacing w:after="0" w:line="92"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ISOs will be designed in a manner intended to comply with the provisions of Section 422 of the Code, and will be subject to specified restrictions contained in the Code. Among such restrictions, ISOs must have an exercise price of not less than the fair market value of a share of common stock on the date of grant (or 110% for an individual who owns (or is deemed to own) more than 10% of the total combined voting power of all classes of our capital stock), may only be granted to employees, and must not be exercisable after a period of ten years measured from the date of grant (or five years for an individual who owns (or is deemed to own) more than 10% of the total combined voting power of all classes of our capital stock).</w:t>
      </w:r>
    </w:p>
    <w:p>
      <w:pPr>
        <w:spacing w:after="0" w:line="97"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Restricted Stock may be granted to any eligible individual and made subject to such restrictions as may be determined by the administrator, including whether there is any purchase price.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Recipients of restricted stock awards will generally have rights equivalent to those of a stockholder with respect to such shares upon grant without regard to vesting.</w:t>
      </w:r>
    </w:p>
    <w:p>
      <w:pPr>
        <w:spacing w:after="0" w:line="81" w:lineRule="exact"/>
        <w:rPr>
          <w:rFonts w:ascii="Arial" w:cs="Arial" w:eastAsia="Arial" w:hAnsi="Arial"/>
          <w:sz w:val="17"/>
          <w:szCs w:val="17"/>
          <w:color w:val="auto"/>
        </w:rPr>
      </w:pPr>
    </w:p>
    <w:p>
      <w:pPr>
        <w:ind w:left="1080" w:right="60" w:hanging="532"/>
        <w:spacing w:after="0" w:line="279"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Restricted stock units are units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76" w:lineRule="exact"/>
        <w:rPr>
          <w:rFonts w:ascii="Arial" w:cs="Arial" w:eastAsia="Arial" w:hAnsi="Arial"/>
          <w:sz w:val="17"/>
          <w:szCs w:val="17"/>
          <w:color w:val="auto"/>
        </w:rPr>
      </w:pPr>
    </w:p>
    <w:p>
      <w:pPr>
        <w:ind w:left="1080" w:right="240" w:hanging="532"/>
        <w:spacing w:after="0" w:line="259"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Stock Awards are awards of shares of our common stock and other awards valued wholly or partially by referring to, or otherwise based on, shares of our common stock. Stock awards may be granted to participants as standalone payments and as payment in lieu of base salary, bonus, fees or other cash compensation otherwise payable to any individual who is eligible to receive awards. The plan administrator will determine the terms and conditions of stock awards.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A participant may not transfer stock awards under our 2015 Plan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our 2015 Plan.</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i w:val="1"/>
          <w:iCs w:val="1"/>
          <w:color w:val="auto"/>
        </w:rPr>
        <w:t xml:space="preserve">Certain Events. </w:t>
      </w:r>
      <w:r>
        <w:rPr>
          <w:rFonts w:ascii="Arial" w:cs="Arial" w:eastAsia="Arial" w:hAnsi="Arial"/>
          <w:sz w:val="16"/>
          <w:szCs w:val="16"/>
          <w:color w:val="auto"/>
        </w:rPr>
        <w:t>In the event of any dividend or other distribution, reorganization, merger, consolidation, combination, repurchase,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liquidation, dissolution, or sale, transfer, exchange or other disposition of all or substantially all of the assets of the Company, or sale of exchange of our common stock or other securities, issuance of warrants or other rights to purchase common stock, or any other corporate transaction 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event affecting the common stock that would require adjustments to the 2015 Plan or any awards under the 2015 Plan in order to prevent the dilution or enlargement of the potential benefits intended to be made available thereunder, the administrator will make appropriate, proportionate adjustments to:</w:t>
      </w:r>
    </w:p>
    <w:p>
      <w:pPr>
        <w:ind w:left="120" w:right="120" w:hanging="4"/>
        <w:spacing w:after="0" w:line="302" w:lineRule="auto"/>
        <w:tabs>
          <w:tab w:leader="none" w:pos="33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aggregate number and kind of shares with respect to which awards may be granted or awarded under the 2015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2015 Plan.</w:t>
      </w:r>
    </w:p>
    <w:p>
      <w:pPr>
        <w:spacing w:after="0" w:line="15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the event of any transaction or event described above (including any change in control), the administrator may make appropriate adjustments to awards under the 2015 Plan and is authorized to provide for the acceleration, cash-out, termination, assumption, substitution or conversion of such awards in the event of a change in control or certain other unusual or nonrecurring events or transactions or to comply with changes in applicable laws or accounting principles. In the event a change in control occurs and the successor corporation refuses to assume or substitute for outstanding awards under the 2015 Plan, then the vesting of such awards (if held by a current service provider) will be fully accelerated immediately prior to the closing of such change in control, and such awards will terminate upon expiration of such period in exchange for a cash payment similar to holders of common stock in the transaction determined by reference to the number of shares subject to such awards and net of any applicable exercise price.</w:t>
      </w:r>
    </w:p>
    <w:p>
      <w:pPr>
        <w:spacing w:after="0" w:line="16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Our board of directors has the authority to amend, suspend or terminate our 2015 Plan, provided that such action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our stockholders to the extent stockholder approval is necessary. As described above, our 2015 Plan was suspended in connection with the closing of the acquisition of BlackThorn in September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Employee Stock Purchase Plan</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intend to adopt and ask our stockholders to approve the 2022 Employee Stock Purchase Plan, which we refer to as our ESPP, which will be effective upon the day prior to the first public trading date of our common stock. The ESPP is designed to allow our eligible employees to purchase shares of our common stock, at semi-annual intervals, with their accumulated payroll deductions. The ESPP is intended to qualify under Section 423 of the Code. The material terms of the ESPP, as it is currently contemplated, are summarized below.</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Components</w:t>
      </w:r>
      <w:r>
        <w:rPr>
          <w:rFonts w:ascii="Arial" w:cs="Arial" w:eastAsia="Arial" w:hAnsi="Arial"/>
          <w:sz w:val="18"/>
          <w:szCs w:val="18"/>
          <w:color w:val="auto"/>
        </w:rPr>
        <w:t>. The ESPP is comprised of two distinct components in order to provide increased flexibility to grant options to purchase shares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ESPP to U.S. and to non-U.S. employees. Specifically, the ESPP authorizes (1) the grant of options to U.S. employees that are intended to qualify for favorable U.S. federal tax treatment under Section 423 of the Code, (the Section 423 Component), and (2) the grant of options that are not intended to be tax-qualified under Section 423 of the Code to facilitate participation for employees located outside of the United States who do not benefit from favorable U.S. tax treatment and to provide flexibility to comply with non-U.S. law and other considerations (the Non-Section 423 Component). Where possible under local law and custom, we expect that the Non-Section 423 Component generally will be operated and administered on terms and conditions similar to the Section 423 Component.</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Subject to the terms and conditions of the ESPP, our compensation committee will administer the ESPP.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The maximum number of shares of our common stock which will be authorized for sale under the ESPP is equal to the sum of (a)</w:t>
      </w:r>
    </w:p>
    <w:p>
      <w:pPr>
        <w:spacing w:after="0" w:line="46" w:lineRule="exact"/>
        <w:rPr>
          <w:sz w:val="20"/>
          <w:szCs w:val="20"/>
          <w:color w:val="auto"/>
        </w:rPr>
      </w:pPr>
    </w:p>
    <w:p>
      <w:pPr>
        <w:ind w:left="120" w:right="100" w:firstLine="765"/>
        <w:spacing w:after="0" w:line="260" w:lineRule="auto"/>
        <w:rPr>
          <w:sz w:val="20"/>
          <w:szCs w:val="20"/>
          <w:color w:val="auto"/>
        </w:rPr>
      </w:pPr>
      <w:r>
        <w:rPr>
          <w:rFonts w:ascii="Arial" w:cs="Arial" w:eastAsia="Arial" w:hAnsi="Arial"/>
          <w:sz w:val="18"/>
          <w:szCs w:val="18"/>
          <w:color w:val="auto"/>
        </w:rPr>
        <w:t>shares of common stock and (b) an annual increase on each January 1 beginning in 2023 and ending in 2032, equal to the lesser of (i) % of the shares of our common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 outstanding (on an as converted basis) on the immediately preceding December 31 and (ii) such number of shares of common stock as determined</w:t>
      </w:r>
    </w:p>
    <w:p>
      <w:pPr>
        <w:spacing w:after="0" w:line="46" w:lineRule="exact"/>
        <w:rPr>
          <w:sz w:val="20"/>
          <w:szCs w:val="20"/>
          <w:color w:val="auto"/>
        </w:rPr>
      </w:pPr>
    </w:p>
    <w:p>
      <w:pPr>
        <w:ind w:left="120" w:right="480"/>
        <w:spacing w:after="0" w:line="260" w:lineRule="auto"/>
        <w:rPr>
          <w:sz w:val="20"/>
          <w:szCs w:val="20"/>
          <w:color w:val="auto"/>
        </w:rPr>
      </w:pPr>
      <w:r>
        <w:rPr>
          <w:rFonts w:ascii="Arial" w:cs="Arial" w:eastAsia="Arial" w:hAnsi="Arial"/>
          <w:sz w:val="18"/>
          <w:szCs w:val="18"/>
          <w:color w:val="auto"/>
        </w:rPr>
        <w:t>by our board of directors; provided, however, that no more than shares of our common stock may be issued under the ESPP. The shares reserved for issuance under the ESPP may be authorized but unissued shares or reacquired shares.</w:t>
      </w:r>
    </w:p>
    <w:p>
      <w:pPr>
        <w:spacing w:after="0" w:line="18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Employees eligible to participate in the ESPP for a given offering period generally include employees who are employed by us or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Participation</w:t>
      </w:r>
      <w:r>
        <w:rPr>
          <w:rFonts w:ascii="Arial" w:cs="Arial" w:eastAsia="Arial" w:hAnsi="Arial"/>
          <w:sz w:val="16"/>
          <w:szCs w:val="16"/>
          <w:color w:val="auto"/>
        </w:rPr>
        <w:t>. Employees will enroll under the ESPP by completing a payroll deduction form permitting the deduction from their compensation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at least 1% of their compensation but not more than 15% of their compensation. Such payroll deductions shall be expressed as a whole number percentage, and the accumulated deductions will be applied to the purchase of shares on each purchase date. However, a participant may not purchase</w:t>
      </w:r>
    </w:p>
    <w:p>
      <w:pPr>
        <w:spacing w:after="0" w:line="2" w:lineRule="exact"/>
        <w:rPr>
          <w:sz w:val="20"/>
          <w:szCs w:val="20"/>
          <w:color w:val="auto"/>
        </w:rPr>
      </w:pPr>
    </w:p>
    <w:p>
      <w:pPr>
        <w:ind w:left="120" w:right="320"/>
        <w:spacing w:after="0" w:line="255" w:lineRule="auto"/>
        <w:rPr>
          <w:sz w:val="20"/>
          <w:szCs w:val="20"/>
          <w:color w:val="auto"/>
        </w:rPr>
      </w:pPr>
      <w:r>
        <w:rPr>
          <w:rFonts w:ascii="Arial" w:cs="Arial" w:eastAsia="Arial" w:hAnsi="Arial"/>
          <w:sz w:val="18"/>
          <w:szCs w:val="18"/>
          <w:color w:val="auto"/>
        </w:rPr>
        <w:t>more than shares in each offering period and may not subscribe for more than $25,000 in fair market value of shares of our common stock (determined at the time the option is granted) during any calendar year. The ESPP administrator has the authority to change these limitations for any subsequent offering period.</w:t>
      </w:r>
    </w:p>
    <w:p>
      <w:pPr>
        <w:spacing w:after="0" w:line="19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Offering. </w:t>
      </w:r>
      <w:r>
        <w:rPr>
          <w:rFonts w:ascii="Arial" w:cs="Arial" w:eastAsia="Arial" w:hAnsi="Arial"/>
          <w:sz w:val="18"/>
          <w:szCs w:val="18"/>
          <w:color w:val="auto"/>
        </w:rPr>
        <w:t>Under the ESPP, participants are offered the option to purchase shares of our common stock at a discount during a series of successive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the duration and timing of which will be determined by the ESPP administrator. However, in no event may an offering period be longer than 27 months in length.</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6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6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8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i w:val="1"/>
          <w:iCs w:val="1"/>
          <w:color w:val="auto"/>
        </w:rPr>
        <w:t xml:space="preserve">Adjustments upon Changes in Recapitalization, Dissolution, Liquidation, Merger or Asset Sale. </w:t>
      </w:r>
      <w:r>
        <w:rPr>
          <w:rFonts w:ascii="Arial" w:cs="Arial" w:eastAsia="Arial" w:hAnsi="Arial"/>
          <w:sz w:val="18"/>
          <w:szCs w:val="18"/>
          <w:color w:val="auto"/>
        </w:rPr>
        <w:t>In the event of any increase or decrease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issued shares of our common stock resulting from a stock split, reverse stock split, stock dividend, combination or reclassification of the common stock, or any other increase or decrease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168"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amend, suspend or terminate the ESPP at any time. However, the board of directors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amend the ESPP without obtaining stockholder approval within 12 months before or after such amendment to the extent required by applicable laws.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following includes a summary of transactions since November 22, 2019 (our date of inception) and any currently proposed transactions, to which we were or are to be a participant, in which (i) the amount involved exceeded or will exceed $120,000;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sections titled “Director Compensation” and “Executive Compensation.”</w:t>
      </w:r>
    </w:p>
    <w:p>
      <w:pPr>
        <w:spacing w:after="0" w:line="188"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believe the terms obtained or consideration that we paid or received, as applicable, in connection with the transactions described below were comparable to terms available or the amounts that we would pay or receive, as applicable, in arm’s-length transactions.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BlackThorn Therapeutics, Inc.</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connection with our acquisition of BlackThorn in September 2020, we issued (i) an aggregate of 45,178,495 shares of our Series A-1 convertible preferred stock (the Series A-1 Preferred), with an acquisition date fair value of $36.6 million and (ii) warrants to purchase 2,292,672 shares of the Series A-1 Preferred, with an acquisition date fair value of $0.7 million (the Preferred Stock Warrants). The Preferred Stock Warrants expire on the earlier of (i) December 31, 2021, (ii) immediately prior to the consummation of this offering and (iii) upon the closing of a deemed liquidation event. Certain of BlackThorn’s investors, funds affiliated with ARCH Venture Partners, and one of its board members, Kristina M. Burow, at the time of the acquisition are related parties of the Company.</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December 2021, we amended the expiration date of the Preferred Stock Warrants to the earlier of: (i) December 31, 2022, (ii) immediately prior to the consummation of an IPO of our common stock, and (iii) upon the closing of a deemed liquidation event. Of the total of Preferred Stock Warrants, 820,434 shares are held by an entity affiliated with ARCH Venture Partners.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Alairion, Inc.</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connection with our acquisition of Alairion in November 2020, Biomatics Capital Partners II L.P., an existing stockholder of both us and Alairion, purchased a total of $12.0 million of Alairion convertible notes immediately prior to the closing date that were settled with 12,000,000 shares of our Series A-2 convertible preferred stock upon closing.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Issuance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January 2020, we entered into a stock subscription agreement pursuant to which we issued 50,000,000 shares of our common stock at a price of $0.0001 per share to each of ARCH Venture Fund X, L.P. (ARCH X) and ARCH Venture Fund X Overage, L.P. (ARCH X Overage), for an aggregate of 100,000,000 shares of common stock issued. In August 2020, we repurchased 8,333,333 shares of common stock at a price of $0.0001 per share from each of ARCH X and ARCH X Overage, for an aggregate of 16,666,667 shares of common stock repurchased. The repurchased shares of common stock were cancelled and retired. Kristina Burow and Robert Nelsen, members of our board of directors, were designated to our board by ARCH Venture Partners, a holder of more than 5% of our capital stock. For further details, see the information provided in footnote (2) to the table in the section title “Principal Stockholders.”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 Financings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 Purchase Agreement</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Between February and September 2020, we issued $55.9 million in convertible promissory notes (the 2020 Bridge Notes), $30 million of which notes were issued to ARCH X and ARCH X Overage. In September 2020, the 2020 Bridge Notes were settled with shares of our Series A-2 convertible preferred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A-2 Convertible Preferred Stock Financing</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September 2020, we entered into a Series A-2 convertible preferred stock purchase agreement (Series A-2 Purchase Agreement), with various investors, pursuant to which we issued an aggregate of 123,620,000 shares of our Series A-2 convertible preferred stock (the Series A-2 Preferred) at $1.00 per share for aggregate proceeds of $123.6 million in the initial closing. Upon the initial closing, the right of forfeiture for 44,008,327 shares of our common stock issued with the 2020 Bridge Notes lapsed.</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accordance with the terms of the Series A-2 Purchase Agreement, we also committed to selling 40,000,000 additional shares of Series A-2 Preferred to ARCH X, ARCH X Overage and their affiliates at a fixed price of $1.00 per share in one or more subsequent closings on or before March 8, 2021.</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Further, pursuant to the Series A-2 Purchase Agreement, a forfeiture provision was added to the terms of 33,333,333 shares of our common stock previously issued in January 2020 to ARCH X, ARCH X Overage and their affiliates, of which 13,333,333 remain subject to a forfeiture provision as of December 31, 2020.</w:t>
      </w:r>
    </w:p>
    <w:p>
      <w:pPr>
        <w:spacing w:after="0" w:line="184"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Between March and July 2021, we and certain investors entered into a series of amendments to the Series A-2 Purchase Agreement to extend the deadline to complete subsequent closings of our Series A-2 Preferred financing from March 2021 to September 2021. In August 2021, pursuant to the Series A-2 Purchase Agreement, as amended, we issued 40,000,000 shares of Series A-2 Preferred to ARCH X and ARCH X Overage and 10,000,000 shares of Series A-2 Preferred to F-Prime Capital Partners Life Sciences Fund VII LP, an entity affiliated with F-Prime Capital Partners, at $1.00 per share for aggregate proceeds from these parties of $50.0 million.</w:t>
      </w:r>
    </w:p>
    <w:p>
      <w:pPr>
        <w:spacing w:after="0" w:line="176"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table below sets forth the number of shares of our common stock, Series A-1 Preferred and Series A-2 Preferred purchased by our executive officers, directors, holders of more than 5% of our capital stock and their affiliated entities or immediate family members or issued to such parties as consideration in connection with various acquisitions of assets. Each share of Series A-1 Preferred and Series A-2 Preferred in the table below will convert into one share of our common stock upon the completion of this offering.</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Series A-1</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Series A-2</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Common</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2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680" w:type="dxa"/>
            <w:vAlign w:val="bottom"/>
            <w:vMerge w:val="restart"/>
          </w:tcPr>
          <w:p>
            <w:pPr>
              <w:spacing w:after="0"/>
              <w:rPr>
                <w:sz w:val="12"/>
                <w:szCs w:val="12"/>
                <w:color w:val="auto"/>
              </w:rPr>
            </w:pPr>
          </w:p>
        </w:tc>
        <w:tc>
          <w:tcPr>
            <w:tcW w:w="120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Stock</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020" w:type="dxa"/>
            <w:vAlign w:val="bottom"/>
          </w:tcPr>
          <w:p>
            <w:pPr>
              <w:ind w:left="440"/>
              <w:spacing w:after="0" w:line="15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Amgen Inc.</w:t>
            </w: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257,000,000</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257,000,000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Entities affiliated with ARCH Venture Partners</w:t>
            </w:r>
            <w:r>
              <w:rPr>
                <w:rFonts w:ascii="Arial" w:cs="Arial" w:eastAsia="Arial" w:hAnsi="Arial"/>
                <w:sz w:val="15"/>
                <w:szCs w:val="15"/>
                <w:color w:val="auto"/>
              </w:rPr>
              <w:t>(1)</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83,333,334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13,531,561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105,700,828</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119,232,389</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Biomatics Capital Partners</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10,000,000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4,164,035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44,500,000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48,664,035</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Entities affiliated with F-Prime Capital Partners</w:t>
            </w:r>
            <w:r>
              <w:rPr>
                <w:rFonts w:ascii="Arial" w:cs="Arial" w:eastAsia="Arial" w:hAnsi="Arial"/>
                <w:sz w:val="15"/>
                <w:szCs w:val="15"/>
                <w:color w:val="auto"/>
              </w:rPr>
              <w:t>(2)</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15,000,000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28,463,722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28,463,722</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SVF II AIV (DE) LLC.</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Kristina M. Burow.</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106,873</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106,873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8" w:lineRule="exact"/>
        <w:rPr>
          <w:sz w:val="20"/>
          <w:szCs w:val="20"/>
          <w:color w:val="auto"/>
        </w:rPr>
      </w:pPr>
    </w:p>
    <w:p>
      <w:pPr>
        <w:ind w:left="540" w:right="500" w:hanging="424"/>
        <w:spacing w:after="0" w:line="266" w:lineRule="auto"/>
        <w:tabs>
          <w:tab w:leader="none" w:pos="5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Kristina Burow and Robert Nelsen, members of our board of directors, were designated to our board by ARCH Venture Partners. For further details, see the information provided in footnote (2) to the table in the section titled “Principal Stockholders.”</w:t>
      </w:r>
    </w:p>
    <w:p>
      <w:pPr>
        <w:spacing w:after="0" w:line="1" w:lineRule="exact"/>
        <w:rPr>
          <w:rFonts w:ascii="Arial" w:cs="Arial" w:eastAsia="Arial" w:hAnsi="Arial"/>
          <w:sz w:val="16"/>
          <w:szCs w:val="16"/>
          <w:color w:val="auto"/>
        </w:rPr>
      </w:pPr>
    </w:p>
    <w:p>
      <w:pPr>
        <w:ind w:left="540" w:right="120" w:hanging="424"/>
        <w:spacing w:after="0" w:line="288" w:lineRule="auto"/>
        <w:tabs>
          <w:tab w:leader="none" w:pos="5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Stacie Weninger, Ph.D., a member of our board of directors, was designated to our board by F-Prime Capital Partners. Dr. Weninger has indicated her intention to resign as a director prior to the effectiveness of the registration statement for which this prospectus is a part.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party to an investors’ rights agreement with the purchasers of our outstanding convertible preferred stock, including entities with which</w:t>
      </w:r>
    </w:p>
    <w:p>
      <w:pPr>
        <w:spacing w:after="0" w:line="46"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certain of our directors are affiliated. Following the consummation of this offering, the holders of approximately shares of our common stock, including the shares of common stock issuable upon the conversion of our convertible preferred stock, are entitled to rights with respect to the registration of their shares under the Securities Act. For a more detailed description of these registration rights,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see the section titled “Description of Capital Stock—Registration Rights.” The investors’ rights agreement also provides for a right of first offer in favor of certain holders of convertible preferred stock with regard to certain issuances of our capital stock. The rights of first offer will not apply to, and will terminate upon the consummation of, this offering.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We are party to a voting agreement with certain holders of our common stock and convertible preferred stock. Upon the conversion of all outstanding shares of convertible preferred stock into common stock in connection with the consummation of this offering, the voting agreement will terminate. For a description of the voting agreement, see the section titled “Management—Board Composition—Voting Arrangements.”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21" w:lineRule="exact"/>
        <w:rPr>
          <w:sz w:val="20"/>
          <w:szCs w:val="20"/>
          <w:color w:val="auto"/>
        </w:rPr>
      </w:pPr>
    </w:p>
    <w:p>
      <w:pPr>
        <w:jc w:val="both"/>
        <w:ind w:left="120" w:right="440" w:firstLine="440"/>
        <w:spacing w:after="0" w:line="311" w:lineRule="auto"/>
        <w:rPr>
          <w:sz w:val="20"/>
          <w:szCs w:val="20"/>
          <w:color w:val="auto"/>
        </w:rPr>
      </w:pPr>
      <w:r>
        <w:rPr>
          <w:rFonts w:ascii="Arial" w:cs="Arial" w:eastAsia="Arial" w:hAnsi="Arial"/>
          <w:sz w:val="16"/>
          <w:szCs w:val="16"/>
          <w:color w:val="auto"/>
        </w:rPr>
        <w:t>We are party an amended and restated right of first refusal and co-sale agreement with certain holders of our common stock and convertible preferred stock. This agreement provides for rights of first refusal and co-sale relating to the shares of our common stock held by the parties to the agreement. Upon the consummation of this offering, the amended and restated right of first refusal and co-sale agreement will terminate.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Transactions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have entered into offer letter agreements with our executive officers that, among other things, provide for certain compensatory and change in control benefits, as well as severance benefits. For a description of these agreements with our named executive officers, see the subsection titled “Executive Compensation—Executive Compensation Arrangements.”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of September 30, 2021, we were obligated to pay Amgen $6.3 million under the Amgen Collaboration Agreement. Further, subject to certain conditions, Amgen is also obligated to provide us additional financing of up to $100.0 million. See “Business—In-Licensing and Collaboration Agreements—Research Collaboration Agreement with Amgen” for additional information.</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have also granted stock options and restricted stock to our executive officers and certain of our directors. For a description of these equity awards, see the sections titled “Executive Compensation” and “Director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Officer Indemnification</w:t>
      </w:r>
    </w:p>
    <w:p>
      <w:pPr>
        <w:spacing w:after="0" w:line="121"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We have entered into indemnification agreements with certain of our current executive officers and directors, and intend to enter into new indemnification agreements with each of our current executive officers and directors before the completion of this offering.</w:t>
      </w:r>
    </w:p>
    <w:p>
      <w:pPr>
        <w:spacing w:after="0" w:line="14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amended and restated certificate of incorporation also provides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 Amending this provision will not reduce our indemnification obligations relating to actions taken before an amendment.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a written related-person transaction policy, to be effective upon the closing of this offering, that applies to our executive officers, directors, director nominees, holders of more than five percent of any class of our voting securities and any member of the immediate family of, and any entity affiliated with, any of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80"/>
          </w:cols>
          <w:pgMar w:left="320" w:top="459" w:right="49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foregoing persons. Such persons will not be permitted to enter into a related person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director nominee,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 All of the transactions described in this section occurred prior to the adoption of this policy.</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9" w:right="49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tabs>
          <w:tab w:leader="none" w:pos="8440" w:val="left"/>
        </w:tabs>
        <w:rPr>
          <w:sz w:val="20"/>
          <w:szCs w:val="20"/>
          <w:color w:val="auto"/>
        </w:rPr>
      </w:pPr>
      <w:r>
        <w:rPr>
          <w:rFonts w:ascii="Arial" w:cs="Arial" w:eastAsia="Arial" w:hAnsi="Arial"/>
          <w:sz w:val="18"/>
          <w:szCs w:val="18"/>
          <w:color w:val="auto"/>
        </w:rPr>
        <w:t>The following table sets forth information regarding beneficial ownership of our common stock as of</w:t>
      </w:r>
      <w:r>
        <w:rPr>
          <w:sz w:val="20"/>
          <w:szCs w:val="20"/>
          <w:color w:val="auto"/>
        </w:rPr>
        <w:tab/>
      </w:r>
      <w:r>
        <w:rPr>
          <w:rFonts w:ascii="Arial" w:cs="Arial" w:eastAsia="Arial" w:hAnsi="Arial"/>
          <w:sz w:val="17"/>
          <w:szCs w:val="17"/>
          <w:color w:val="auto"/>
        </w:rPr>
        <w:t>by:</w:t>
      </w:r>
    </w:p>
    <w:p>
      <w:pPr>
        <w:spacing w:after="0" w:line="131"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person whom we know to beneficially own more than 5%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accordance with the rules of the SEC, beneficial ownership includes voting or investment power with respect to securities and includes the</w:t>
      </w:r>
    </w:p>
    <w:p>
      <w:pPr>
        <w:spacing w:after="0" w:line="46" w:lineRule="exact"/>
        <w:rPr>
          <w:sz w:val="20"/>
          <w:szCs w:val="20"/>
          <w:color w:val="auto"/>
        </w:rPr>
      </w:pPr>
    </w:p>
    <w:p>
      <w:pPr>
        <w:ind w:left="120" w:right="140"/>
        <w:spacing w:after="0" w:line="323" w:lineRule="auto"/>
        <w:rPr>
          <w:sz w:val="20"/>
          <w:szCs w:val="20"/>
          <w:color w:val="auto"/>
        </w:rPr>
      </w:pPr>
      <w:r>
        <w:rPr>
          <w:rFonts w:ascii="Arial" w:cs="Arial" w:eastAsia="Arial" w:hAnsi="Arial"/>
          <w:sz w:val="16"/>
          <w:szCs w:val="16"/>
          <w:color w:val="auto"/>
        </w:rPr>
        <w:t>shares issuable pursuant to stock options that are exercisable within 60 days of . Shares issuable pursuant to stock options are deemed outstanding for computing the percentage of the person holding such options but are not outstanding for computing the percentage of any other person.</w:t>
      </w:r>
    </w:p>
    <w:p>
      <w:pPr>
        <w:spacing w:after="0" w:line="13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based our calculation of the percentage of beneficial ownership prior to this offering on shares of our common stock outstanding and held of record by approximately stockholders as of , which gives effect to (i) the filing and effectiveness of our amended and restated certificate</w:t>
      </w:r>
    </w:p>
    <w:p>
      <w:pPr>
        <w:ind w:left="120"/>
        <w:spacing w:after="0"/>
        <w:rPr>
          <w:sz w:val="20"/>
          <w:szCs w:val="20"/>
          <w:color w:val="auto"/>
        </w:rPr>
      </w:pPr>
      <w:r>
        <w:rPr>
          <w:rFonts w:ascii="Arial" w:cs="Arial" w:eastAsia="Arial" w:hAnsi="Arial"/>
          <w:sz w:val="16"/>
          <w:szCs w:val="16"/>
          <w:color w:val="auto"/>
        </w:rPr>
        <w:t>of incorporation; and (ii) the conversion of shares of all outstanding convertible preferred stock into shares of our common stock, as if such filing and</w:t>
      </w:r>
    </w:p>
    <w:p>
      <w:pPr>
        <w:spacing w:after="0" w:line="386"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effectiveness and conversion had taken place as of . We have based our calculation of the percentage of beneficial ownership after this offering on shares of our common stock outstanding as of , which gives effect to the adjustments described in the prior sentence and further reflects the issuance of shares of common stock in this offering, assuming that the underwriters will not exercise their option to purchase up to an additional</w:t>
      </w:r>
    </w:p>
    <w:p>
      <w:pPr>
        <w:ind w:left="520"/>
        <w:spacing w:after="0"/>
        <w:rPr>
          <w:sz w:val="20"/>
          <w:szCs w:val="20"/>
          <w:color w:val="auto"/>
        </w:rPr>
      </w:pPr>
      <w:r>
        <w:rPr>
          <w:rFonts w:ascii="Arial" w:cs="Arial" w:eastAsia="Arial" w:hAnsi="Arial"/>
          <w:sz w:val="18"/>
          <w:szCs w:val="18"/>
          <w:color w:val="auto"/>
        </w:rPr>
        <w:t>shares of our common stock.</w:t>
      </w:r>
    </w:p>
    <w:p>
      <w:pPr>
        <w:spacing w:after="0" w:line="21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Unless otherwise indicated, the address for each listed stockholder is: c/o Neumora Therapeutics, Inc., 65 Grove Street, Watertown, Massachusetts 02472. To our knowledge, except as indicated in the footnotes to this table and pursuant to applicable community property laws, the persons named in the table have sole voting and investment power with respect to all shares of common stock.</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Percentage of Shares</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40" w:type="dxa"/>
            <w:vAlign w:val="bottom"/>
            <w:gridSpan w:val="2"/>
            <w:vMerge w:val="restart"/>
          </w:tcPr>
          <w:p>
            <w:pPr>
              <w:jc w:val="center"/>
              <w:ind w:right="920"/>
              <w:spacing w:after="0"/>
              <w:rPr>
                <w:sz w:val="20"/>
                <w:szCs w:val="20"/>
                <w:color w:val="auto"/>
              </w:rPr>
            </w:pPr>
            <w:r>
              <w:rPr>
                <w:rFonts w:ascii="Arial" w:cs="Arial" w:eastAsia="Arial" w:hAnsi="Arial"/>
                <w:sz w:val="14"/>
                <w:szCs w:val="14"/>
                <w:b w:val="1"/>
                <w:bCs w:val="1"/>
                <w:color w:val="auto"/>
                <w:w w:val="94"/>
              </w:rPr>
              <w:t>Number of</w:t>
            </w: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06"/>
        </w:trPr>
        <w:tc>
          <w:tcPr>
            <w:tcW w:w="16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Shares</w:t>
            </w:r>
          </w:p>
        </w:tc>
        <w:tc>
          <w:tcPr>
            <w:tcW w:w="170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0"/>
              </w:rPr>
              <w:t>Before</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9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7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960" w:type="dxa"/>
            <w:vAlign w:val="bottom"/>
          </w:tcPr>
          <w:p>
            <w:pPr>
              <w:spacing w:after="0"/>
              <w:rPr>
                <w:sz w:val="12"/>
                <w:szCs w:val="12"/>
                <w:color w:val="auto"/>
              </w:rPr>
            </w:pPr>
          </w:p>
        </w:tc>
        <w:tc>
          <w:tcPr>
            <w:tcW w:w="19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Owned</w:t>
            </w: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5"/>
              </w:rPr>
              <w:t>Offering</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vMerge w:val="continue"/>
          </w:tcPr>
          <w:p>
            <w:pPr>
              <w:spacing w:after="0"/>
              <w:rPr>
                <w:sz w:val="14"/>
                <w:szCs w:val="14"/>
                <w:color w:val="auto"/>
              </w:rPr>
            </w:pPr>
          </w:p>
        </w:tc>
        <w:tc>
          <w:tcPr>
            <w:tcW w:w="4960" w:type="dxa"/>
            <w:vAlign w:val="bottom"/>
          </w:tcPr>
          <w:p>
            <w:pPr>
              <w:spacing w:after="0"/>
              <w:rPr>
                <w:sz w:val="14"/>
                <w:szCs w:val="14"/>
                <w:color w:val="auto"/>
              </w:rPr>
            </w:pPr>
          </w:p>
        </w:tc>
        <w:tc>
          <w:tcPr>
            <w:tcW w:w="10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4"/>
                <w:szCs w:val="14"/>
                <w:color w:val="auto"/>
              </w:rPr>
            </w:pPr>
          </w:p>
        </w:tc>
        <w:tc>
          <w:tcPr>
            <w:tcW w:w="7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4"/>
                <w:szCs w:val="14"/>
                <w:color w:val="auto"/>
              </w:rPr>
            </w:pPr>
          </w:p>
        </w:tc>
        <w:tc>
          <w:tcPr>
            <w:tcW w:w="7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auto"/>
        </w:rPr>
        <w:t>Greater than 5% Owners:</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Amgen Inc.</w:t>
      </w:r>
      <w:r>
        <w:rPr>
          <w:rFonts w:ascii="Arial" w:cs="Arial" w:eastAsia="Arial" w:hAnsi="Arial"/>
          <w:sz w:val="15"/>
          <w:szCs w:val="15"/>
          <w:color w:val="auto"/>
        </w:rPr>
        <w:t>(1)</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Entities affiliated with ARCH Venture Partners</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Entities affiliated with Biomatics Capital Partners</w:t>
      </w:r>
      <w:r>
        <w:rPr>
          <w:rFonts w:ascii="Arial" w:cs="Arial" w:eastAsia="Arial" w:hAnsi="Arial"/>
          <w:sz w:val="15"/>
          <w:szCs w:val="15"/>
          <w:color w:val="auto"/>
        </w:rPr>
        <w:t>(3)</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SVF II AIV (DE) LLC</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auto"/>
        </w:rPr>
        <w:t>Named Executive Officers and Directors:</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Paul Berns</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Lori Lyons-Williams</w:t>
      </w:r>
      <w:r>
        <w:rPr>
          <w:rFonts w:ascii="Arial" w:cs="Arial" w:eastAsia="Arial" w:hAnsi="Arial"/>
          <w:sz w:val="15"/>
          <w:szCs w:val="15"/>
          <w:color w:val="auto"/>
        </w:rPr>
        <w:t>(6)</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Joshua Pinto, Ph.D.</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Kristina M. Burow</w:t>
      </w:r>
      <w:r>
        <w:rPr>
          <w:rFonts w:ascii="Arial" w:cs="Arial" w:eastAsia="Arial" w:hAnsi="Arial"/>
          <w:sz w:val="15"/>
          <w:szCs w:val="15"/>
          <w:color w:val="auto"/>
        </w:rPr>
        <w:t>(8)</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Matthew Fust</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Maykin Ho, Ph.D.</w:t>
      </w:r>
      <w:r>
        <w:rPr>
          <w:rFonts w:ascii="Arial" w:cs="Arial" w:eastAsia="Arial" w:hAnsi="Arial"/>
          <w:sz w:val="15"/>
          <w:szCs w:val="15"/>
          <w:color w:val="auto"/>
        </w:rPr>
        <w:t>(10)</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Robert Nelsen</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Kári Stefánsson, M.D.</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Stacie Weninger, Ph.D.</w:t>
      </w: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All executive officers and directors as a group (12 persons)</w:t>
      </w: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7715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3"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ind w:left="540" w:right="60" w:hanging="419"/>
        <w:spacing w:after="0" w:line="288" w:lineRule="auto"/>
        <w:tabs>
          <w:tab w:leader="none" w:pos="520" w:val="left"/>
        </w:tabs>
        <w:rPr>
          <w:sz w:val="20"/>
          <w:szCs w:val="20"/>
          <w:color w:val="auto"/>
        </w:rPr>
      </w:pPr>
      <w:r>
        <w:rPr>
          <w:rFonts w:ascii="Arial" w:cs="Arial" w:eastAsia="Arial" w:hAnsi="Arial"/>
          <w:sz w:val="16"/>
          <w:szCs w:val="16"/>
          <w:color w:val="auto"/>
        </w:rPr>
        <w:t>(1)</w:t>
        <w:tab/>
        <w:t>Consists of shares of common stock issuable upon the conversion of Series A-2 convertible preferred stock. Investment and voting decisions for Amgen Inc. are made by an investment committee comprised of three or more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540" w:right="640"/>
        <w:spacing w:after="0" w:line="266" w:lineRule="auto"/>
        <w:rPr>
          <w:sz w:val="20"/>
          <w:szCs w:val="20"/>
          <w:color w:val="auto"/>
        </w:rPr>
      </w:pPr>
      <w:r>
        <w:rPr>
          <w:rFonts w:ascii="Arial" w:cs="Arial" w:eastAsia="Arial" w:hAnsi="Arial"/>
          <w:sz w:val="16"/>
          <w:szCs w:val="16"/>
          <w:color w:val="auto"/>
        </w:rPr>
        <w:t>individuals, and therefore no individual is the beneficial owner of the shares held by Amgen Inc. The address of Amgen Inc. is One Amgen Center Drive, Thousand Oaks, California 91320.</w:t>
      </w:r>
    </w:p>
    <w:p>
      <w:pPr>
        <w:spacing w:after="0" w:line="1"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Consists of (i)</w:t>
      </w:r>
      <w:r>
        <w:rPr>
          <w:rFonts w:ascii="Arial" w:cs="Arial" w:eastAsia="Arial" w:hAnsi="Arial"/>
          <w:sz w:val="14"/>
          <w:szCs w:val="14"/>
          <w:color w:val="auto"/>
        </w:rPr>
        <w:t>shares of common stock held by ARCH Venture Fund X, L.P. (ARCH X), (ii) shares of common stock issuable upon the conversion of Series</w:t>
      </w:r>
    </w:p>
    <w:p>
      <w:pPr>
        <w:spacing w:after="0" w:line="1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A-2 convertible preferred stock held by ARCH X, (iii)</w:t>
      </w:r>
      <w:r>
        <w:rPr>
          <w:rFonts w:ascii="Arial" w:cs="Arial" w:eastAsia="Arial" w:hAnsi="Arial"/>
          <w:sz w:val="14"/>
          <w:szCs w:val="14"/>
          <w:color w:val="auto"/>
        </w:rPr>
        <w:t>shares of common stock held by ARCH Venture Fund X, Overage, L.P. (ARCH X Overage), (iv)</w:t>
      </w:r>
    </w:p>
    <w:p>
      <w:pPr>
        <w:sectPr>
          <w:pgSz w:w="11900" w:h="16838" w:orient="portrait"/>
          <w:cols w:equalWidth="0" w:num="1">
            <w:col w:w="11140"/>
          </w:cols>
          <w:pgMar w:left="320" w:top="459" w:right="439" w:bottom="1440" w:gutter="0" w:footer="0" w:header="0"/>
        </w:sectPr>
      </w:pPr>
    </w:p>
    <w:p>
      <w:pPr>
        <w:spacing w:after="0" w:line="19" w:lineRule="exact"/>
        <w:rPr>
          <w:sz w:val="20"/>
          <w:szCs w:val="20"/>
          <w:color w:val="auto"/>
        </w:rPr>
      </w:pPr>
    </w:p>
    <w:p>
      <w:pPr>
        <w:ind w:left="540" w:right="40"/>
        <w:spacing w:after="0" w:line="281" w:lineRule="auto"/>
        <w:rPr>
          <w:sz w:val="20"/>
          <w:szCs w:val="20"/>
          <w:color w:val="auto"/>
        </w:rPr>
      </w:pPr>
      <w:r>
        <w:rPr>
          <w:rFonts w:ascii="Arial" w:cs="Arial" w:eastAsia="Arial" w:hAnsi="Arial"/>
          <w:sz w:val="15"/>
          <w:szCs w:val="15"/>
          <w:color w:val="auto"/>
        </w:rPr>
        <w:t>shares of common stock issuable upon the conversion of Series A-2 convertible preferred stock held by ARCH X Overage, (v) shares of common stock issuable upon the conversion of Series A-2 convertible preferred stock held by ARCH Venture Partners X, L.P. (AVP X LP), (vi) shares of common stock issuable upon the conversion of Series A-2 convertible preferred stock held by ARCH Venture Partners X, Overage L.P. (AVP X Overage LP), (vii) shares of common stock issuable upon the conversion of Series A-1 convertible preferred stock held by ARCH Venture Fund VII, L.P. (ARCH VII) and (viii) of</w:t>
      </w:r>
    </w:p>
    <w:p>
      <w:pPr>
        <w:sectPr>
          <w:pgSz w:w="11900" w:h="16838" w:orient="portrait"/>
          <w:cols w:equalWidth="0" w:num="1">
            <w:col w:w="11140"/>
          </w:cols>
          <w:pgMar w:left="320" w:top="459" w:right="439" w:bottom="1440" w:gutter="0" w:footer="0" w:header="0"/>
          <w:type w:val="continuous"/>
        </w:sectPr>
      </w:pPr>
    </w:p>
    <w:p>
      <w:pPr>
        <w:spacing w:after="0" w:line="2" w:lineRule="exact"/>
        <w:rPr>
          <w:sz w:val="20"/>
          <w:szCs w:val="20"/>
          <w:color w:val="auto"/>
        </w:rPr>
      </w:pPr>
    </w:p>
    <w:p>
      <w:pPr>
        <w:ind w:left="540"/>
        <w:spacing w:after="0" w:line="281" w:lineRule="auto"/>
        <w:rPr>
          <w:sz w:val="20"/>
          <w:szCs w:val="20"/>
          <w:color w:val="auto"/>
        </w:rPr>
      </w:pPr>
      <w:r>
        <w:rPr>
          <w:rFonts w:ascii="Arial" w:cs="Arial" w:eastAsia="Arial" w:hAnsi="Arial"/>
          <w:sz w:val="15"/>
          <w:szCs w:val="15"/>
          <w:color w:val="auto"/>
        </w:rPr>
        <w:t>common stock issuable upon the conversion of Series A-2 convertible preferred stock held by ARCH Venture Fund VIII Overage, L.P. (ARCH VIII Overage). AVP X LP is the sole general partner of ARCH X. AVP X Overage LP is the sole general partner of ARCH X Overage. ARCH Venture Partners X, LLC (AVP X LLC) is the sole general partner of each of AVP X LP and AVP X Overage LP. ARCH Venture Partners VII, L.P. (AVP VII LP), is the sole general partner of ARCH VII and ARCH Venture Partners VII, LLC (AVP VII LLC), is the sole general partner of AVP VII LP. ARCH Venture Partners VIII, LLC (AVP VIII LLC), is the general partner of ARCH VIII Overage. Keith Crandell, Kristina Burow, Steven Gillis and Robert Nelsen comprise the investment committee of AVP X LLC (the AVP X Committee Members). AVP X LLC may be deemed to beneficially own the shares held by ARCH X and ARCH X Overage, and each of the AVP X Committee Members may be deemed to share the power to direct the disposition and vote of the shares held by ARCH X and ARCH X Overage. Clinton Bybee, Keith Crandell and Robert Nelsen comprise the investment committee of AVP VII LLC (AVP VII LLC Committee Members). AVP VII LLC may be deemed to beneficially own the shares held by ARCH VII, and each of the AVP VII LLC Committee Members may be deemed to share the power to direct the disposition and vote of the shares held by ARCH VII. Clinton Bybee, Keith Crandell and Robert Nelsen comprise the investment committee of AVP VIII LLC (the AVP VIII LLC Committee Members). AVP VIII LLC may be deemed to beneficially own the shares held by ARCH VIII Overage, and each of the AVP VIII LLC Committee Members may be deemed to share the power to direct the disposition and vote of the shares held by ARCH VIII Overage. AVP X Committee Members, AVP VII LLC Committee Members and AVP VIII LLC Committee Members each disclaim beneficial ownership except to the extent of their pecuniary interest therein, if any. Further, Paul Berns does not have dispositive control over any of our shares held beneficially by AVP X LLC, ARCH VII LLC and ARCH VIII LLC. The address of ARCH Venture Partners is 1700 Owens Street, Suite 535, San Francisco, California 94158.</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300" w:type="dxa"/>
            <w:vAlign w:val="bottom"/>
          </w:tcPr>
          <w:p>
            <w:pPr>
              <w:jc w:val="right"/>
              <w:ind w:right="39"/>
              <w:spacing w:after="0"/>
              <w:rPr>
                <w:sz w:val="20"/>
                <w:szCs w:val="20"/>
                <w:color w:val="auto"/>
              </w:rPr>
            </w:pPr>
            <w:r>
              <w:rPr>
                <w:rFonts w:ascii="Arial" w:cs="Arial" w:eastAsia="Arial" w:hAnsi="Arial"/>
                <w:sz w:val="16"/>
                <w:szCs w:val="16"/>
                <w:color w:val="auto"/>
                <w:w w:val="81"/>
              </w:rPr>
              <w:t>(3)</w:t>
            </w:r>
          </w:p>
        </w:tc>
        <w:tc>
          <w:tcPr>
            <w:tcW w:w="1240" w:type="dxa"/>
            <w:vAlign w:val="bottom"/>
          </w:tcPr>
          <w:p>
            <w:pPr>
              <w:ind w:left="120"/>
              <w:spacing w:after="0"/>
              <w:rPr>
                <w:sz w:val="20"/>
                <w:szCs w:val="20"/>
                <w:color w:val="auto"/>
              </w:rPr>
            </w:pPr>
            <w:r>
              <w:rPr>
                <w:rFonts w:ascii="Arial" w:cs="Arial" w:eastAsia="Arial" w:hAnsi="Arial"/>
                <w:sz w:val="16"/>
                <w:szCs w:val="16"/>
                <w:color w:val="auto"/>
              </w:rPr>
              <w:t>Consists of (i)</w:t>
            </w:r>
          </w:p>
        </w:tc>
        <w:tc>
          <w:tcPr>
            <w:tcW w:w="5700" w:type="dxa"/>
            <w:vAlign w:val="bottom"/>
            <w:gridSpan w:val="3"/>
          </w:tcPr>
          <w:p>
            <w:pPr>
              <w:ind w:left="220"/>
              <w:spacing w:after="0"/>
              <w:rPr>
                <w:sz w:val="20"/>
                <w:szCs w:val="20"/>
                <w:color w:val="auto"/>
              </w:rPr>
            </w:pPr>
            <w:r>
              <w:rPr>
                <w:rFonts w:ascii="Arial" w:cs="Arial" w:eastAsia="Arial" w:hAnsi="Arial"/>
                <w:sz w:val="16"/>
                <w:szCs w:val="16"/>
                <w:color w:val="auto"/>
                <w:w w:val="95"/>
              </w:rPr>
              <w:t>shares of common stock held by Biomatics Capital Partners, L.P. (Biomatics), (ii)</w:t>
            </w:r>
          </w:p>
        </w:tc>
        <w:tc>
          <w:tcPr>
            <w:tcW w:w="3680" w:type="dxa"/>
            <w:vAlign w:val="bottom"/>
          </w:tcPr>
          <w:p>
            <w:pPr>
              <w:ind w:left="200"/>
              <w:spacing w:after="0"/>
              <w:rPr>
                <w:sz w:val="20"/>
                <w:szCs w:val="20"/>
                <w:color w:val="auto"/>
              </w:rPr>
            </w:pPr>
            <w:r>
              <w:rPr>
                <w:rFonts w:ascii="Arial" w:cs="Arial" w:eastAsia="Arial" w:hAnsi="Arial"/>
                <w:sz w:val="16"/>
                <w:szCs w:val="16"/>
                <w:color w:val="auto"/>
                <w:w w:val="89"/>
              </w:rPr>
              <w:t>shares of common stock issuable upon the conversion</w:t>
            </w:r>
          </w:p>
        </w:tc>
      </w:tr>
      <w:tr>
        <w:trPr>
          <w:trHeight w:val="203"/>
        </w:trPr>
        <w:tc>
          <w:tcPr>
            <w:tcW w:w="300" w:type="dxa"/>
            <w:vAlign w:val="bottom"/>
          </w:tcPr>
          <w:p>
            <w:pPr>
              <w:spacing w:after="0"/>
              <w:rPr>
                <w:sz w:val="17"/>
                <w:szCs w:val="17"/>
                <w:color w:val="auto"/>
              </w:rPr>
            </w:pPr>
          </w:p>
        </w:tc>
        <w:tc>
          <w:tcPr>
            <w:tcW w:w="4520" w:type="dxa"/>
            <w:vAlign w:val="bottom"/>
            <w:gridSpan w:val="3"/>
          </w:tcPr>
          <w:p>
            <w:pPr>
              <w:ind w:left="120"/>
              <w:spacing w:after="0"/>
              <w:rPr>
                <w:sz w:val="20"/>
                <w:szCs w:val="20"/>
                <w:color w:val="auto"/>
              </w:rPr>
            </w:pPr>
            <w:r>
              <w:rPr>
                <w:rFonts w:ascii="Arial" w:cs="Arial" w:eastAsia="Arial" w:hAnsi="Arial"/>
                <w:sz w:val="16"/>
                <w:szCs w:val="16"/>
                <w:color w:val="auto"/>
                <w:w w:val="98"/>
              </w:rPr>
              <w:t>of Series A-1 convertible preferred stock held by Biomatics, (iii)</w:t>
            </w:r>
          </w:p>
        </w:tc>
        <w:tc>
          <w:tcPr>
            <w:tcW w:w="6100" w:type="dxa"/>
            <w:vAlign w:val="bottom"/>
            <w:gridSpan w:val="2"/>
          </w:tcPr>
          <w:p>
            <w:pPr>
              <w:ind w:left="200"/>
              <w:spacing w:after="0"/>
              <w:rPr>
                <w:sz w:val="20"/>
                <w:szCs w:val="20"/>
                <w:color w:val="auto"/>
              </w:rPr>
            </w:pPr>
            <w:r>
              <w:rPr>
                <w:rFonts w:ascii="Arial" w:cs="Arial" w:eastAsia="Arial" w:hAnsi="Arial"/>
                <w:sz w:val="16"/>
                <w:szCs w:val="16"/>
                <w:color w:val="auto"/>
                <w:w w:val="92"/>
              </w:rPr>
              <w:t>shares of common stock issuable upon the conversion of Series A-2 convertible preferred</w:t>
            </w:r>
          </w:p>
        </w:tc>
      </w:tr>
      <w:tr>
        <w:trPr>
          <w:trHeight w:val="203"/>
        </w:trPr>
        <w:tc>
          <w:tcPr>
            <w:tcW w:w="300" w:type="dxa"/>
            <w:vAlign w:val="bottom"/>
          </w:tcPr>
          <w:p>
            <w:pPr>
              <w:spacing w:after="0"/>
              <w:rPr>
                <w:sz w:val="17"/>
                <w:szCs w:val="17"/>
                <w:color w:val="auto"/>
              </w:rPr>
            </w:pPr>
          </w:p>
        </w:tc>
        <w:tc>
          <w:tcPr>
            <w:tcW w:w="2060" w:type="dxa"/>
            <w:vAlign w:val="bottom"/>
            <w:gridSpan w:val="2"/>
          </w:tcPr>
          <w:p>
            <w:pPr>
              <w:ind w:left="120"/>
              <w:spacing w:after="0"/>
              <w:rPr>
                <w:sz w:val="20"/>
                <w:szCs w:val="20"/>
                <w:color w:val="auto"/>
              </w:rPr>
            </w:pPr>
            <w:r>
              <w:rPr>
                <w:rFonts w:ascii="Arial" w:cs="Arial" w:eastAsia="Arial" w:hAnsi="Arial"/>
                <w:sz w:val="16"/>
                <w:szCs w:val="16"/>
                <w:color w:val="auto"/>
                <w:w w:val="96"/>
              </w:rPr>
              <w:t>stock held by Biomatics, (iv)</w:t>
            </w:r>
          </w:p>
        </w:tc>
        <w:tc>
          <w:tcPr>
            <w:tcW w:w="8560" w:type="dxa"/>
            <w:vAlign w:val="bottom"/>
            <w:gridSpan w:val="3"/>
          </w:tcPr>
          <w:p>
            <w:pPr>
              <w:ind w:left="340"/>
              <w:spacing w:after="0"/>
              <w:rPr>
                <w:sz w:val="20"/>
                <w:szCs w:val="20"/>
                <w:color w:val="auto"/>
              </w:rPr>
            </w:pPr>
            <w:r>
              <w:rPr>
                <w:rFonts w:ascii="Arial" w:cs="Arial" w:eastAsia="Arial" w:hAnsi="Arial"/>
                <w:sz w:val="16"/>
                <w:szCs w:val="16"/>
                <w:color w:val="auto"/>
                <w:w w:val="97"/>
              </w:rPr>
              <w:t>shares of common stock held by Biomatics Capital Partners II L.P. (Biomatics II, and together with Biomatics, Biomatics</w:t>
            </w:r>
          </w:p>
        </w:tc>
      </w:tr>
      <w:tr>
        <w:trPr>
          <w:trHeight w:val="206"/>
        </w:trPr>
        <w:tc>
          <w:tcPr>
            <w:tcW w:w="300" w:type="dxa"/>
            <w:vAlign w:val="bottom"/>
          </w:tcPr>
          <w:p>
            <w:pPr>
              <w:spacing w:after="0"/>
              <w:rPr>
                <w:sz w:val="17"/>
                <w:szCs w:val="17"/>
                <w:color w:val="auto"/>
              </w:rPr>
            </w:pPr>
          </w:p>
        </w:tc>
        <w:tc>
          <w:tcPr>
            <w:tcW w:w="2060" w:type="dxa"/>
            <w:vAlign w:val="bottom"/>
            <w:gridSpan w:val="2"/>
          </w:tcPr>
          <w:p>
            <w:pPr>
              <w:ind w:left="120"/>
              <w:spacing w:after="0"/>
              <w:rPr>
                <w:sz w:val="20"/>
                <w:szCs w:val="20"/>
                <w:color w:val="auto"/>
              </w:rPr>
            </w:pPr>
            <w:r>
              <w:rPr>
                <w:rFonts w:ascii="Arial" w:cs="Arial" w:eastAsia="Arial" w:hAnsi="Arial"/>
                <w:sz w:val="16"/>
                <w:szCs w:val="16"/>
                <w:color w:val="auto"/>
              </w:rPr>
              <w:t>Capital Partners) and (v)</w:t>
            </w:r>
          </w:p>
        </w:tc>
        <w:tc>
          <w:tcPr>
            <w:tcW w:w="8560" w:type="dxa"/>
            <w:vAlign w:val="bottom"/>
            <w:gridSpan w:val="3"/>
          </w:tcPr>
          <w:p>
            <w:pPr>
              <w:ind w:left="80"/>
              <w:spacing w:after="0"/>
              <w:rPr>
                <w:sz w:val="20"/>
                <w:szCs w:val="20"/>
                <w:color w:val="auto"/>
              </w:rPr>
            </w:pPr>
            <w:r>
              <w:rPr>
                <w:rFonts w:ascii="Arial" w:cs="Arial" w:eastAsia="Arial" w:hAnsi="Arial"/>
                <w:sz w:val="16"/>
                <w:szCs w:val="16"/>
                <w:color w:val="auto"/>
                <w:w w:val="94"/>
              </w:rPr>
              <w:t>shares of common stock issuable upon the conversion of Series A-2 convertible preferred stock held by Biomatics II. Biomatics</w:t>
            </w:r>
          </w:p>
        </w:tc>
      </w:tr>
    </w:tbl>
    <w:p>
      <w:pPr>
        <w:ind w:left="540" w:right="20"/>
        <w:spacing w:after="0" w:line="264" w:lineRule="auto"/>
        <w:rPr>
          <w:sz w:val="20"/>
          <w:szCs w:val="20"/>
          <w:color w:val="auto"/>
        </w:rPr>
      </w:pPr>
      <w:r>
        <w:rPr>
          <w:rFonts w:ascii="Arial" w:cs="Arial" w:eastAsia="Arial" w:hAnsi="Arial"/>
          <w:sz w:val="16"/>
          <w:szCs w:val="16"/>
          <w:color w:val="auto"/>
        </w:rPr>
        <w:t>Capital Management, L.L.C. (Biomatics LLC) is the managing partner of Biomatics and Biomatics II. Julie Sunderland and Boris Nikolic are the general managers of Biomatics LLC (the Biomatics LLC Committee Members). Biomatics LLC may be deemed to beneficially own the shares held Biomatics and Biomatics II, and each of the Biomatics LLC Committee Members may be deemed to share the power to direct the disposition and vote of the shares held by Biomatics and Biomatics II. The Biomatics LLC Committee Members each disclaim beneficial ownership except to the extent of their pecuniary interest therein, if any. The address of Biomatics Capital Partners is 188 E. Blaine Street, Suite 126, Seattle, Washington 98102.</w:t>
      </w:r>
    </w:p>
    <w:p>
      <w:pPr>
        <w:spacing w:after="0" w:line="1" w:lineRule="exact"/>
        <w:rPr>
          <w:sz w:val="20"/>
          <w:szCs w:val="20"/>
          <w:color w:val="auto"/>
        </w:rPr>
      </w:pPr>
    </w:p>
    <w:p>
      <w:pPr>
        <w:ind w:left="540" w:right="20" w:hanging="424"/>
        <w:spacing w:after="0" w:line="264" w:lineRule="auto"/>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Consists of shares of common stock issuable upon the conversion of Series A-2 convertible preferred stock. SoftBank Vision Fund II-2 L.P. is the managing member of SVF II Holdings (DE) LLC, which is the sole member of SVF. SB Global Advisers Limited (SBGA) has been appointed as manager and is responsible for making all decisions related to the acquisition, structuring, financing and disposal of SoftBank Vision Fund II-2 L.P.’s investments, including as held by SVF. Spencer Collins, Rajeev Misra, and Neil Hadley are the directors of SBGA. As a result of these relationships, each of these entities and individuals may be deemed to share beneficial ownership of the securities held of record by SVF. Each of them disclaims any such beneficial ownership. The registered address for each of SVF and SVF II Holdings (DE) LLC is c/o Corporation Service Company, 251 Little Falls Drive, Wilmington, DE 19808. The registered address of SoftBank Vision Fund II-2 L.P. is c/o Crestbridge Limited, 47 Esplanade, St. Helier, Jersey, JE1 0BD. The business address of SB Global Advisers Limited is 69 Grosvenor Street, London W1K 3JP, England, United Kingdom.</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300" w:type="dxa"/>
            <w:vAlign w:val="bottom"/>
          </w:tcPr>
          <w:p>
            <w:pPr>
              <w:jc w:val="right"/>
              <w:ind w:right="39"/>
              <w:spacing w:after="0"/>
              <w:rPr>
                <w:sz w:val="20"/>
                <w:szCs w:val="20"/>
                <w:color w:val="auto"/>
              </w:rPr>
            </w:pPr>
            <w:r>
              <w:rPr>
                <w:rFonts w:ascii="Arial" w:cs="Arial" w:eastAsia="Arial" w:hAnsi="Arial"/>
                <w:sz w:val="16"/>
                <w:szCs w:val="16"/>
                <w:color w:val="auto"/>
                <w:w w:val="81"/>
              </w:rPr>
              <w:t>(5)</w:t>
            </w:r>
          </w:p>
        </w:tc>
        <w:tc>
          <w:tcPr>
            <w:tcW w:w="1080" w:type="dxa"/>
            <w:vAlign w:val="bottom"/>
          </w:tcPr>
          <w:p>
            <w:pPr>
              <w:ind w:left="120"/>
              <w:spacing w:after="0"/>
              <w:rPr>
                <w:sz w:val="20"/>
                <w:szCs w:val="20"/>
                <w:color w:val="auto"/>
              </w:rPr>
            </w:pPr>
            <w:r>
              <w:rPr>
                <w:rFonts w:ascii="Arial" w:cs="Arial" w:eastAsia="Arial" w:hAnsi="Arial"/>
                <w:sz w:val="16"/>
                <w:szCs w:val="16"/>
                <w:color w:val="auto"/>
              </w:rPr>
              <w:t>Consists of</w:t>
            </w:r>
          </w:p>
        </w:tc>
        <w:tc>
          <w:tcPr>
            <w:tcW w:w="5080" w:type="dxa"/>
            <w:vAlign w:val="bottom"/>
          </w:tcPr>
          <w:p>
            <w:pPr>
              <w:jc w:val="right"/>
              <w:ind w:right="1459"/>
              <w:spacing w:after="0"/>
              <w:rPr>
                <w:sz w:val="20"/>
                <w:szCs w:val="20"/>
                <w:color w:val="auto"/>
              </w:rPr>
            </w:pPr>
            <w:r>
              <w:rPr>
                <w:rFonts w:ascii="Arial" w:cs="Arial" w:eastAsia="Arial" w:hAnsi="Arial"/>
                <w:sz w:val="16"/>
                <w:szCs w:val="16"/>
                <w:color w:val="auto"/>
                <w:w w:val="97"/>
              </w:rPr>
              <w:t>shares of common stock held directly by Mr. Berns.</w:t>
            </w:r>
          </w:p>
        </w:tc>
        <w:tc>
          <w:tcPr>
            <w:tcW w:w="4260" w:type="dxa"/>
            <w:vAlign w:val="bottom"/>
          </w:tcPr>
          <w:p>
            <w:pPr>
              <w:spacing w:after="0"/>
              <w:rPr>
                <w:sz w:val="17"/>
                <w:szCs w:val="17"/>
                <w:color w:val="auto"/>
              </w:rPr>
            </w:pPr>
          </w:p>
        </w:tc>
      </w:tr>
      <w:tr>
        <w:trPr>
          <w:trHeight w:val="203"/>
        </w:trPr>
        <w:tc>
          <w:tcPr>
            <w:tcW w:w="300" w:type="dxa"/>
            <w:vAlign w:val="bottom"/>
          </w:tcPr>
          <w:p>
            <w:pPr>
              <w:jc w:val="right"/>
              <w:ind w:right="39"/>
              <w:spacing w:after="0"/>
              <w:rPr>
                <w:sz w:val="20"/>
                <w:szCs w:val="20"/>
                <w:color w:val="auto"/>
              </w:rPr>
            </w:pPr>
            <w:r>
              <w:rPr>
                <w:rFonts w:ascii="Arial" w:cs="Arial" w:eastAsia="Arial" w:hAnsi="Arial"/>
                <w:sz w:val="16"/>
                <w:szCs w:val="16"/>
                <w:color w:val="auto"/>
                <w:w w:val="81"/>
              </w:rPr>
              <w:t>(6)</w:t>
            </w:r>
          </w:p>
        </w:tc>
        <w:tc>
          <w:tcPr>
            <w:tcW w:w="1080" w:type="dxa"/>
            <w:vAlign w:val="bottom"/>
          </w:tcPr>
          <w:p>
            <w:pPr>
              <w:ind w:left="120"/>
              <w:spacing w:after="0"/>
              <w:rPr>
                <w:sz w:val="20"/>
                <w:szCs w:val="20"/>
                <w:color w:val="auto"/>
              </w:rPr>
            </w:pPr>
            <w:r>
              <w:rPr>
                <w:rFonts w:ascii="Arial" w:cs="Arial" w:eastAsia="Arial" w:hAnsi="Arial"/>
                <w:sz w:val="16"/>
                <w:szCs w:val="16"/>
                <w:color w:val="auto"/>
                <w:w w:val="96"/>
              </w:rPr>
              <w:t>Consists of (i)</w:t>
            </w:r>
          </w:p>
        </w:tc>
        <w:tc>
          <w:tcPr>
            <w:tcW w:w="5080" w:type="dxa"/>
            <w:vAlign w:val="bottom"/>
          </w:tcPr>
          <w:p>
            <w:pPr>
              <w:jc w:val="right"/>
              <w:ind w:right="119"/>
              <w:spacing w:after="0"/>
              <w:rPr>
                <w:sz w:val="20"/>
                <w:szCs w:val="20"/>
                <w:color w:val="auto"/>
              </w:rPr>
            </w:pPr>
            <w:r>
              <w:rPr>
                <w:rFonts w:ascii="Arial" w:cs="Arial" w:eastAsia="Arial" w:hAnsi="Arial"/>
                <w:sz w:val="16"/>
                <w:szCs w:val="16"/>
                <w:color w:val="auto"/>
              </w:rPr>
              <w:t>shares of common stock held directly by Ms. Lyons-Williams and (ii)</w:t>
            </w:r>
          </w:p>
        </w:tc>
        <w:tc>
          <w:tcPr>
            <w:tcW w:w="4260" w:type="dxa"/>
            <w:vAlign w:val="bottom"/>
          </w:tcPr>
          <w:p>
            <w:pPr>
              <w:ind w:left="200"/>
              <w:spacing w:after="0"/>
              <w:rPr>
                <w:sz w:val="20"/>
                <w:szCs w:val="20"/>
                <w:color w:val="auto"/>
              </w:rPr>
            </w:pPr>
            <w:r>
              <w:rPr>
                <w:rFonts w:ascii="Arial" w:cs="Arial" w:eastAsia="Arial" w:hAnsi="Arial"/>
                <w:sz w:val="16"/>
                <w:szCs w:val="16"/>
                <w:color w:val="auto"/>
                <w:w w:val="90"/>
              </w:rPr>
              <w:t>shares issuable pursuant to stock options exercisable within 60</w:t>
            </w:r>
          </w:p>
        </w:tc>
      </w:tr>
      <w:tr>
        <w:trPr>
          <w:trHeight w:val="206"/>
        </w:trPr>
        <w:tc>
          <w:tcPr>
            <w:tcW w:w="300" w:type="dxa"/>
            <w:vAlign w:val="bottom"/>
          </w:tcPr>
          <w:p>
            <w:pPr>
              <w:spacing w:after="0"/>
              <w:rPr>
                <w:sz w:val="17"/>
                <w:szCs w:val="17"/>
                <w:color w:val="auto"/>
              </w:rPr>
            </w:pPr>
          </w:p>
        </w:tc>
        <w:tc>
          <w:tcPr>
            <w:tcW w:w="1080" w:type="dxa"/>
            <w:vAlign w:val="bottom"/>
          </w:tcPr>
          <w:p>
            <w:pPr>
              <w:ind w:left="120"/>
              <w:spacing w:after="0"/>
              <w:rPr>
                <w:sz w:val="20"/>
                <w:szCs w:val="20"/>
                <w:color w:val="auto"/>
              </w:rPr>
            </w:pPr>
            <w:r>
              <w:rPr>
                <w:rFonts w:ascii="Arial" w:cs="Arial" w:eastAsia="Arial" w:hAnsi="Arial"/>
                <w:sz w:val="16"/>
                <w:szCs w:val="16"/>
                <w:color w:val="auto"/>
              </w:rPr>
              <w:t>days of</w:t>
            </w:r>
          </w:p>
        </w:tc>
        <w:tc>
          <w:tcPr>
            <w:tcW w:w="5080" w:type="dxa"/>
            <w:vAlign w:val="bottom"/>
          </w:tcPr>
          <w:p>
            <w:pPr>
              <w:jc w:val="right"/>
              <w:ind w:right="4919"/>
              <w:spacing w:after="0"/>
              <w:rPr>
                <w:sz w:val="20"/>
                <w:szCs w:val="20"/>
                <w:color w:val="auto"/>
              </w:rPr>
            </w:pPr>
            <w:r>
              <w:rPr>
                <w:rFonts w:ascii="Arial" w:cs="Arial" w:eastAsia="Arial" w:hAnsi="Arial"/>
                <w:sz w:val="16"/>
                <w:szCs w:val="16"/>
                <w:color w:val="auto"/>
              </w:rPr>
              <w:t>.</w:t>
            </w:r>
          </w:p>
        </w:tc>
        <w:tc>
          <w:tcPr>
            <w:tcW w:w="4260" w:type="dxa"/>
            <w:vAlign w:val="bottom"/>
          </w:tcPr>
          <w:p>
            <w:pPr>
              <w:spacing w:after="0"/>
              <w:rPr>
                <w:sz w:val="17"/>
                <w:szCs w:val="17"/>
                <w:color w:val="auto"/>
              </w:rPr>
            </w:pPr>
          </w:p>
        </w:tc>
      </w:tr>
    </w:tbl>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820"/>
          </w:cols>
          <w:pgMar w:left="320" w:top="459" w:right="759" w:bottom="1440" w:gutter="0" w:footer="0" w:header="0"/>
        </w:sectPr>
      </w:pPr>
    </w:p>
    <w:p>
      <w:pPr>
        <w:spacing w:after="0" w:line="337"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Consists of (i)</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tabs>
          <w:tab w:leader="none" w:pos="4140" w:val="left"/>
        </w:tabs>
        <w:rPr>
          <w:sz w:val="20"/>
          <w:szCs w:val="20"/>
          <w:color w:val="auto"/>
        </w:rPr>
      </w:pPr>
      <w:r>
        <w:rPr>
          <w:rFonts w:ascii="Arial" w:cs="Arial" w:eastAsia="Arial" w:hAnsi="Arial"/>
          <w:sz w:val="16"/>
          <w:szCs w:val="16"/>
          <w:color w:val="auto"/>
        </w:rPr>
        <w:t>shares of common stock held directly by Dr. Pinto and (ii)</w:t>
      </w:r>
      <w:r>
        <w:rPr>
          <w:sz w:val="20"/>
          <w:szCs w:val="20"/>
          <w:color w:val="auto"/>
        </w:rPr>
        <w:tab/>
      </w:r>
      <w:r>
        <w:rPr>
          <w:rFonts w:ascii="Arial" w:cs="Arial" w:eastAsia="Arial" w:hAnsi="Arial"/>
          <w:sz w:val="14"/>
          <w:szCs w:val="14"/>
          <w:color w:val="auto"/>
        </w:rPr>
        <w:t>shares issuable pursuant to stock options exercisable within 60 days of</w:t>
      </w:r>
    </w:p>
    <w:p>
      <w:pPr>
        <w:spacing w:after="0" w:line="22" w:lineRule="exact"/>
        <w:rPr>
          <w:sz w:val="20"/>
          <w:szCs w:val="20"/>
          <w:color w:val="auto"/>
        </w:rPr>
      </w:pPr>
    </w:p>
    <w:p>
      <w:pPr>
        <w:sectPr>
          <w:pgSz w:w="11900" w:h="16838" w:orient="portrait"/>
          <w:cols w:equalWidth="0" w:num="2">
            <w:col w:w="1460" w:space="420"/>
            <w:col w:w="8940"/>
          </w:cols>
          <w:pgMar w:left="320" w:top="459" w:right="759" w:bottom="1440" w:gutter="0" w:footer="0" w:header="0"/>
          <w:type w:val="continuous"/>
        </w:sectPr>
      </w:pPr>
    </w:p>
    <w:tbl>
      <w:tblPr>
        <w:tblLayout w:type="fixed"/>
        <w:tblInd w:w="120" w:type="dxa"/>
        <w:tblCellMar>
          <w:top w:w="0" w:type="dxa"/>
          <w:left w:w="0" w:type="dxa"/>
          <w:bottom w:w="0" w:type="dxa"/>
          <w:right w:w="0" w:type="dxa"/>
        </w:tblCellMar>
      </w:tblPr>
      <w:tr>
        <w:trPr>
          <w:trHeight w:val="199"/>
        </w:trPr>
        <w:tc>
          <w:tcPr>
            <w:tcW w:w="340" w:type="dxa"/>
            <w:vAlign w:val="bottom"/>
          </w:tcPr>
          <w:p>
            <w:pPr>
              <w:spacing w:after="0"/>
              <w:rPr>
                <w:sz w:val="17"/>
                <w:szCs w:val="17"/>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03"/>
        </w:trPr>
        <w:tc>
          <w:tcPr>
            <w:tcW w:w="340" w:type="dxa"/>
            <w:vAlign w:val="bottom"/>
          </w:tcPr>
          <w:p>
            <w:pPr>
              <w:spacing w:after="0"/>
              <w:rPr>
                <w:sz w:val="20"/>
                <w:szCs w:val="20"/>
                <w:color w:val="auto"/>
              </w:rPr>
            </w:pPr>
            <w:r>
              <w:rPr>
                <w:rFonts w:ascii="Arial" w:cs="Arial" w:eastAsia="Arial" w:hAnsi="Arial"/>
                <w:sz w:val="16"/>
                <w:szCs w:val="16"/>
                <w:color w:val="auto"/>
              </w:rPr>
              <w:t>(8)</w:t>
            </w:r>
          </w:p>
        </w:tc>
        <w:tc>
          <w:tcPr>
            <w:tcW w:w="2920" w:type="dxa"/>
            <w:vAlign w:val="bottom"/>
            <w:gridSpan w:val="2"/>
          </w:tcPr>
          <w:p>
            <w:pPr>
              <w:ind w:left="80"/>
              <w:spacing w:after="0"/>
              <w:rPr>
                <w:sz w:val="20"/>
                <w:szCs w:val="20"/>
                <w:color w:val="auto"/>
              </w:rPr>
            </w:pPr>
            <w:r>
              <w:rPr>
                <w:rFonts w:ascii="Arial" w:cs="Arial" w:eastAsia="Arial" w:hAnsi="Arial"/>
                <w:sz w:val="16"/>
                <w:szCs w:val="16"/>
                <w:color w:val="auto"/>
                <w:w w:val="97"/>
              </w:rPr>
              <w:t>See Footnote (2) above. Also consists of</w:t>
            </w:r>
          </w:p>
        </w:tc>
        <w:tc>
          <w:tcPr>
            <w:tcW w:w="6420" w:type="dxa"/>
            <w:vAlign w:val="bottom"/>
            <w:gridSpan w:val="2"/>
          </w:tcPr>
          <w:p>
            <w:pPr>
              <w:jc w:val="right"/>
              <w:spacing w:after="0"/>
              <w:rPr>
                <w:sz w:val="20"/>
                <w:szCs w:val="20"/>
                <w:color w:val="auto"/>
              </w:rPr>
            </w:pPr>
            <w:r>
              <w:rPr>
                <w:rFonts w:ascii="Arial" w:cs="Arial" w:eastAsia="Arial" w:hAnsi="Arial"/>
                <w:sz w:val="16"/>
                <w:szCs w:val="16"/>
                <w:color w:val="auto"/>
                <w:w w:val="94"/>
              </w:rPr>
              <w:t>shares of common stock issuable upon the conversion of Series A-1 convertible preferred stock.</w:t>
            </w:r>
          </w:p>
        </w:tc>
      </w:tr>
      <w:tr>
        <w:trPr>
          <w:trHeight w:val="203"/>
        </w:trPr>
        <w:tc>
          <w:tcPr>
            <w:tcW w:w="340" w:type="dxa"/>
            <w:vAlign w:val="bottom"/>
          </w:tcPr>
          <w:p>
            <w:pPr>
              <w:spacing w:after="0"/>
              <w:rPr>
                <w:sz w:val="20"/>
                <w:szCs w:val="20"/>
                <w:color w:val="auto"/>
              </w:rPr>
            </w:pPr>
            <w:r>
              <w:rPr>
                <w:rFonts w:ascii="Arial" w:cs="Arial" w:eastAsia="Arial" w:hAnsi="Arial"/>
                <w:sz w:val="16"/>
                <w:szCs w:val="16"/>
                <w:color w:val="auto"/>
              </w:rPr>
              <w:t>(9)</w:t>
            </w:r>
          </w:p>
        </w:tc>
        <w:tc>
          <w:tcPr>
            <w:tcW w:w="1020" w:type="dxa"/>
            <w:vAlign w:val="bottom"/>
          </w:tcPr>
          <w:p>
            <w:pPr>
              <w:ind w:left="80"/>
              <w:spacing w:after="0"/>
              <w:rPr>
                <w:sz w:val="20"/>
                <w:szCs w:val="20"/>
                <w:color w:val="auto"/>
              </w:rPr>
            </w:pPr>
            <w:r>
              <w:rPr>
                <w:rFonts w:ascii="Arial" w:cs="Arial" w:eastAsia="Arial" w:hAnsi="Arial"/>
                <w:sz w:val="16"/>
                <w:szCs w:val="16"/>
                <w:color w:val="auto"/>
              </w:rPr>
              <w:t>Consists of</w:t>
            </w:r>
          </w:p>
        </w:tc>
        <w:tc>
          <w:tcPr>
            <w:tcW w:w="5040" w:type="dxa"/>
            <w:vAlign w:val="bottom"/>
            <w:gridSpan w:val="2"/>
          </w:tcPr>
          <w:p>
            <w:pPr>
              <w:ind w:left="200"/>
              <w:spacing w:after="0"/>
              <w:rPr>
                <w:sz w:val="20"/>
                <w:szCs w:val="20"/>
                <w:color w:val="auto"/>
              </w:rPr>
            </w:pPr>
            <w:r>
              <w:rPr>
                <w:rFonts w:ascii="Arial" w:cs="Arial" w:eastAsia="Arial" w:hAnsi="Arial"/>
                <w:sz w:val="16"/>
                <w:szCs w:val="16"/>
                <w:color w:val="auto"/>
                <w:w w:val="95"/>
              </w:rPr>
              <w:t>shares issuable pursuant to stock options exercisable within 60 days of</w:t>
            </w:r>
          </w:p>
        </w:tc>
        <w:tc>
          <w:tcPr>
            <w:tcW w:w="3280" w:type="dxa"/>
            <w:vAlign w:val="bottom"/>
          </w:tcPr>
          <w:p>
            <w:pPr>
              <w:jc w:val="right"/>
              <w:ind w:right="2899"/>
              <w:spacing w:after="0"/>
              <w:rPr>
                <w:sz w:val="20"/>
                <w:szCs w:val="20"/>
                <w:color w:val="auto"/>
              </w:rPr>
            </w:pPr>
            <w:r>
              <w:rPr>
                <w:rFonts w:ascii="Arial" w:cs="Arial" w:eastAsia="Arial" w:hAnsi="Arial"/>
                <w:sz w:val="16"/>
                <w:szCs w:val="16"/>
                <w:color w:val="auto"/>
              </w:rPr>
              <w:t>.</w:t>
            </w:r>
          </w:p>
        </w:tc>
      </w:tr>
      <w:tr>
        <w:trPr>
          <w:trHeight w:val="206"/>
        </w:trPr>
        <w:tc>
          <w:tcPr>
            <w:tcW w:w="340" w:type="dxa"/>
            <w:vAlign w:val="bottom"/>
          </w:tcPr>
          <w:p>
            <w:pPr>
              <w:spacing w:after="0"/>
              <w:rPr>
                <w:sz w:val="20"/>
                <w:szCs w:val="20"/>
                <w:color w:val="auto"/>
              </w:rPr>
            </w:pPr>
            <w:r>
              <w:rPr>
                <w:rFonts w:ascii="Arial" w:cs="Arial" w:eastAsia="Arial" w:hAnsi="Arial"/>
                <w:sz w:val="16"/>
                <w:szCs w:val="16"/>
                <w:color w:val="auto"/>
              </w:rPr>
              <w:t>(10)</w:t>
            </w:r>
          </w:p>
        </w:tc>
        <w:tc>
          <w:tcPr>
            <w:tcW w:w="1020" w:type="dxa"/>
            <w:vAlign w:val="bottom"/>
          </w:tcPr>
          <w:p>
            <w:pPr>
              <w:ind w:left="80"/>
              <w:spacing w:after="0"/>
              <w:rPr>
                <w:sz w:val="20"/>
                <w:szCs w:val="20"/>
                <w:color w:val="auto"/>
              </w:rPr>
            </w:pPr>
            <w:r>
              <w:rPr>
                <w:rFonts w:ascii="Arial" w:cs="Arial" w:eastAsia="Arial" w:hAnsi="Arial"/>
                <w:sz w:val="16"/>
                <w:szCs w:val="16"/>
                <w:color w:val="auto"/>
              </w:rPr>
              <w:t>Consists of</w:t>
            </w:r>
          </w:p>
        </w:tc>
        <w:tc>
          <w:tcPr>
            <w:tcW w:w="5040" w:type="dxa"/>
            <w:vAlign w:val="bottom"/>
            <w:gridSpan w:val="2"/>
          </w:tcPr>
          <w:p>
            <w:pPr>
              <w:ind w:left="200"/>
              <w:spacing w:after="0"/>
              <w:rPr>
                <w:sz w:val="20"/>
                <w:szCs w:val="20"/>
                <w:color w:val="auto"/>
              </w:rPr>
            </w:pPr>
            <w:r>
              <w:rPr>
                <w:rFonts w:ascii="Arial" w:cs="Arial" w:eastAsia="Arial" w:hAnsi="Arial"/>
                <w:sz w:val="16"/>
                <w:szCs w:val="16"/>
                <w:color w:val="auto"/>
                <w:w w:val="95"/>
              </w:rPr>
              <w:t>shares issuable pursuant to stock options exercisable within 60 days of</w:t>
            </w:r>
          </w:p>
        </w:tc>
        <w:tc>
          <w:tcPr>
            <w:tcW w:w="3280" w:type="dxa"/>
            <w:vAlign w:val="bottom"/>
          </w:tcPr>
          <w:p>
            <w:pPr>
              <w:jc w:val="right"/>
              <w:ind w:right="2899"/>
              <w:spacing w:after="0"/>
              <w:rPr>
                <w:sz w:val="20"/>
                <w:szCs w:val="20"/>
                <w:color w:val="auto"/>
              </w:rPr>
            </w:pPr>
            <w:r>
              <w:rPr>
                <w:rFonts w:ascii="Arial" w:cs="Arial" w:eastAsia="Arial" w:hAnsi="Arial"/>
                <w:sz w:val="16"/>
                <w:szCs w:val="16"/>
                <w:color w:val="auto"/>
              </w:rPr>
              <w:t>.</w:t>
            </w:r>
          </w:p>
        </w:tc>
      </w:tr>
    </w:tbl>
    <w:p>
      <w:pPr>
        <w:ind w:left="540" w:hanging="424"/>
        <w:spacing w:after="0"/>
        <w:tabs>
          <w:tab w:leader="none" w:pos="54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Dr. Weninger has indicated her intention to resign as a director prior to the effectiveness of the registration statement for which this prospectus is a part.</w:t>
      </w:r>
    </w:p>
    <w:p>
      <w:pPr>
        <w:spacing w:after="0" w:line="30" w:lineRule="exact"/>
        <w:rPr>
          <w:sz w:val="20"/>
          <w:szCs w:val="20"/>
          <w:color w:val="auto"/>
        </w:rPr>
      </w:pPr>
    </w:p>
    <w:p>
      <w:pPr>
        <w:ind w:left="120"/>
        <w:spacing w:after="0"/>
        <w:tabs>
          <w:tab w:leader="none" w:pos="520" w:val="left"/>
          <w:tab w:leader="none" w:pos="1820" w:val="left"/>
          <w:tab w:leader="none" w:pos="8680" w:val="left"/>
        </w:tabs>
        <w:rPr>
          <w:sz w:val="20"/>
          <w:szCs w:val="20"/>
          <w:color w:val="auto"/>
        </w:rPr>
      </w:pPr>
      <w:r>
        <w:rPr>
          <w:rFonts w:ascii="Arial" w:cs="Arial" w:eastAsia="Arial" w:hAnsi="Arial"/>
          <w:sz w:val="16"/>
          <w:szCs w:val="16"/>
          <w:color w:val="auto"/>
        </w:rPr>
        <w:t>(12)</w:t>
        <w:tab/>
        <w:t>Consists of (i)</w:t>
      </w:r>
      <w:r>
        <w:rPr>
          <w:sz w:val="20"/>
          <w:szCs w:val="20"/>
          <w:color w:val="auto"/>
        </w:rPr>
        <w:tab/>
      </w:r>
      <w:r>
        <w:rPr>
          <w:rFonts w:ascii="Arial" w:cs="Arial" w:eastAsia="Arial" w:hAnsi="Arial"/>
          <w:sz w:val="16"/>
          <w:szCs w:val="16"/>
          <w:color w:val="auto"/>
        </w:rPr>
        <w:t>shares of common stock issuable upon the conversion of Series A-1 convertible preferred stock, (ii)</w:t>
      </w:r>
      <w:r>
        <w:rPr>
          <w:sz w:val="20"/>
          <w:szCs w:val="20"/>
          <w:color w:val="auto"/>
        </w:rPr>
        <w:tab/>
      </w:r>
      <w:r>
        <w:rPr>
          <w:rFonts w:ascii="Arial" w:cs="Arial" w:eastAsia="Arial" w:hAnsi="Arial"/>
          <w:sz w:val="14"/>
          <w:szCs w:val="14"/>
          <w:color w:val="auto"/>
        </w:rPr>
        <w:t>shares of common stock and (iii)</w:t>
      </w:r>
    </w:p>
    <w:p>
      <w:pPr>
        <w:spacing w:after="0" w:line="19" w:lineRule="exact"/>
        <w:rPr>
          <w:sz w:val="20"/>
          <w:szCs w:val="20"/>
          <w:color w:val="auto"/>
        </w:rPr>
      </w:pPr>
    </w:p>
    <w:p>
      <w:pPr>
        <w:ind w:left="920"/>
        <w:spacing w:after="0"/>
        <w:tabs>
          <w:tab w:leader="none" w:pos="6000" w:val="left"/>
        </w:tabs>
        <w:rPr>
          <w:sz w:val="20"/>
          <w:szCs w:val="20"/>
          <w:color w:val="auto"/>
        </w:rPr>
      </w:pPr>
      <w:r>
        <w:rPr>
          <w:rFonts w:ascii="Arial" w:cs="Arial" w:eastAsia="Arial" w:hAnsi="Arial"/>
          <w:sz w:val="16"/>
          <w:szCs w:val="16"/>
          <w:color w:val="auto"/>
        </w:rPr>
        <w:t>shares issuable pursuant to stock options exercisable within 60 days of</w:t>
      </w:r>
      <w:r>
        <w:rPr>
          <w:sz w:val="20"/>
          <w:szCs w:val="20"/>
          <w:color w:val="auto"/>
        </w:rPr>
        <w:tab/>
      </w:r>
      <w:r>
        <w:rPr>
          <w:rFonts w:ascii="Arial" w:cs="Arial" w:eastAsia="Arial" w:hAnsi="Arial"/>
          <w:sz w:val="14"/>
          <w:szCs w:val="14"/>
          <w:color w:val="auto"/>
        </w:rPr>
        <w:t>.</w:t>
      </w:r>
    </w:p>
    <w:p>
      <w:pPr>
        <w:spacing w:after="0" w:line="15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0820"/>
          </w:cols>
          <w:pgMar w:left="320" w:top="459" w:right="759" w:bottom="1440" w:gutter="0" w:footer="0" w:header="0"/>
          <w:type w:val="continuous"/>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The following summary describes our capital stock and the material provisions of our amended and restated certificate of incorporation and our amended and restated bylaws, which will become effective immediately prior to the completion of this offering, the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investors’ rights agreement, copies of which have been filed as exhibits to the registration statement of which this prospectus is part.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Upon the completion of this offering and the filing of our amended and restated certificate of incorporation, our authorized capital stock will</w:t>
      </w:r>
    </w:p>
    <w:p>
      <w:pPr>
        <w:spacing w:after="0" w:line="35" w:lineRule="exact"/>
        <w:rPr>
          <w:sz w:val="20"/>
          <w:szCs w:val="20"/>
          <w:color w:val="auto"/>
        </w:rPr>
      </w:pPr>
    </w:p>
    <w:p>
      <w:pPr>
        <w:ind w:left="120"/>
        <w:spacing w:after="0"/>
        <w:tabs>
          <w:tab w:leader="none" w:pos="1240" w:val="left"/>
          <w:tab w:leader="none" w:pos="5860" w:val="left"/>
        </w:tabs>
        <w:rPr>
          <w:sz w:val="20"/>
          <w:szCs w:val="20"/>
          <w:color w:val="auto"/>
        </w:rPr>
      </w:pPr>
      <w:r>
        <w:rPr>
          <w:rFonts w:ascii="Arial" w:cs="Arial" w:eastAsia="Arial" w:hAnsi="Arial"/>
          <w:sz w:val="18"/>
          <w:szCs w:val="18"/>
          <w:color w:val="auto"/>
        </w:rPr>
        <w:t>consist of</w:t>
      </w:r>
      <w:r>
        <w:rPr>
          <w:sz w:val="20"/>
          <w:szCs w:val="20"/>
          <w:color w:val="auto"/>
        </w:rPr>
        <w:tab/>
      </w:r>
      <w:r>
        <w:rPr>
          <w:rFonts w:ascii="Arial" w:cs="Arial" w:eastAsia="Arial" w:hAnsi="Arial"/>
          <w:sz w:val="18"/>
          <w:szCs w:val="18"/>
          <w:color w:val="auto"/>
        </w:rPr>
        <w:t>shares of common stock, par value $0.0001 per share, and</w:t>
      </w:r>
      <w:r>
        <w:rPr>
          <w:sz w:val="20"/>
          <w:szCs w:val="20"/>
          <w:color w:val="auto"/>
        </w:rPr>
        <w:tab/>
      </w:r>
      <w:r>
        <w:rPr>
          <w:rFonts w:ascii="Arial" w:cs="Arial" w:eastAsia="Arial" w:hAnsi="Arial"/>
          <w:sz w:val="15"/>
          <w:szCs w:val="15"/>
          <w:color w:val="auto"/>
        </w:rPr>
        <w:t>shares of preferred stock, par value $0.0001 per share.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1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As of September 30, 2021, we had shares of common stock outstanding, held of record by stockholders, assuming the conversion of all of our outstanding shares of convertible preferred stock into shares of common stock immediately prior to the completion of this offering.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amended and restated certificate of incorporation, including the provisions relating to amending our amended and restated bylaws, the classified board and director liability.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as may be declared from time to time by our board of directors out of legally available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Preferences and Privileges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Upon the completion of this offering, all of our currently outstanding shares of convertible preferred stock will convert into common stock and we will not have any shares of preferred stock outstanding. Immediately prior to the completion of this offering, our amended and restated certificate of incorporation will be amended and restated to delete all references to such shares of convertible preferred stock. From and after the consummation of</w:t>
      </w:r>
    </w:p>
    <w:p>
      <w:pPr>
        <w:spacing w:after="0" w:line="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20" w:right="260" w:firstLine="440"/>
        <w:spacing w:after="0" w:line="274" w:lineRule="auto"/>
        <w:rPr>
          <w:sz w:val="20"/>
          <w:szCs w:val="20"/>
          <w:color w:val="auto"/>
        </w:rPr>
      </w:pPr>
      <w:r>
        <w:rPr>
          <w:rFonts w:ascii="Arial" w:cs="Arial" w:eastAsia="Arial" w:hAnsi="Arial"/>
          <w:sz w:val="17"/>
          <w:szCs w:val="17"/>
          <w:color w:val="auto"/>
        </w:rPr>
        <w:t>As of September 30, 2021, we had outstanding options to purchase an aggregate of shares of our common stock, with a weighted-average exercise price of $ per share. For additional information regarding terms of our equity incentive plans, see the section titled “Executive</w:t>
      </w:r>
    </w:p>
    <w:p>
      <w:pPr>
        <w:ind w:left="120"/>
        <w:spacing w:after="0"/>
        <w:rPr>
          <w:sz w:val="20"/>
          <w:szCs w:val="20"/>
          <w:color w:val="auto"/>
        </w:rPr>
      </w:pPr>
      <w:r>
        <w:rPr>
          <w:rFonts w:ascii="Arial" w:cs="Arial" w:eastAsia="Arial" w:hAnsi="Arial"/>
          <w:sz w:val="18"/>
          <w:szCs w:val="18"/>
          <w:color w:val="auto"/>
        </w:rPr>
        <w:t>Compensation—Equity Compensation Plans.”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Upon the completion of this offering and subject to the lock-up agreements entered into in connection with this offering and federal securities laws, certain holders of shares of our common stock, including those shares of our common stock that will be issued upon the conversion of our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6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terminate upon the earliest of</w:t>
      </w:r>
    </w:p>
    <w:p>
      <w:pPr>
        <w:ind w:left="120" w:right="260" w:hanging="4"/>
        <w:spacing w:after="0" w:line="255" w:lineRule="auto"/>
        <w:tabs>
          <w:tab w:leader="none" w:pos="3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with respect to each stockholder, such date, on or after the closing of this offering, on which all registrable shares held by such stockholder may immediately be sold during any 90-day period pursuant to Rule 144 of the Securities Act, or Rule 144 and (ii) the occurrence of a deemed liquidation event, as defined in our amended and restated certificate of incorporation, as currently in effect.</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560"/>
        <w:spacing w:after="0"/>
        <w:tabs>
          <w:tab w:leader="none" w:pos="5700" w:val="left"/>
        </w:tabs>
        <w:rPr>
          <w:sz w:val="20"/>
          <w:szCs w:val="20"/>
          <w:color w:val="auto"/>
        </w:rPr>
      </w:pPr>
      <w:r>
        <w:rPr>
          <w:rFonts w:ascii="Arial" w:cs="Arial" w:eastAsia="Arial" w:hAnsi="Arial"/>
          <w:sz w:val="18"/>
          <w:szCs w:val="18"/>
          <w:color w:val="auto"/>
        </w:rPr>
        <w:t>Upon the completion of this offering, holders of approximately</w:t>
      </w:r>
      <w:r>
        <w:rPr>
          <w:sz w:val="20"/>
          <w:szCs w:val="20"/>
          <w:color w:val="auto"/>
        </w:rPr>
        <w:tab/>
      </w:r>
      <w:r>
        <w:rPr>
          <w:rFonts w:ascii="Arial" w:cs="Arial" w:eastAsia="Arial" w:hAnsi="Arial"/>
          <w:sz w:val="16"/>
          <w:szCs w:val="16"/>
          <w:color w:val="auto"/>
        </w:rPr>
        <w:t>shares of our common stock issuable upon conversion of outstanding</w:t>
      </w:r>
    </w:p>
    <w:p>
      <w:pPr>
        <w:spacing w:after="0" w:line="23" w:lineRule="exact"/>
        <w:rPr>
          <w:sz w:val="20"/>
          <w:szCs w:val="20"/>
          <w:color w:val="auto"/>
        </w:rPr>
      </w:pPr>
    </w:p>
    <w:p>
      <w:pPr>
        <w:ind w:left="120" w:right="60"/>
        <w:spacing w:after="0" w:line="281" w:lineRule="auto"/>
        <w:rPr>
          <w:sz w:val="20"/>
          <w:szCs w:val="20"/>
          <w:color w:val="auto"/>
        </w:rPr>
      </w:pPr>
      <w:r>
        <w:rPr>
          <w:rFonts w:ascii="Arial" w:cs="Arial" w:eastAsia="Arial" w:hAnsi="Arial"/>
          <w:sz w:val="16"/>
          <w:szCs w:val="16"/>
          <w:color w:val="auto"/>
        </w:rPr>
        <w:t>convertible preferred stock will be entitled to certain demand registration rights. Beginning 180 days following the effectiveness of the registration statement of which this prospectus is a part, certain major investors holding, collectively, holding at least 40% of registrable securities may, on not more than two occasions, request that we register all or a portion of their shares, subject to certain specified exceptions. If any of these holders exercises its</w:t>
      </w:r>
    </w:p>
    <w:p>
      <w:pPr>
        <w:spacing w:after="0" w:line="2" w:lineRule="exact"/>
        <w:rPr>
          <w:sz w:val="20"/>
          <w:szCs w:val="20"/>
          <w:color w:val="auto"/>
        </w:rPr>
      </w:pPr>
    </w:p>
    <w:p>
      <w:pPr>
        <w:ind w:left="120" w:right="380"/>
        <w:spacing w:after="0" w:line="255" w:lineRule="auto"/>
        <w:rPr>
          <w:sz w:val="20"/>
          <w:szCs w:val="20"/>
          <w:color w:val="auto"/>
        </w:rPr>
      </w:pPr>
      <w:r>
        <w:rPr>
          <w:rFonts w:ascii="Arial" w:cs="Arial" w:eastAsia="Arial" w:hAnsi="Arial"/>
          <w:sz w:val="18"/>
          <w:szCs w:val="18"/>
          <w:color w:val="auto"/>
        </w:rPr>
        <w:t>demand registration rights, then holders of approximately shares of our common stock issuable upon the shares of our convertible preferred stock in connection with this offering will be entitled to register their shares, subject to specified conditions and limitations in the corresponding offering.</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560"/>
        <w:spacing w:after="0"/>
        <w:tabs>
          <w:tab w:leader="none" w:pos="5340" w:val="left"/>
        </w:tabs>
        <w:rPr>
          <w:sz w:val="20"/>
          <w:szCs w:val="20"/>
          <w:color w:val="auto"/>
        </w:rPr>
      </w:pPr>
      <w:r>
        <w:rPr>
          <w:rFonts w:ascii="Arial" w:cs="Arial" w:eastAsia="Arial" w:hAnsi="Arial"/>
          <w:sz w:val="18"/>
          <w:szCs w:val="18"/>
          <w:color w:val="auto"/>
        </w:rPr>
        <w:t>In connection with this offering, holders of approximately</w:t>
      </w:r>
      <w:r>
        <w:rPr>
          <w:sz w:val="20"/>
          <w:szCs w:val="20"/>
          <w:color w:val="auto"/>
        </w:rPr>
        <w:tab/>
      </w:r>
      <w:r>
        <w:rPr>
          <w:rFonts w:ascii="Arial" w:cs="Arial" w:eastAsia="Arial" w:hAnsi="Arial"/>
          <w:sz w:val="16"/>
          <w:szCs w:val="16"/>
          <w:color w:val="auto"/>
        </w:rPr>
        <w:t>shares of our common stock issuable upon conversion of outstanding</w:t>
      </w:r>
    </w:p>
    <w:p>
      <w:pPr>
        <w:spacing w:after="0" w:line="23"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convertible preferred stock are entitled to their rights to notice of this offering and to include their shares of registrable securities in this offering. The requisite percentage of these stockholders are expected to waive all such stockholders’ rights to notice of this offering and to include their shares of registrable securities in this offering. In the event that we propose to register any of our securities under the Securities Act in another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17" w:lineRule="exact"/>
        <w:rPr>
          <w:sz w:val="20"/>
          <w:szCs w:val="20"/>
          <w:color w:val="auto"/>
        </w:rPr>
      </w:pPr>
    </w:p>
    <w:p>
      <w:pPr>
        <w:ind w:left="560"/>
        <w:spacing w:after="0"/>
        <w:tabs>
          <w:tab w:leader="none" w:pos="5980" w:val="left"/>
        </w:tabs>
        <w:rPr>
          <w:sz w:val="20"/>
          <w:szCs w:val="20"/>
          <w:color w:val="auto"/>
        </w:rPr>
      </w:pPr>
      <w:r>
        <w:rPr>
          <w:rFonts w:ascii="Arial" w:cs="Arial" w:eastAsia="Arial" w:hAnsi="Arial"/>
          <w:sz w:val="18"/>
          <w:szCs w:val="18"/>
          <w:color w:val="auto"/>
        </w:rPr>
        <w:t>Upon the completion of this offering, the holders of approximately</w:t>
      </w:r>
      <w:r>
        <w:rPr>
          <w:sz w:val="20"/>
          <w:szCs w:val="20"/>
          <w:color w:val="auto"/>
        </w:rPr>
        <w:tab/>
      </w:r>
      <w:r>
        <w:rPr>
          <w:rFonts w:ascii="Arial" w:cs="Arial" w:eastAsia="Arial" w:hAnsi="Arial"/>
          <w:sz w:val="16"/>
          <w:szCs w:val="16"/>
          <w:color w:val="auto"/>
        </w:rPr>
        <w:t>shares of our common stock issuable upon conversion of outstanding</w:t>
      </w:r>
    </w:p>
    <w:p>
      <w:pPr>
        <w:spacing w:after="0" w:line="23" w:lineRule="exact"/>
        <w:rPr>
          <w:sz w:val="20"/>
          <w:szCs w:val="20"/>
          <w:color w:val="auto"/>
        </w:rPr>
      </w:pPr>
    </w:p>
    <w:p>
      <w:pPr>
        <w:ind w:left="120" w:right="280"/>
        <w:spacing w:after="0" w:line="281" w:lineRule="auto"/>
        <w:rPr>
          <w:sz w:val="20"/>
          <w:szCs w:val="20"/>
          <w:color w:val="auto"/>
        </w:rPr>
      </w:pPr>
      <w:r>
        <w:rPr>
          <w:rFonts w:ascii="Arial" w:cs="Arial" w:eastAsia="Arial" w:hAnsi="Arial"/>
          <w:sz w:val="16"/>
          <w:szCs w:val="16"/>
          <w:color w:val="auto"/>
        </w:rPr>
        <w:t>convertible preferred stock will initially be entitled to certain Form S-3 registration rights. Certain major investors holding at least 20% of registrable securities may, on not more than two registrations on Form S-3 within any 12-month period, request that we register all or a portion of their shares on Form S-3 if we are qualified to file a registration statement on Form S-3, subject to specified exceptions. Such request for registration</w:t>
      </w:r>
    </w:p>
    <w:p>
      <w:pPr>
        <w:spacing w:after="0" w:line="2"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on Form S-3 must cover securities with an aggregate offering price which equals or exceeds $5.0 million, net of selling expenses. The right to have such shares registered on Form S-3 is further subject to other specified conditions and limitations.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and Removal of Directors; Vacancies</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exact number of directors will be fixed from time to time by resolution of the board. Directors will be elected by a plurality of the votes of the shares of our capital stock present in person or represented by proxy at the meeting and entitled to vote on the election of directors.</w:t>
      </w:r>
    </w:p>
    <w:p>
      <w:pPr>
        <w:spacing w:after="0" w:line="14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 director may be removed except for cause, and directors may be removed for cause only by an affirmative vote of shares representing not less than a majority of the shares then entitled to vote at an election of directors.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Any vacancy occurring on the board of directors and any newly created directorship may be filled only by a majority of the remaining directors in office.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Staggered Board</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Upon the closing of this offering, our board of directors will be divided into three classes serving staggered three-year terms. Class I, Class II, and Class III directors will serve until our annual meetings of stockholders in 202 , 202 and 202 ,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the board of directors. In general, at least two annual meetings of stockholders will typically be necessary for stockholders to effect a change in a majority of the members of the board of directors.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Action by Written Consent</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holders of our common stock will not be able to act by written consent without a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special meetings of our stockholders may be called only by the chairman of the board, our chief executive officer (or president, in the absence of a chief executive officer) or a majority of the directors. Our amended and restated certificate of incorporation and our amended and restated bylaws specifically deny any power of any other person to call a special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provisions of our amended and restated certificate of incorporation described under the subsections titled “—Election and Removal of Directors; Vacancies,” “—Stockholder Meetings,” “—Limitation on Action by Written Consent,” “—Limitation of Liability of Directors and Officers,” “—Common Stock—Voting Rights” and “—Forum Selection” and provisions relating to amendments to our amended and restated certificate of incorporation may be amended only by the affirmative vote of holders of at least 66-2/3% of the voting power of our outstanding shares of voting stock. The affirmative vote of holders of at least a majority of the voting power of our outstanding shares of stock will generally be required to amend other provisions of our amended and restated certificate of incorporation.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Bylaws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Certain provisions of our amended and restated bylaws may generally be altered, amended, or repealed, and new bylaws may be adopted, with the affirmative vote of a majority of directors present at any regular or special meeting of the board of directors called for that purpose, provided that any alteration, amendment, or repeal of, or adoption of any bylaw inconsistent with specified provisions of the bylaws, including those related to special and annual meetings of stockholders, action of stockholders by written consent, nomination of directors, transfers of capital stock and dividends requires the affirmative vote of at least 66-2/3% of all directors in office at a meeting called for that purpose.</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All other provisions of our amended and restated bylaws may generally be altered, amended, or repealed, and new bylaws may be adopted, with the affirmative vote of holders of 66-2/3 % of the voting power of our outstanding shares of voting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Limitations on Stockholder 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bylaws impose some procedural requirements on stockholders who wish to:</w:t>
      </w:r>
    </w:p>
    <w:p>
      <w:pPr>
        <w:spacing w:after="0" w:line="131"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nominations in the election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propose that a director be removed;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propose any repeal or change in our amended and restated bylaws;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or special meeting of stockholders.</w:t>
      </w:r>
    </w:p>
    <w:p>
      <w:pPr>
        <w:spacing w:after="0" w:line="225"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52" w:lineRule="exact"/>
        <w:rPr>
          <w:sz w:val="20"/>
          <w:szCs w:val="20"/>
          <w:color w:val="auto"/>
        </w:rPr>
      </w:pPr>
    </w:p>
    <w:p>
      <w:pPr>
        <w:ind w:left="5480" w:right="120" w:hanging="4932"/>
        <w:spacing w:after="0" w:line="449" w:lineRule="auto"/>
        <w:tabs>
          <w:tab w:leader="none" w:pos="107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description of the business or nomination to be brought before the meeting and the reasons for conducting such business at the meeting; 201</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material interest of the stockholder in the proposal;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number of shares beneficially owned by the stockholder and evidence of such ownership; and</w:t>
      </w:r>
    </w:p>
    <w:p>
      <w:pPr>
        <w:spacing w:after="0" w:line="130"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be timely, a stockholder must generally deliver notice:</w:t>
      </w:r>
    </w:p>
    <w:p>
      <w:pPr>
        <w:spacing w:after="0" w:line="131" w:lineRule="exact"/>
        <w:rPr>
          <w:sz w:val="20"/>
          <w:szCs w:val="20"/>
          <w:color w:val="auto"/>
        </w:rPr>
      </w:pPr>
    </w:p>
    <w:p>
      <w:pPr>
        <w:ind w:left="1080" w:right="40" w:hanging="532"/>
        <w:spacing w:after="0" w:line="296"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connection with an annual meeting of stockholders, not less than 120 nor more than 150 days prior to the date on which the annual meeting of stockholders was held in the immediately preceding year, but in the event that the date of the annual meeting is more than 30 days before or more than 70 days after the anniversary date of the preceding annual meeting of stockholders, a stockholder notice will be timely if received by us not later than the close of business on the later of (i) not less than 70 nor more than 120 days prior to the date of the annual meeting and (ii) the 10th day following the day on which we first publicly announce the date of the annual meeting; or</w:t>
      </w:r>
    </w:p>
    <w:p>
      <w:pPr>
        <w:spacing w:after="0" w:line="66" w:lineRule="exact"/>
        <w:rPr>
          <w:rFonts w:ascii="Arial" w:cs="Arial" w:eastAsia="Arial" w:hAnsi="Arial"/>
          <w:sz w:val="16"/>
          <w:szCs w:val="16"/>
          <w:color w:val="auto"/>
        </w:rPr>
      </w:pPr>
    </w:p>
    <w:p>
      <w:pPr>
        <w:jc w:val="both"/>
        <w:ind w:left="1080" w:right="180" w:hanging="532"/>
        <w:spacing w:after="0" w:line="263"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connection with the election of a director at a special meeting of stockholders, during the period not less than 120 nor more than 150 days prior to the date of the special meeting, or the 10th day following the day on which a notice of the date of the special meeting was mailed to the stockholders or the public disclosure of that date was made.</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order to submit a nomination for our board of directors, a stockholder must also submit all information with respect to the nominee that would be required to be included in a proxy statement, as well as other information. If a stockholder fails to follow the required procedures, the stockholder’s proposal or nominee will be ineligible and will not be voted on by our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of Directors and Officers</w:t>
      </w:r>
    </w:p>
    <w:p>
      <w:pPr>
        <w:spacing w:after="0" w:line="121"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Our amended and restated certificate of incorporation provides that no director will be personally liable to us or our stockholders for monetary damages for breach of fiduciary duty as a director, except as required by applicable law, as in effect from time to time. 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for:</w:t>
      </w:r>
    </w:p>
    <w:p>
      <w:pPr>
        <w:spacing w:after="0" w:line="63"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act or omission not in good faith or which involved intentional misconduct or a knowing violation of law;</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also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0980"/>
          </w:cols>
          <w:pgMar w:left="320" w:top="459" w:right="59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behalf of us; (ii) any action asserting a claim of breach of fiduciary duty owed by any director, officer, or other employee of our company to us or our stockholders; (iii) any action asserting a claim arising pursuant to any provision of the Delaware General Corporation Law or our amended and restated certificate of incorporation and bylaws; or (iv) any action asserting a claim governed by the internal affairs doctrine. This provision would not apply to claims brought to enforce a duty or liability created by the Securities Exchange Act of 1934, as amended, or any other claim for which the federal courts have exclusive jurisdiction.</w:t>
      </w:r>
    </w:p>
    <w:p>
      <w:pPr>
        <w:spacing w:after="0" w:line="19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any interest in our shares of capital stock shall be deemed to have notice of and consented to the foregoing forum selection provisions.</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amended and restated certificate of incorporation or amended and restated bylaws to be inapplicable or unenforceable in an action, we may incur additional costs associated with resolving such action in other jurisdictions.</w:t>
      </w:r>
    </w:p>
    <w:p>
      <w:pPr>
        <w:spacing w:after="0" w:line="17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choice of forum provisions may limit a stockholder’s ability to bring a claim in a judicial forum that it finds favorable for disputes with the company or our directors, officers or other employees, which may discourage such lawsuits against the company and our directors, officers and other employees and result in increased costs for investors to bring a claim.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Delaware Business Combination Statute</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have elected to be subject to Section 203 of the Delaware General Corporation Law.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71" w:lineRule="exact"/>
        <w:rPr>
          <w:sz w:val="20"/>
          <w:szCs w:val="20"/>
          <w:color w:val="auto"/>
        </w:rPr>
      </w:pPr>
    </w:p>
    <w:p>
      <w:pPr>
        <w:ind w:left="1080" w:right="300" w:hanging="532"/>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board of directors of the corporation had previously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80" w:right="100" w:hanging="532"/>
        <w:spacing w:after="0" w:line="342"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that person owned at least 85% of the voting stock of the corporation outstanding at the time the transaction commenced, other than statutorily excluded shares; or</w:t>
      </w:r>
    </w:p>
    <w:p>
      <w:pPr>
        <w:spacing w:after="0" w:line="29" w:lineRule="exact"/>
        <w:rPr>
          <w:rFonts w:ascii="Arial" w:cs="Arial" w:eastAsia="Arial" w:hAnsi="Arial"/>
          <w:sz w:val="16"/>
          <w:szCs w:val="16"/>
          <w:color w:val="auto"/>
        </w:rPr>
      </w:pPr>
    </w:p>
    <w:p>
      <w:pPr>
        <w:ind w:left="1080" w:right="320" w:hanging="532"/>
        <w:spacing w:after="0" w:line="342"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12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80"/>
          </w:cols>
          <w:pgMar w:left="320" w:top="459" w:right="49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16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that our stockholders may otherwise deem to be in their best interests.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Some Provisions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could make the following more difficult:</w:t>
      </w:r>
    </w:p>
    <w:p>
      <w:pPr>
        <w:spacing w:after="0" w:line="76"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acquisition of control of us by means of a proxy contest, tender offer, or otherwise;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list our common stock on the Nasdaq Global Market under the symbol “NMRA.”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tabs>
          <w:tab w:leader="none" w:pos="5720" w:val="left"/>
          <w:tab w:leader="none" w:pos="9580" w:val="left"/>
        </w:tabs>
        <w:rPr>
          <w:sz w:val="20"/>
          <w:szCs w:val="20"/>
          <w:color w:val="auto"/>
        </w:rPr>
      </w:pPr>
      <w:r>
        <w:rPr>
          <w:rFonts w:ascii="Arial" w:cs="Arial" w:eastAsia="Arial" w:hAnsi="Arial"/>
          <w:sz w:val="18"/>
          <w:szCs w:val="18"/>
          <w:color w:val="auto"/>
        </w:rPr>
        <w:t>The transfer agent and registrar for the common stock will be</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77"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89" w:lineRule="exact"/>
        <w:rPr>
          <w:sz w:val="20"/>
          <w:szCs w:val="20"/>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As described in the section 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the subsection titled “—Sale or Other Taxable Disposition.”</w:t>
      </w:r>
    </w:p>
    <w:p>
      <w:pPr>
        <w:spacing w:after="0" w:line="19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19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Any such effectively connected dividends will be subject to U.S. federal income tax on a net income basis at the regular rates applicable to U.S. persons. A Non-U.S. Holder that is a corporation also may be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76" w:lineRule="exact"/>
        <w:rPr>
          <w:sz w:val="20"/>
          <w:szCs w:val="20"/>
          <w:color w:val="auto"/>
        </w:rPr>
      </w:pPr>
    </w:p>
    <w:p>
      <w:pPr>
        <w:ind w:left="1080" w:right="40" w:hanging="532"/>
        <w:spacing w:after="0" w:line="263"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9"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70" w:lineRule="exact"/>
        <w:rPr>
          <w:sz w:val="20"/>
          <w:szCs w:val="20"/>
          <w:color w:val="auto"/>
        </w:rPr>
      </w:pPr>
    </w:p>
    <w:p>
      <w:pPr>
        <w:ind w:left="120" w:right="460" w:firstLine="440"/>
        <w:spacing w:after="0" w:line="286"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65"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certain U.S.-source capital losses of the Non-U.S. Holder (even though the individual is not considered a resident of the United States), provided the Non-U.S. Holder has timely filed U.S. federal income tax returns with respect to such losses.</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that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w:t>
      </w:r>
    </w:p>
    <w:p>
      <w:pPr>
        <w:spacing w:after="0" w:line="1" w:lineRule="exact"/>
        <w:rPr>
          <w:sz w:val="20"/>
          <w:szCs w:val="20"/>
          <w:color w:val="auto"/>
        </w:rPr>
      </w:pPr>
    </w:p>
    <w:p>
      <w:pPr>
        <w:ind w:left="120" w:right="120" w:hanging="4"/>
        <w:spacing w:after="0" w:line="268" w:lineRule="auto"/>
        <w:tabs>
          <w:tab w:leader="none" w:pos="33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3"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Under applicable Treasury Regulations and administrative guidance, withholding under FATCA generally applies to payments of dividends on our common stock. While withholding under FATCA would have applied also to payments of gross proceeds from the sale or other disposition of our common stock beginning on January 1, 2019, proposed Treasury Regulations eliminate FATCA withholding on payments of gross proceeds entirely. Taxpayers generally may rely on these proposed Treasury Regulations until final Treasury Regulations are issued.</w:t>
      </w:r>
    </w:p>
    <w:p>
      <w:pPr>
        <w:spacing w:after="0" w:line="17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Based on the number of shares of our common stock outstanding as of September 30, 2021, upon completion of this offering, we will have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of common stock outstanding, assuming no exercise of the underwriters’ option to purchase additional shares and no exercise of any options after</w:t>
      </w:r>
    </w:p>
    <w:p>
      <w:pPr>
        <w:spacing w:after="0" w:line="32"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September 30, 2021. Of these shares, , or shares of our common stock if the underwriters exercise their option to purchase additional shares in full, sold in this offering will be freely transferable without restriction or registration under the Securities Act, except for any shares purchased by one of</w:t>
      </w:r>
    </w:p>
    <w:p>
      <w:pPr>
        <w:spacing w:after="0" w:line="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our existing “affiliates,” as that term is defined in Rule 144 under the Securities Act. The remaining shares of common stock outstanding will bear “restricted shares” as defined in Rule 144. Restricted shares and the shares of common stock into which such securities are convertible may be sold in the public market only if registered or if they qualify for an exemption from registration under Rules 144 or 701 of the Securities Act, which rules are summarized below. As a result of the contractual lock-up period ending 180 days after the date of this prospectus described below and the provisions of Rules 144 and 701, these shares will be available for sale in the public market as follows: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Number of Shares</w:t>
            </w:r>
          </w:p>
        </w:tc>
        <w:tc>
          <w:tcPr>
            <w:tcW w:w="4720" w:type="dxa"/>
            <w:vAlign w:val="bottom"/>
          </w:tcPr>
          <w:p>
            <w:pPr>
              <w:spacing w:after="0"/>
              <w:rPr>
                <w:sz w:val="15"/>
                <w:szCs w:val="15"/>
                <w:color w:val="auto"/>
              </w:rPr>
            </w:pPr>
          </w:p>
        </w:tc>
        <w:tc>
          <w:tcPr>
            <w:tcW w:w="518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Date</w:t>
            </w:r>
          </w:p>
        </w:tc>
      </w:tr>
      <w:tr>
        <w:trPr>
          <w:trHeight w:val="202"/>
        </w:trPr>
        <w:tc>
          <w:tcPr>
            <w:tcW w:w="11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w w:val="90"/>
              </w:rPr>
              <w:t>After 180 days from the date of this prospectus (subject, in some cases,</w:t>
            </w:r>
          </w:p>
        </w:tc>
      </w:tr>
      <w:tr>
        <w:trPr>
          <w:trHeight w:val="230"/>
        </w:trPr>
        <w:tc>
          <w:tcPr>
            <w:tcW w:w="1120" w:type="dxa"/>
            <w:vAlign w:val="bottom"/>
          </w:tcPr>
          <w:p>
            <w:pPr>
              <w:spacing w:after="0"/>
              <w:rPr>
                <w:sz w:val="20"/>
                <w:szCs w:val="20"/>
                <w:color w:val="auto"/>
              </w:rPr>
            </w:pPr>
          </w:p>
        </w:tc>
        <w:tc>
          <w:tcPr>
            <w:tcW w:w="9900" w:type="dxa"/>
            <w:vAlign w:val="bottom"/>
            <w:gridSpan w:val="2"/>
          </w:tcPr>
          <w:p>
            <w:pPr>
              <w:ind w:left="4720"/>
              <w:spacing w:after="0"/>
              <w:rPr>
                <w:sz w:val="20"/>
                <w:szCs w:val="20"/>
                <w:color w:val="auto"/>
              </w:rPr>
            </w:pPr>
            <w:r>
              <w:rPr>
                <w:rFonts w:ascii="Arial" w:cs="Arial" w:eastAsia="Arial" w:hAnsi="Arial"/>
                <w:sz w:val="18"/>
                <w:szCs w:val="18"/>
                <w:color w:val="auto"/>
              </w:rPr>
              <w:t>to volume limitations)</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140"/>
          </w:cols>
          <w:pgMar w:left="320" w:top="459" w:right="439" w:bottom="1440" w:gutter="0" w:footer="0" w:header="0"/>
        </w:sectPr>
      </w:pPr>
    </w:p>
    <w:p>
      <w:pPr>
        <w:spacing w:after="0" w:line="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shares of our common stock then outstanding, which will equal approximately offering, assuming no exercise of the underwriters’ option to purchase additional shares; or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369" w:lineRule="exact"/>
        <w:rPr>
          <w:sz w:val="20"/>
          <w:szCs w:val="20"/>
          <w:color w:val="auto"/>
        </w:rPr>
      </w:pPr>
    </w:p>
    <w:p>
      <w:pPr>
        <w:sectPr>
          <w:pgSz w:w="11900" w:h="16838" w:orient="portrait"/>
          <w:cols w:equalWidth="0" w:num="3">
            <w:col w:w="620" w:space="460"/>
            <w:col w:w="7180" w:space="460"/>
            <w:col w:w="2420"/>
          </w:cols>
          <w:pgMar w:left="320" w:top="459" w:right="439" w:bottom="1440" w:gutter="0" w:footer="0" w:header="0"/>
          <w:type w:val="continuous"/>
        </w:sectPr>
      </w:pPr>
    </w:p>
    <w:p>
      <w:pPr>
        <w:ind w:left="1080" w:right="60" w:hanging="532"/>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average weekly trading volume of shares of our common stock on the Nasdaq Global Market during the four calendar weeks preceding the filing of a notice on Form 144 with respect to the sale;</w:t>
      </w:r>
    </w:p>
    <w:p>
      <w:pPr>
        <w:spacing w:after="0" w:line="170"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40"/>
          </w:cols>
          <w:pgMar w:left="320" w:top="459" w:right="439" w:bottom="1440" w:gutter="0" w:footer="0" w:header="0"/>
          <w:type w:val="continuous"/>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which this prospectus is a part (to the extent such common stock is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In connection with this offering, we, our directors, our executive officers and holders of substantially all of our other outstanding shares of common stock or securities convertible into or exchangeable for shares of our common stock outstanding upon the completion of this offering, have entered into or will enter into lock-up agreements with the underwriters, subject to certain exceptions more fully described under the section titled “Underwriting,” not to, among other things and subject to certain exceptions, dispose of or hedge any of their common stock or securities convertible into or exchangeable for shares of common stock during the period from the date of this prospectus continuing through the date 180 days after the date of this prospectus, except with the prior consent of J.P. Morgan Securities LLC, BofA Securities, Inc. and Credit Suisse (USA) Securities LLC. See the section titled “Underwriting” for additional information.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60"/>
        <w:spacing w:after="0"/>
        <w:tabs>
          <w:tab w:leader="none" w:pos="5980" w:val="left"/>
        </w:tabs>
        <w:rPr>
          <w:sz w:val="20"/>
          <w:szCs w:val="20"/>
          <w:color w:val="auto"/>
        </w:rPr>
      </w:pPr>
      <w:r>
        <w:rPr>
          <w:rFonts w:ascii="Arial" w:cs="Arial" w:eastAsia="Arial" w:hAnsi="Arial"/>
          <w:sz w:val="18"/>
          <w:szCs w:val="18"/>
          <w:color w:val="auto"/>
        </w:rPr>
        <w:t>Upon the completion of this offering, the holders of approximately</w:t>
      </w:r>
      <w:r>
        <w:rPr>
          <w:sz w:val="20"/>
          <w:szCs w:val="20"/>
          <w:color w:val="auto"/>
        </w:rPr>
        <w:tab/>
      </w:r>
      <w:r>
        <w:rPr>
          <w:rFonts w:ascii="Arial" w:cs="Arial" w:eastAsia="Arial" w:hAnsi="Arial"/>
          <w:sz w:val="16"/>
          <w:szCs w:val="16"/>
          <w:color w:val="auto"/>
        </w:rPr>
        <w:t>shares of our common stock will be entitled to rights with respect to</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except for shares purchased by affiliates, immediately upon the effectiveness of the registration statement of which this prospectus is a part. Any sales of securities by these stockholders could have a material adverse effect on the trading price of our common stock. The requisite percentage of these stockholders will waive all such stockholders’ rights to notice of this offering and to include their shares of registrable securities in this offering. See the section titled “Description of Capital Stock—Registration Rights.”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intend to file with the SEC a registration statement on Form S-8 under the Securities Act covering the shares of common stock reserved for issuance under the 2015 Plan, the 2020 Plan, the 2022 Plan and the ESPP. Such registration statement is expected to be filed and become effective as soon as practicable after the completion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are offering the shares of common stock described in this prospectus through a number of underwriters. J.P. Morgan Securities LLC, BofA Securities, Inc. and Credit Suisse Securities (USA) LLC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0220" w:type="dxa"/>
            <w:vAlign w:val="bottom"/>
          </w:tcPr>
          <w:p>
            <w:pPr>
              <w:jc w:val="center"/>
              <w:ind w:left="948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10220" w:type="dxa"/>
            <w:vAlign w:val="bottom"/>
          </w:tcPr>
          <w:p>
            <w:pPr>
              <w:jc w:val="center"/>
              <w:ind w:left="9488"/>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5715</wp:posOffset>
            </wp:positionV>
            <wp:extent cx="8743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14605</wp:posOffset>
            </wp:positionV>
            <wp:extent cx="87439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31750</wp:posOffset>
            </wp:positionV>
            <wp:extent cx="8743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5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underwriters propose to offer the common stock directly to the public at the initial public offering price set forth on the cover page of this</w:t>
      </w:r>
    </w:p>
    <w:p>
      <w:pPr>
        <w:spacing w:after="0" w:line="35" w:lineRule="exact"/>
        <w:rPr>
          <w:sz w:val="20"/>
          <w:szCs w:val="20"/>
          <w:color w:val="auto"/>
        </w:rPr>
      </w:pPr>
    </w:p>
    <w:p>
      <w:pPr>
        <w:jc w:val="both"/>
        <w:ind w:left="120" w:right="220"/>
        <w:spacing w:after="0" w:line="255" w:lineRule="auto"/>
        <w:rPr>
          <w:sz w:val="20"/>
          <w:szCs w:val="20"/>
          <w:color w:val="auto"/>
        </w:rPr>
      </w:pPr>
      <w:r>
        <w:rPr>
          <w:rFonts w:ascii="Arial" w:cs="Arial" w:eastAsia="Arial" w:hAnsi="Arial"/>
          <w:sz w:val="18"/>
          <w:szCs w:val="18"/>
          <w:color w:val="auto"/>
        </w:rPr>
        <w:t>prospectus and to certain dealers at that price less a concession not in excess of $ per share. After the initial offering of the shares to the public, if all of the shares of common stock are not sold at the initial public offering price, the underwriters may change the offering price and the other selling terms. Sales of any shares made outside of the United States may be made by affiliates of the underwriters.</w:t>
      </w:r>
    </w:p>
    <w:p>
      <w:pPr>
        <w:spacing w:after="0" w:line="19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w:t>
      </w:r>
    </w:p>
    <w:p>
      <w:pPr>
        <w:spacing w:after="0" w:line="46" w:lineRule="exact"/>
        <w:rPr>
          <w:sz w:val="20"/>
          <w:szCs w:val="20"/>
          <w:color w:val="auto"/>
        </w:rPr>
      </w:pPr>
    </w:p>
    <w:p>
      <w:pPr>
        <w:ind w:left="120" w:right="200"/>
        <w:spacing w:after="0" w:line="290" w:lineRule="auto"/>
        <w:rPr>
          <w:sz w:val="20"/>
          <w:szCs w:val="20"/>
          <w:color w:val="auto"/>
        </w:rPr>
      </w:pPr>
      <w:r>
        <w:rPr>
          <w:rFonts w:ascii="Arial" w:cs="Arial" w:eastAsia="Arial" w:hAnsi="Arial"/>
          <w:sz w:val="17"/>
          <w:szCs w:val="17"/>
          <w:color w:val="auto"/>
        </w:rPr>
        <w:t>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Without Option</w:t>
            </w:r>
          </w:p>
        </w:tc>
        <w:tc>
          <w:tcPr>
            <w:tcW w:w="26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With Full Option</w:t>
            </w:r>
          </w:p>
        </w:tc>
      </w:tr>
      <w:tr>
        <w:trPr>
          <w:trHeight w:val="149"/>
        </w:trPr>
        <w:tc>
          <w:tcPr>
            <w:tcW w:w="44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Purchase</w:t>
            </w:r>
          </w:p>
        </w:tc>
        <w:tc>
          <w:tcPr>
            <w:tcW w:w="26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 Purchase</w:t>
            </w:r>
          </w:p>
        </w:tc>
      </w:tr>
      <w:tr>
        <w:trPr>
          <w:trHeight w:val="148"/>
        </w:trPr>
        <w:tc>
          <w:tcPr>
            <w:tcW w:w="44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Additional</w:t>
            </w:r>
          </w:p>
        </w:tc>
      </w:tr>
      <w:tr>
        <w:trPr>
          <w:trHeight w:val="171"/>
        </w:trPr>
        <w:tc>
          <w:tcPr>
            <w:tcW w:w="4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Shares Exercise</w:t>
            </w:r>
          </w:p>
        </w:tc>
        <w:tc>
          <w:tcPr>
            <w:tcW w:w="260" w:type="dxa"/>
            <w:vAlign w:val="bottom"/>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Shares Exercise</w:t>
            </w: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37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4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44"/>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5000" w:type="dxa"/>
            <w:vAlign w:val="bottom"/>
            <w:gridSpan w:val="2"/>
          </w:tcPr>
          <w:p>
            <w:pPr>
              <w:jc w:val="right"/>
              <w:ind w:right="1044"/>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4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 excluding the underwriting discounts and commissions, will be approximately $ . We have agreed to reimburse the underwriters for expenses relating to the clearance of this offering with the Financial Industry Regulatory Authority, Inc. in an amount up to $ .</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have agreed that we will not, subject to certain exceptions, (i) offer, pledge,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common stock or any securities convertible into or exercisable or exchangeable for any shares of our common stock, or publicly disclose the intention to undertake any of the foregoing, or (ii) enter into any swap, hedging, or other agreement that transfers, in whole or in part, any of the economic consequences of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BofA Securities, Inc. and Credit Suisse Securities (USA) LLC for a period of 180 days after the date of this prospectus, other than the shares of our common stock to be sold in this offering.</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date of this offering and described in this prospectus, provided that such recipients enter into a lock-up agreement with the underwriters; (iii) the issuance of up to 10% of the outstanding shares of common stock, or securities convertible into, exercisable for, or which are otherwise exchangeable for, common stock, immediately following the closing date of this offering, in acquisitions or other similar strategic transactions, provided that such recipients enter into a lock-up agreement with the underwriters; or (iv) the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w:t>
      </w:r>
    </w:p>
    <w:p>
      <w:pPr>
        <w:spacing w:after="0" w:line="16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Our directors and executive officers, and substantially all of our securityholders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BofA Securities, Inc. and Credit Suisse Securities (USA)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our common stock or such other securities which may be deemed to be beneficially owned by the lock-up party in accordance with the rules and regulations of the Securities and Exchange Commission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the lock-up securities, in cash or otherwise, (iii) make any demand for or exercise any right with respect to the registration of any the lock up securities, or (iv) publicly disclose the intention to do any of the foregoing.</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Such persons or entities have further acknowledged that these undertakings preclude them from engaging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Such persons or entities further confirm that they have furnished the representatives with the details of any transaction such persons or entities, or any of their respective affiliates, is a party to as of the date hereof, which transaction would have been restricted by the lock-up agreements if it had been entered into by such persons or entities during the restricted period.</w:t>
      </w:r>
    </w:p>
    <w:p>
      <w:pPr>
        <w:spacing w:after="0" w:line="16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distribution, disposition or surrender of lock-up securities: (i) as bona fide gifts, or for bona fide estate planning purposes, (ii) by will, testamentary document or intestacy, (iii) to any trust for the direct or indirect benefit of the lock-up party or any immediate family member, (iv) to a corporation,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partners, members or stockholders of the lock-up party; (vii) by operation of law, (viii) to us from an employee upon death, disability or termination of employment of such employee, (ix) as part of a sale of lock-up securities acquired in this offering or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convertible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Section 16 of the Exchange Act, provided that such plan does not provide for the transfer of lock-up securities during the restricted period.</w:t>
      </w:r>
    </w:p>
    <w:p>
      <w:pPr>
        <w:spacing w:after="0" w:line="39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J.P. Morgan Securities LLC, BofA Securities, Inc. and Credit Suisse Securities (USA) LLC, in their sole discretion, may release the securities subject to any of the lock-up agreements with the underwriters described above, in whole or in part at any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list our common stock on the Nasdaq Global Market under the symbol “NMRA.”</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w:t>
      </w:r>
    </w:p>
    <w:p>
      <w:pPr>
        <w:spacing w:after="0" w:line="16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78"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9"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shares of our common stock, or that the shares will trade in the public market at or above the initial public offering price.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60"/>
          </w:cols>
          <w:pgMar w:left="320" w:top="459" w:right="51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63"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89" w:lineRule="exact"/>
        <w:rPr>
          <w:sz w:val="20"/>
          <w:szCs w:val="20"/>
          <w:color w:val="auto"/>
        </w:rPr>
      </w:pPr>
    </w:p>
    <w:p>
      <w:pPr>
        <w:ind w:left="5480" w:right="2260" w:hanging="4932"/>
        <w:spacing w:after="0" w:line="449" w:lineRule="auto"/>
        <w:tabs>
          <w:tab w:leader="none" w:pos="107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 215</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line="293"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any other circumstances falling within Section 86 of the FSMA, 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9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53" w:lineRule="exact"/>
        <w:rPr>
          <w:rFonts w:ascii="Arial" w:cs="Arial" w:eastAsia="Arial" w:hAnsi="Arial"/>
          <w:sz w:val="16"/>
          <w:szCs w:val="16"/>
          <w:color w:val="auto"/>
        </w:rPr>
      </w:pPr>
    </w:p>
    <w:p>
      <w:pPr>
        <w:jc w:val="both"/>
        <w:ind w:left="1080" w:right="40" w:hanging="532"/>
        <w:spacing w:after="0" w:line="263"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(i) to “professional investors” as defined in the Securities and Futures Ordinance (Cap. 571 of the Laws of Hong Kong) (the SFO) of Hong Kong and any rules made thereunder; or (ii)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67" w:lineRule="exact"/>
        <w:rPr>
          <w:sz w:val="20"/>
          <w:szCs w:val="20"/>
          <w:color w:val="auto"/>
        </w:rPr>
      </w:pPr>
    </w:p>
    <w:p>
      <w:pPr>
        <w:ind w:left="108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80" w:right="100" w:hanging="532"/>
        <w:spacing w:after="0" w:line="308" w:lineRule="auto"/>
        <w:tabs>
          <w:tab w:leader="none" w:pos="1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9"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16" w:lineRule="exact"/>
        <w:rPr>
          <w:rFonts w:ascii="Arial" w:cs="Arial" w:eastAsia="Arial" w:hAnsi="Arial"/>
          <w:sz w:val="16"/>
          <w:szCs w:val="16"/>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Singapore SFA Product Classification—In connection with Section 309B of the SFA and the CMP Regulations 2018, unless otherwise specified before an offer of the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17"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us or on our behalf.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No prospectus or other offering material or document in connection with the offer and sale of the shares has been or will be registered with the Securities Commission of Malaysia (the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Taiwan. No person or entity in Taiwan has been authorized to offer, sell, give advice regarding or otherwise intermediate the offering and sale of the shares in Taiwan.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222" w:lineRule="exact"/>
        <w:rPr>
          <w:sz w:val="20"/>
          <w:szCs w:val="20"/>
          <w:color w:val="auto"/>
        </w:rPr>
      </w:pPr>
    </w:p>
    <w:p>
      <w:pPr>
        <w:ind w:left="120"/>
        <w:spacing w:after="0"/>
        <w:tabs>
          <w:tab w:leader="none" w:pos="2300" w:val="left"/>
        </w:tabs>
        <w:rPr>
          <w:sz w:val="20"/>
          <w:szCs w:val="20"/>
          <w:color w:val="auto"/>
        </w:rPr>
      </w:pPr>
      <w:r>
        <w:rPr>
          <w:rFonts w:ascii="Arial" w:cs="Arial" w:eastAsia="Arial" w:hAnsi="Arial"/>
          <w:sz w:val="18"/>
          <w:szCs w:val="18"/>
          <w:color w:val="auto"/>
        </w:rPr>
        <w:t>Section 96 (1)(a)</w:t>
      </w:r>
      <w:r>
        <w:rPr>
          <w:sz w:val="20"/>
          <w:szCs w:val="20"/>
          <w:color w:val="auto"/>
        </w:rPr>
        <w:tab/>
      </w:r>
      <w:r>
        <w:rPr>
          <w:rFonts w:ascii="Arial" w:cs="Arial" w:eastAsia="Arial" w:hAnsi="Arial"/>
          <w:sz w:val="16"/>
          <w:szCs w:val="16"/>
          <w:color w:val="auto"/>
        </w:rPr>
        <w:t>the offer, transfer, sale, renunciation or delivery is to:</w:t>
      </w:r>
    </w:p>
    <w:p>
      <w:pPr>
        <w:spacing w:after="0" w:line="131"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ectPr>
          <w:pgSz w:w="11900" w:h="16838" w:orient="portrait"/>
          <w:cols w:equalWidth="0" w:num="1">
            <w:col w:w="11100"/>
          </w:cols>
          <w:pgMar w:left="320" w:top="459" w:right="47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96 (1)(b)</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84" w:lineRule="exact"/>
        <w:rPr>
          <w:sz w:val="20"/>
          <w:szCs w:val="20"/>
          <w:color w:val="auto"/>
        </w:rPr>
      </w:pPr>
    </w:p>
    <w:p>
      <w:pPr>
        <w:sectPr>
          <w:pgSz w:w="11900" w:h="16838" w:orient="portrait"/>
          <w:cols w:equalWidth="0" w:num="2">
            <w:col w:w="1600" w:space="720"/>
            <w:col w:w="8780"/>
          </w:cols>
          <w:pgMar w:left="320" w:top="459" w:right="479" w:bottom="1440" w:gutter="0" w:footer="0" w:header="0"/>
          <w:type w:val="continuous"/>
        </w:sectPr>
      </w:pPr>
    </w:p>
    <w:p>
      <w:pPr>
        <w:ind w:left="120" w:right="540" w:firstLine="440"/>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00"/>
          </w:cols>
          <w:pgMar w:left="320" w:top="459" w:right="479" w:bottom="1440" w:gutter="0" w:footer="0" w:header="0"/>
          <w:type w:val="continuous"/>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validity of the issuance of the shares of common stock offered hereby will be passed upon for Neumora Therapeutics, Inc. by Latham &amp; Watkins LLP, Menlo Park, California. Cooley LLP, San Diego, California, is representing the underwriters. Certain attorneys of Latham &amp; Watkins LLP collectively own shares of our common stock representing in the aggregate less than 1% of the outstanding shares of our common stock, on an as converted basis.</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as of December 31, 2019 and 2020, and for the period from November 22, 2019 (inception) to December 31, 2019 and the year ended December 31, 2020,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hereby. This prospectus does not contain all of the information set forth in the registration statement and the exhibits and schedules thereto. For further information with respect to the company and our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 website at www.sec.gov, from which interested persons can electronically access the registration statement, including the exhibits and any schedules thereto.</w:t>
      </w:r>
    </w:p>
    <w:p>
      <w:pPr>
        <w:spacing w:after="0" w:line="16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As a result of the offering, we will be required to file periodic reports and other information with the SEC. We also maintain a website at www.neumoratx.com, at which, following this offering, you may access these materials free of charge as soon as reasonably practicable after they are electronically filed with or furnished to the SEC. Our website and the information contained therein or connected thereto shall not be deemed to be incorporated into this prospectus or the registration statement of which it forms a part. We have included our website address as an inactive textual reference only.</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080"/>
          </w:cols>
          <w:pgMar w:left="320" w:top="459" w:right="49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60" w:type="dxa"/>
            <w:vAlign w:val="bottom"/>
            <w:gridSpan w:val="13"/>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4220" w:type="dxa"/>
            <w:vAlign w:val="bottom"/>
            <w:tcBorders>
              <w:bottom w:val="single" w:sz="8" w:color="0000EE"/>
            </w:tcBorders>
            <w:gridSpan w:val="6"/>
          </w:tcPr>
          <w:p>
            <w:pPr>
              <w:spacing w:after="0" w:line="190" w:lineRule="exact"/>
              <w:rPr>
                <w:sz w:val="20"/>
                <w:szCs w:val="20"/>
                <w:color w:val="auto"/>
              </w:rPr>
            </w:pPr>
            <w:r>
              <w:rPr>
                <w:rFonts w:ascii="Arial" w:cs="Arial" w:eastAsia="Arial" w:hAnsi="Arial"/>
                <w:sz w:val="18"/>
                <w:szCs w:val="18"/>
                <w:color w:val="0000EE"/>
                <w:w w:val="91"/>
              </w:rPr>
              <w:t>Report of Independent Registered Public Accounting Firm</w:t>
            </w:r>
          </w:p>
        </w:tc>
        <w:tc>
          <w:tcPr>
            <w:tcW w:w="5980" w:type="dxa"/>
            <w:vAlign w:val="bottom"/>
            <w:gridSpan w:val="6"/>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Arial" w:cs="Arial" w:eastAsia="Arial" w:hAnsi="Arial"/>
                <w:sz w:val="18"/>
                <w:szCs w:val="18"/>
                <w:color w:val="0000EE"/>
              </w:rPr>
              <w:t>Consolidated Balance Sheets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6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Consolidated Statements of Operations and Comprehensive Loss</w:t>
            </w:r>
          </w:p>
        </w:tc>
        <w:tc>
          <w:tcPr>
            <w:tcW w:w="55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9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Consolidated Statements of Convertible Preferred Stock and Stockholders’ Deficit</w:t>
            </w:r>
          </w:p>
        </w:tc>
        <w:tc>
          <w:tcPr>
            <w:tcW w:w="42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Arial" w:cs="Arial" w:eastAsia="Arial" w:hAnsi="Arial"/>
                <w:sz w:val="18"/>
                <w:szCs w:val="18"/>
                <w:color w:val="0000EE"/>
              </w:rPr>
              <w:t>Consolidated Statements of Cash Flows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0560" w:type="dxa"/>
            <w:vAlign w:val="bottom"/>
            <w:gridSpan w:val="13"/>
          </w:tcPr>
          <w:p>
            <w:pPr>
              <w:spacing w:after="0"/>
              <w:rPr>
                <w:sz w:val="20"/>
                <w:szCs w:val="20"/>
                <w:color w:val="auto"/>
              </w:rPr>
            </w:pPr>
            <w:r>
              <w:rPr>
                <w:rFonts w:ascii="Arial" w:cs="Arial" w:eastAsia="Arial" w:hAnsi="Arial"/>
                <w:sz w:val="18"/>
                <w:szCs w:val="18"/>
                <w:b w:val="1"/>
                <w:bCs w:val="1"/>
                <w:color w:val="auto"/>
                <w:w w:val="93"/>
              </w:rPr>
              <w:t>Unaudited Interim Condensed Consolidated Financial Statements as of December 31, 2020 and September 30, 2021 and for the Nine</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60" w:type="dxa"/>
            <w:vAlign w:val="bottom"/>
            <w:gridSpan w:val="13"/>
          </w:tcPr>
          <w:p>
            <w:pPr>
              <w:ind w:left="180"/>
              <w:spacing w:after="0"/>
              <w:rPr>
                <w:sz w:val="20"/>
                <w:szCs w:val="20"/>
                <w:color w:val="auto"/>
              </w:rPr>
            </w:pPr>
            <w:r>
              <w:rPr>
                <w:rFonts w:ascii="Arial" w:cs="Arial" w:eastAsia="Arial" w:hAnsi="Arial"/>
                <w:sz w:val="18"/>
                <w:szCs w:val="18"/>
                <w:b w:val="1"/>
                <w:bCs w:val="1"/>
                <w:color w:val="auto"/>
              </w:rPr>
              <w:t>Months Ended September 30, 2020 and 2021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00" w:type="dxa"/>
            <w:vAlign w:val="bottom"/>
            <w:gridSpan w:val="12"/>
          </w:tcPr>
          <w:p>
            <w:pPr>
              <w:spacing w:after="0" w:line="190" w:lineRule="exact"/>
              <w:rPr>
                <w:sz w:val="20"/>
                <w:szCs w:val="20"/>
                <w:color w:val="auto"/>
              </w:rPr>
            </w:pPr>
            <w:r>
              <w:rPr>
                <w:rFonts w:ascii="Arial" w:cs="Arial" w:eastAsia="Arial" w:hAnsi="Arial"/>
                <w:sz w:val="18"/>
                <w:szCs w:val="18"/>
                <w:color w:val="0000EE"/>
              </w:rPr>
              <w:t>Condensed Consolidated Balance Sheets</w:t>
            </w: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5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 and Comprehensive Loss</w:t>
            </w:r>
          </w:p>
        </w:tc>
        <w:tc>
          <w:tcPr>
            <w:tcW w:w="46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Arial" w:cs="Arial" w:eastAsia="Arial" w:hAnsi="Arial"/>
                <w:sz w:val="18"/>
                <w:szCs w:val="18"/>
                <w:color w:val="0000EE"/>
              </w:rPr>
              <w:t>Condensed Consolidated Statements of Convertible Preferred Stock and Stockholders’ Deficit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76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Condensed Consolidated Statements of Cash Flows</w:t>
            </w:r>
          </w:p>
        </w:tc>
        <w:tc>
          <w:tcPr>
            <w:tcW w:w="34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3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Notes to Unaudited Interim Condensed Consolidated Financial Statements</w:t>
            </w:r>
          </w:p>
        </w:tc>
        <w:tc>
          <w:tcPr>
            <w:tcW w:w="48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F-47</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20" w:type="dxa"/>
            <w:vAlign w:val="bottom"/>
            <w:gridSpan w:val="5"/>
          </w:tcPr>
          <w:p>
            <w:pPr>
              <w:ind w:left="34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Neumora Therapeutics, Inc.</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have audited the accompanying consolidated balance sheets of Neumora Therapeutics, Inc. (the Company) as of December 31, 2019 and 2020, the related statements of operations and comprehensive loss, statements of convertible preferred stock and stockholders’ deficit, and cash flows for the period from November 22, 2019 (inception) to December 31, 2019 and for the year ended December 31, 2020, and the related notes (collectively referred to as the “consolidated financial statements”). In our opinion, the consolidated financial statements present fairly, in all material respects, the financial position of the Company at December 31, 2019 and 2020, and the results of its operations and its cash flows for the period from November 22, 2019 (inception) to December 31, 2019 and the year ended December 31, 2020 in conformity with U.S. generally accepted accounting principles.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November 8,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par values)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9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191,977</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1,739</w:t>
            </w: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193,841</w:t>
            </w:r>
          </w:p>
        </w:tc>
        <w:tc>
          <w:tcPr>
            <w:tcW w:w="12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1,933</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1,989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197,946</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2,398</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5,596</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current portion</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Convertible preferred stock warrant liability</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r>
      <w:tr>
        <w:trPr>
          <w:trHeight w:val="27"/>
        </w:trPr>
        <w:tc>
          <w:tcPr>
            <w:tcW w:w="8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9,370</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1,281</w:t>
            </w:r>
          </w:p>
        </w:tc>
      </w:tr>
      <w:tr>
        <w:trPr>
          <w:trHeight w:val="27"/>
        </w:trPr>
        <w:tc>
          <w:tcPr>
            <w:tcW w:w="8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10,651</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Convertible preferred stock, $0.0001 par value; no shares and 340,000 shares authorized as of December 31, 2019</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and 2020, respectively; no shares issued and outstanding as of December 31, 2019; 294,876 shares issued and</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outstanding as of December 31, 2020; aggregate liquidation preference of $294,876 as of December 31, 2020</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281,679</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Stockholders’ deficit: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$0.0001 par value; 300,000 and 660,000 shares authorized as of December 31, 2019 and 2020,</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respectively; no shares issued and outstanding as of December 31, 2019; 240,152 shares issued and outstanding</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December 31, 2020</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4,896</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(99,293)</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(94,384)</w:t>
            </w:r>
          </w:p>
        </w:tc>
        <w:tc>
          <w:tcPr>
            <w:tcW w:w="120" w:type="dxa"/>
            <w:vAlign w:val="bottom"/>
          </w:tcPr>
          <w:p>
            <w:pPr>
              <w:spacing w:after="0"/>
              <w:rPr>
                <w:sz w:val="20"/>
                <w:szCs w:val="20"/>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197,946</w:t>
            </w:r>
          </w:p>
        </w:tc>
      </w:tr>
      <w:tr>
        <w:trPr>
          <w:trHeight w:val="20"/>
        </w:trPr>
        <w:tc>
          <w:tcPr>
            <w:tcW w:w="8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Period from</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November 22,</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9"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c>
          <w:tcPr>
            <w:tcW w:w="3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17,614</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69,512</w:t>
            </w: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8,392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95,518</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(95,518)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Loss from change in fair value of convertible promissory notes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668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18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(99,272)</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101,992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4780" w:type="dxa"/>
            <w:vAlign w:val="bottom"/>
          </w:tcPr>
          <w:p>
            <w:pPr>
              <w:spacing w:after="0"/>
              <w:rPr>
                <w:sz w:val="2"/>
                <w:szCs w:val="2"/>
                <w:color w:val="auto"/>
              </w:rPr>
            </w:pPr>
          </w:p>
        </w:tc>
        <w:tc>
          <w:tcPr>
            <w:tcW w:w="138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Convertible</w:t>
            </w:r>
          </w:p>
        </w:tc>
        <w:tc>
          <w:tcPr>
            <w:tcW w:w="2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12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5"/>
              </w:rPr>
              <w:t>Common Stock</w:t>
            </w: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
                <w:szCs w:val="2"/>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4780" w:type="dxa"/>
            <w:vAlign w:val="bottom"/>
          </w:tcPr>
          <w:p>
            <w:pPr>
              <w:spacing w:after="0"/>
              <w:rPr>
                <w:sz w:val="11"/>
                <w:szCs w:val="11"/>
                <w:color w:val="auto"/>
              </w:rPr>
            </w:pPr>
          </w:p>
        </w:tc>
        <w:tc>
          <w:tcPr>
            <w:tcW w:w="138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3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7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96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November 22, 2019 (inception)</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2019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478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254,709</w:t>
            </w:r>
          </w:p>
        </w:tc>
        <w:tc>
          <w:tcPr>
            <w:tcW w:w="360" w:type="dxa"/>
            <w:vAlign w:val="bottom"/>
          </w:tcPr>
          <w:p>
            <w:pPr>
              <w:spacing w:after="0"/>
              <w:rPr>
                <w:sz w:val="12"/>
                <w:szCs w:val="12"/>
                <w:color w:val="auto"/>
              </w:rPr>
            </w:pPr>
          </w:p>
        </w:tc>
        <w:tc>
          <w:tcPr>
            <w:tcW w:w="4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3,175</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3,190</w:t>
            </w: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third-party service agreements</w:t>
            </w:r>
          </w:p>
        </w:tc>
        <w:tc>
          <w:tcPr>
            <w:tcW w:w="7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2,100</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780" w:type="dxa"/>
            <w:vAlign w:val="bottom"/>
          </w:tcPr>
          <w:p>
            <w:pPr>
              <w:spacing w:after="0" w:line="149" w:lineRule="exact"/>
              <w:rPr>
                <w:sz w:val="20"/>
                <w:szCs w:val="20"/>
                <w:color w:val="auto"/>
              </w:rPr>
            </w:pPr>
            <w:r>
              <w:rPr>
                <w:rFonts w:ascii="Arial" w:cs="Arial" w:eastAsia="Arial" w:hAnsi="Arial"/>
                <w:sz w:val="14"/>
                <w:szCs w:val="14"/>
                <w:color w:val="auto"/>
              </w:rPr>
              <w:t>Repurchase of common stock from related party</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(16,667)</w:t>
            </w:r>
          </w:p>
        </w:tc>
        <w:tc>
          <w:tcPr>
            <w:tcW w:w="360" w:type="dxa"/>
            <w:vAlign w:val="bottom"/>
          </w:tcPr>
          <w:p>
            <w:pPr>
              <w:spacing w:after="0"/>
              <w:rPr>
                <w:sz w:val="12"/>
                <w:szCs w:val="12"/>
                <w:color w:val="auto"/>
              </w:rPr>
            </w:pPr>
          </w:p>
        </w:tc>
        <w:tc>
          <w:tcPr>
            <w:tcW w:w="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4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Series A-1 convertible preferred stock as noncash consideration for</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 acquisition of assets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45,178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36,595</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780" w:type="dxa"/>
            <w:vAlign w:val="bottom"/>
          </w:tcPr>
          <w:p>
            <w:pPr>
              <w:spacing w:after="0" w:line="130" w:lineRule="exact"/>
              <w:rPr>
                <w:sz w:val="20"/>
                <w:szCs w:val="20"/>
                <w:color w:val="auto"/>
              </w:rPr>
            </w:pPr>
            <w:r>
              <w:rPr>
                <w:rFonts w:ascii="Arial" w:cs="Arial" w:eastAsia="Arial" w:hAnsi="Arial"/>
                <w:sz w:val="14"/>
                <w:szCs w:val="14"/>
                <w:color w:val="auto"/>
              </w:rPr>
              <w:t>Issuance of Series A-2 convertible preferred stock, net of issuance costs of</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80" w:type="dxa"/>
            <w:vAlign w:val="bottom"/>
          </w:tcPr>
          <w:p>
            <w:pPr>
              <w:ind w:left="140"/>
              <w:spacing w:after="0"/>
              <w:rPr>
                <w:sz w:val="20"/>
                <w:szCs w:val="20"/>
                <w:color w:val="auto"/>
              </w:rPr>
            </w:pPr>
            <w:r>
              <w:rPr>
                <w:rFonts w:ascii="Arial" w:cs="Arial" w:eastAsia="Arial" w:hAnsi="Arial"/>
                <w:sz w:val="14"/>
                <w:szCs w:val="14"/>
                <w:color w:val="auto"/>
              </w:rPr>
              <w:t>$903</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175,620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171,006</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Series A-2 convertible preferred stock as noncash consideration for</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acquisitions of assets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14,898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14,898</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780" w:type="dxa"/>
            <w:vAlign w:val="bottom"/>
          </w:tcPr>
          <w:p>
            <w:pPr>
              <w:spacing w:after="0" w:line="149" w:lineRule="exact"/>
              <w:rPr>
                <w:sz w:val="20"/>
                <w:szCs w:val="20"/>
                <w:color w:val="auto"/>
              </w:rPr>
            </w:pPr>
            <w:r>
              <w:rPr>
                <w:rFonts w:ascii="Arial" w:cs="Arial" w:eastAsia="Arial" w:hAnsi="Arial"/>
                <w:sz w:val="14"/>
                <w:szCs w:val="14"/>
                <w:color w:val="auto"/>
                <w:w w:val="95"/>
              </w:rPr>
              <w:t>Issuance of common stock as noncash consideration for an acquisition of assets</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360" w:type="dxa"/>
            <w:vAlign w:val="bottom"/>
          </w:tcPr>
          <w:p>
            <w:pPr>
              <w:spacing w:after="0"/>
              <w:rPr>
                <w:sz w:val="12"/>
                <w:szCs w:val="12"/>
                <w:color w:val="auto"/>
              </w:rPr>
            </w:pPr>
          </w:p>
        </w:tc>
        <w:tc>
          <w:tcPr>
            <w:tcW w:w="4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30"/>
        </w:trPr>
        <w:tc>
          <w:tcPr>
            <w:tcW w:w="4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Settlement of convertible promissory notes with shares of Series A-2</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convertible preferred stock</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59,180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59,180</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7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1,675</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7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(99,272)</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(99,272)</w:t>
            </w:r>
          </w:p>
        </w:tc>
        <w:tc>
          <w:tcPr>
            <w:tcW w:w="0" w:type="dxa"/>
            <w:vAlign w:val="bottom"/>
          </w:tcPr>
          <w:p>
            <w:pPr>
              <w:spacing w:after="0"/>
              <w:rPr>
                <w:sz w:val="1"/>
                <w:szCs w:val="1"/>
                <w:color w:val="auto"/>
              </w:rPr>
            </w:pPr>
          </w:p>
        </w:tc>
      </w:tr>
      <w:tr>
        <w:trPr>
          <w:trHeight w:val="156"/>
        </w:trPr>
        <w:tc>
          <w:tcPr>
            <w:tcW w:w="4780" w:type="dxa"/>
            <w:vAlign w:val="bottom"/>
          </w:tcPr>
          <w:p>
            <w:pPr>
              <w:spacing w:after="0" w:line="155" w:lineRule="exact"/>
              <w:rPr>
                <w:sz w:val="20"/>
                <w:szCs w:val="20"/>
                <w:color w:val="auto"/>
              </w:rPr>
            </w:pPr>
            <w:r>
              <w:rPr>
                <w:rFonts w:ascii="Arial" w:cs="Arial" w:eastAsia="Arial" w:hAnsi="Arial"/>
                <w:sz w:val="14"/>
                <w:szCs w:val="14"/>
                <w:color w:val="auto"/>
              </w:rPr>
              <w:t>Balance as of December 31, 2020</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294,876</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281,679</w:t>
            </w:r>
          </w:p>
        </w:tc>
        <w:tc>
          <w:tcPr>
            <w:tcW w:w="10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240,152</w:t>
            </w:r>
          </w:p>
        </w:tc>
        <w:tc>
          <w:tcPr>
            <w:tcW w:w="3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4,896</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(99,293)</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(94,384)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Period from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1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November 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(99,272)</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Acquired in-process research and development</w:t>
            </w:r>
          </w:p>
        </w:tc>
        <w:tc>
          <w:tcPr>
            <w:tcW w:w="8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69,512</w:t>
            </w: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 in fair value of convertible promissory notes</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2,864</w:t>
            </w: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Noncash interest expense</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Impairment of property and equipment and right-of-use assets</w:t>
            </w:r>
          </w:p>
        </w:tc>
        <w:tc>
          <w:tcPr>
            <w:tcW w:w="8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Non-cash operating lease expense</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 in fair value of convertible preferred stock warrants</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8"/>
        </w:trPr>
        <w:tc>
          <w:tcPr>
            <w:tcW w:w="868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8680" w:type="dxa"/>
            <w:vAlign w:val="bottom"/>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(4,673)</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Accrued liabilities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148"/>
        </w:trPr>
        <w:tc>
          <w:tcPr>
            <w:tcW w:w="8680" w:type="dxa"/>
            <w:vAlign w:val="bottom"/>
          </w:tcPr>
          <w:p>
            <w:pPr>
              <w:ind w:left="580"/>
              <w:spacing w:after="0" w:line="149" w:lineRule="exact"/>
              <w:rPr>
                <w:sz w:val="20"/>
                <w:szCs w:val="20"/>
                <w:color w:val="auto"/>
              </w:rPr>
            </w:pPr>
            <w:r>
              <w:rPr>
                <w:rFonts w:ascii="Arial" w:cs="Arial" w:eastAsia="Arial" w:hAnsi="Arial"/>
                <w:sz w:val="14"/>
                <w:szCs w:val="14"/>
                <w:color w:val="auto"/>
              </w:rPr>
              <w:t>Operating lease liabilities</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6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(26,760)</w:t>
            </w:r>
          </w:p>
        </w:tc>
        <w:tc>
          <w:tcPr>
            <w:tcW w:w="0" w:type="dxa"/>
            <w:vAlign w:val="bottom"/>
          </w:tcPr>
          <w:p>
            <w:pPr>
              <w:spacing w:after="0"/>
              <w:rPr>
                <w:sz w:val="1"/>
                <w:szCs w:val="1"/>
                <w:color w:val="auto"/>
              </w:rPr>
            </w:pPr>
          </w:p>
        </w:tc>
      </w:tr>
      <w:tr>
        <w:trPr>
          <w:trHeight w:val="155"/>
        </w:trPr>
        <w:tc>
          <w:tcPr>
            <w:tcW w:w="8680" w:type="dxa"/>
            <w:vAlign w:val="bottom"/>
          </w:tcPr>
          <w:p>
            <w:pPr>
              <w:spacing w:after="0" w:line="155" w:lineRule="exact"/>
              <w:rPr>
                <w:sz w:val="20"/>
                <w:szCs w:val="20"/>
                <w:color w:val="auto"/>
              </w:rPr>
            </w:pPr>
            <w:r>
              <w:rPr>
                <w:rFonts w:ascii="Arial" w:cs="Arial" w:eastAsia="Arial" w:hAnsi="Arial"/>
                <w:sz w:val="14"/>
                <w:szCs w:val="14"/>
                <w:b w:val="1"/>
                <w:bCs w:val="1"/>
                <w:color w:val="auto"/>
              </w:rPr>
              <w:t>Investing activities: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acquired in connection with acquisitions of assets</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Purchases of promissory notes receivable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(12,750)</w:t>
            </w: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62"/>
        </w:trPr>
        <w:tc>
          <w:tcPr>
            <w:tcW w:w="8680" w:type="dxa"/>
            <w:vAlign w:val="bottom"/>
          </w:tcPr>
          <w:p>
            <w:pPr>
              <w:ind w:left="860"/>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line="149" w:lineRule="exact"/>
              <w:rPr>
                <w:sz w:val="20"/>
                <w:szCs w:val="20"/>
                <w:color w:val="auto"/>
              </w:rPr>
            </w:pPr>
            <w:r>
              <w:rPr>
                <w:rFonts w:ascii="Arial" w:cs="Arial" w:eastAsia="Arial" w:hAnsi="Arial"/>
                <w:sz w:val="14"/>
                <w:szCs w:val="14"/>
                <w:color w:val="auto"/>
              </w:rPr>
              <w:t>Proceeds from issuance of convertible promissory notes</w:t>
            </w:r>
          </w:p>
        </w:tc>
        <w:tc>
          <w:tcPr>
            <w:tcW w:w="8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55,905</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171,006</w:t>
            </w:r>
          </w:p>
        </w:tc>
        <w:tc>
          <w:tcPr>
            <w:tcW w:w="0" w:type="dxa"/>
            <w:vAlign w:val="bottom"/>
          </w:tcPr>
          <w:p>
            <w:pPr>
              <w:spacing w:after="0"/>
              <w:rPr>
                <w:sz w:val="1"/>
                <w:szCs w:val="1"/>
                <w:color w:val="auto"/>
              </w:rPr>
            </w:pPr>
          </w:p>
        </w:tc>
      </w:tr>
      <w:tr>
        <w:trPr>
          <w:trHeight w:val="149"/>
        </w:trPr>
        <w:tc>
          <w:tcPr>
            <w:tcW w:w="868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8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3,190</w:t>
            </w: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and retirement of common stock from related party</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3"/>
        </w:trPr>
        <w:tc>
          <w:tcPr>
            <w:tcW w:w="8680" w:type="dxa"/>
            <w:vAlign w:val="bottom"/>
          </w:tcPr>
          <w:p>
            <w:pPr>
              <w:ind w:left="8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230,099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cash and restricted cash</w:t>
            </w: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192,102</w:t>
            </w:r>
          </w:p>
        </w:tc>
        <w:tc>
          <w:tcPr>
            <w:tcW w:w="0" w:type="dxa"/>
            <w:vAlign w:val="bottom"/>
          </w:tcPr>
          <w:p>
            <w:pPr>
              <w:spacing w:after="0"/>
              <w:rPr>
                <w:sz w:val="1"/>
                <w:szCs w:val="1"/>
                <w:color w:val="auto"/>
              </w:rPr>
            </w:pPr>
          </w:p>
        </w:tc>
      </w:tr>
      <w:tr>
        <w:trPr>
          <w:trHeight w:val="156"/>
        </w:trPr>
        <w:tc>
          <w:tcPr>
            <w:tcW w:w="8680" w:type="dxa"/>
            <w:vAlign w:val="bottom"/>
          </w:tcPr>
          <w:p>
            <w:pPr>
              <w:spacing w:after="0" w:line="149" w:lineRule="exact"/>
              <w:rPr>
                <w:sz w:val="20"/>
                <w:szCs w:val="20"/>
                <w:color w:val="auto"/>
              </w:rPr>
            </w:pPr>
            <w:r>
              <w:rPr>
                <w:rFonts w:ascii="Arial" w:cs="Arial" w:eastAsia="Arial" w:hAnsi="Arial"/>
                <w:sz w:val="14"/>
                <w:szCs w:val="14"/>
                <w:color w:val="auto"/>
              </w:rPr>
              <w:t>Cash and restricted cash at beginning of year</w:t>
            </w: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restricted cash at end of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192,102</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4"/>
                <w:szCs w:val="14"/>
                <w:b w:val="1"/>
                <w:bCs w:val="1"/>
                <w:color w:val="auto"/>
              </w:rPr>
              <w:t>Components of cash and restricted cash:</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191,977</w:t>
            </w:r>
          </w:p>
        </w:tc>
        <w:tc>
          <w:tcPr>
            <w:tcW w:w="0" w:type="dxa"/>
            <w:vAlign w:val="bottom"/>
          </w:tcPr>
          <w:p>
            <w:pPr>
              <w:spacing w:after="0"/>
              <w:rPr>
                <w:sz w:val="1"/>
                <w:szCs w:val="1"/>
                <w:color w:val="auto"/>
              </w:rPr>
            </w:pPr>
          </w:p>
        </w:tc>
      </w:tr>
      <w:tr>
        <w:trPr>
          <w:trHeight w:val="156"/>
        </w:trPr>
        <w:tc>
          <w:tcPr>
            <w:tcW w:w="868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cash and restricted cash</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192,102</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noncash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Operating lease liabilities arising from obtaining right-of-use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2,991</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Settlement of convertible promissory notes with shares of Series A-2 convertible preferred stock</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59,180</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280"/>
              <w:spacing w:after="0"/>
              <w:rPr>
                <w:sz w:val="20"/>
                <w:szCs w:val="20"/>
                <w:color w:val="auto"/>
              </w:rPr>
            </w:pPr>
            <w:r>
              <w:rPr>
                <w:rFonts w:ascii="Arial" w:cs="Arial" w:eastAsia="Arial" w:hAnsi="Arial"/>
                <w:sz w:val="14"/>
                <w:szCs w:val="14"/>
                <w:color w:val="auto"/>
              </w:rPr>
              <w:t>Issuance of convertible preferred stock as noncash consideration for acquisitions of assets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68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51,493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8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Settlement of promissory notes receivable in connection with acquisitions of assets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12,750</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280"/>
              <w:spacing w:after="0"/>
              <w:rPr>
                <w:sz w:val="20"/>
                <w:szCs w:val="20"/>
                <w:color w:val="auto"/>
              </w:rPr>
            </w:pPr>
            <w:r>
              <w:rPr>
                <w:rFonts w:ascii="Arial" w:cs="Arial" w:eastAsia="Arial" w:hAnsi="Arial"/>
                <w:sz w:val="14"/>
                <w:szCs w:val="14"/>
                <w:color w:val="auto"/>
              </w:rPr>
              <w:t>Net liabilities assumed in connection with acquisitions of assets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68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4,867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68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Issuance of convertible preferred stock warrants as noncash consideration for an acquisition of assets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280"/>
              <w:spacing w:after="0"/>
              <w:rPr>
                <w:sz w:val="20"/>
                <w:szCs w:val="20"/>
                <w:color w:val="auto"/>
              </w:rPr>
            </w:pPr>
            <w:r>
              <w:rPr>
                <w:rFonts w:ascii="Arial" w:cs="Arial" w:eastAsia="Arial" w:hAnsi="Arial"/>
                <w:sz w:val="14"/>
                <w:szCs w:val="14"/>
                <w:color w:val="auto"/>
              </w:rPr>
              <w:t>Purchases of property and equipment included in accounts payable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68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0" w:right="8700" w:hanging="4"/>
        <w:spacing w:after="0" w:line="425" w:lineRule="auto"/>
        <w:tabs>
          <w:tab w:leader="none" w:pos="300"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Liquidity Description of Business</w:t>
      </w:r>
    </w:p>
    <w:p>
      <w:pPr>
        <w:ind w:left="120"/>
        <w:spacing w:after="0" w:line="255" w:lineRule="auto"/>
        <w:rPr>
          <w:sz w:val="20"/>
          <w:szCs w:val="20"/>
          <w:color w:val="auto"/>
        </w:rPr>
      </w:pPr>
      <w:r>
        <w:rPr>
          <w:rFonts w:ascii="Arial" w:cs="Arial" w:eastAsia="Arial" w:hAnsi="Arial"/>
          <w:sz w:val="18"/>
          <w:szCs w:val="18"/>
          <w:color w:val="auto"/>
        </w:rPr>
        <w:t>Neumora Therapeutics, Inc. (the Company), formerly known as RBNC Therapeutics, Inc., was originally incorporated in the State of Delaware on November 22, 2019 (inception), and is headquartered in Watertown, Massachusetts and also has operations in South San Francisco, California. The Company is a clinical-stage biotechnology company pioneering a precision medicine approach for brain diseases through the integration of data science and neuroscience. The Company’s approach aims to redefine neuroscience research and development by applying proprietary artificial intelligence and machine learning methods to multimodal patient datasets in order to match defined patient populations with targeted therapeutics designed to address the underlying drivers of their disease.</w:t>
      </w:r>
    </w:p>
    <w:p>
      <w:pPr>
        <w:spacing w:after="0" w:line="192"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For the period from November 22, 2019 (inception) to December 31, 2019, the Company incurred $21,000 in start-up costs to establish operations. Its principal operations commenced in January 2020, when the Company hired executive management and initiated fundraising and business development activities.</w:t>
      </w:r>
    </w:p>
    <w:p>
      <w:pPr>
        <w:spacing w:after="0" w:line="184"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As of December 31, 2020, the Company has devoted substantially all of its efforts to building its organization, acquiring technologies and companies, developing its precision neuroscience platform, identifying and developing potential product candidates, executing clinical and preclinical studies, organizing and staffing the Company, business planning, establishing its intellectual property portfolio, raising capital and providing general and administrative support for these operations. The Company has not generated revenue from the sale of products.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Company has incurred net losses and negative cash flows from operations since inception and, as of December 31, 2020, had an accumulated deficit of $99.3 million. As of December 31, 2020, the Company had cash of $192.0 million, which is available to fund future operations.</w:t>
      </w:r>
    </w:p>
    <w:p>
      <w:pPr>
        <w:spacing w:after="0" w:line="12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The Company expects to incur additional losses in the future as it continues its research and development efforts, advances its product candidates through preclinical and clinical development, enhances its precision neuroscience platform and programs, expands its product pipeline, seeks regulatory approval, prepares for commercialization, as well as hires additional personnel, protects its intellectual property and grows its business. The Company will need to raise substantial additional capital to support its continuing operations and pursue its long-term business plan, including to complete the development and commercialization of its product candidates, if approved. Such activities are subject to significant risks and uncertainties, including clinical failure which can impact the Company’s ability to secure additional funding. The Company has historically financed its operations primarily with the proceeds from the issuance of its convertible preferred stock, borrowings pursuant to convertible promissory notes and cash acquired in its acquisitions of assets. The Company may raise additional capital through public or private equity offerings or debt financings or other capital sources, which may include strategic collaborations or other arrangements with third parties, or other sources of financing. However, there is no guarantee that any of these financing or opportunities will be executed or realized on favorable terms, if at all, and some could be dilutive to existing stockholders. The Company’s ability to raise additional capital through either the issuance of equity or debt is dependent on a number of factors including, but not limited to, Company prospects, which itself is subject to a number of development and business risks and uncertainties, as well as uncertainty about whether the Company would be able to raise such additional capital at a price or on terms that are favorable.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September of 2021, the Company completed the final closing of its Series A-2 convertible preferred stock financing, raising gross proceeds of</w:t>
      </w:r>
    </w:p>
    <w:p>
      <w:pPr>
        <w:spacing w:after="0" w:line="3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$291.3 million (see Note 18). The Company believes that its existing cash as of December 31, 2020, together with the proceeds from the final closing of Series A-2 convertible preferred stock financing, will be sufficient to support operations for at least the next 12 months following November 8, 2021, the date these consolidated financial statements were available to be issued.</w:t>
      </w:r>
    </w:p>
    <w:p>
      <w:pPr>
        <w:spacing w:after="0" w:line="294" w:lineRule="exact"/>
        <w:rPr>
          <w:sz w:val="20"/>
          <w:szCs w:val="20"/>
          <w:color w:val="auto"/>
        </w:rPr>
      </w:pPr>
    </w:p>
    <w:p>
      <w:pPr>
        <w:ind w:left="120" w:right="5460" w:hanging="4"/>
        <w:spacing w:after="0" w:line="377" w:lineRule="auto"/>
        <w:tabs>
          <w:tab w:leader="none" w:pos="3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 Basis of Presentation and Consolidation</w:t>
      </w:r>
    </w:p>
    <w:p>
      <w:pPr>
        <w:spacing w:after="0" w:line="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The consolidated financial statements include all accounts of the Company and its wholly-owned subsidiaries. All intercompany transactions and balances have been eliminated in consolidation.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in the consolidated financial statements and accompanying notes. These estimates form the basis for judgments the Company makes about the carrying values of assets and liabilities that are not readily apparent from other sources.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are used for, but not limited to, accrued research and development expenses, accounting for acquisitions of assets, fair value of certain assets and liabilities, the fair value of the Company’s convertible preferred stock, the fair value of the Company’s convertible preferred stock warrant liability, the fair value of the Company’s common stock, stock-based compensation, and uncertain tax positions and the valuation allowance for net deferred tax assets. Actual results may differ from the Company’s estimates.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Company’s Chief Executive Officer and Chief Operating Officer collectively serve as the CODM. The Company views its operations and manages its business in one operating segment.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 is subject to certain risks and uncertainties, including, but not limited to, changes in any of the following areas that the Company believes could have a material adverse effect on future financial position or results of operations: successfully develop, manufacture, and market any approved products; obtain regulatory approval from U.S. Food and Drug Administration or foreign regulatory agencies prior to commercial sales; new technological innovations; dependence on key personnel, protection of intellectual property; compliance with governmental regulations; uncertainty of market acceptance of any approved products; product liability; and the need to obtain additional financing.</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While the Company is actively monitoring the impact of the COVID-19 pandemic on its business, the extent of the impact of the pandemic on the Company’s business, operations, and clinical development timelines and plans remains uncertain. To date, the COVID-19 pandemic has delayed patient enrollment in the Company’s ongoing clinical trials and may further delay the Company’s initiation of preclinical studies and clinical trials, interrupt its supply chain, disrupt regulatory activities, or have other adverse effects on its business and operations. The extent of the impact of the COVID-19 pandemic on the Company’s preclinical studies or clinical trials will depend on future developments, which are highly uncertain and cannot be predicted with confidence, such as the duration or severity of the pandemic or the effectiveness of containment actions or treatments. In response to the COVID-19 pandemic the Company has taken temporary precautionary measures intended to help minimize its risk of exposure to the virus for its employees, including implementing policies that allow its employees to work remotely and suspending most non-essential travel for its employees, none of which had an adverse impact on the Company’s business. Certain third-party service providers have also experienced shutdowns or other business disruptions. However, the Company cannot at this time predict the specific extent, duration, or full impact that the COVID-19 pandemic will have on its consolidated financial condition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Restricted Cash</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Cash includes cash deposited at several financial institutions in operating accounts. Restricted cash primarily consists of credit card accounts and facility lease agreements collateralized by money market accounts pursuant to certain banking agreements. Restricted cash which is unavailable for a period longer than one year from the consolidated balance sheet date is classified as a noncurrent asset. Otherwise, restricted cash is included in other current assets in the consolidated balance sheets.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deposited in accounts at several financial institutions that may exceed the Federal Deposit Insurance Corporation’s insurance limit. The Company is exposed to credit risk in the event of a default by the financial institutions holding its cash to the extent recorded on the consolidated balance sheets. The Company believes it is not exposed to significant credit risk due to the financial position of the financial institutions in which those deposits are held.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at the measurement date. The Company measures fair value by maximizing the use of observable inputs, where available, and minimizing the use of unobservable inputs when measuring fair value. Financial assets and liabilities recorded at fair value in the consolidated balance sheets are categorized in the fair value hierarchy based upon the lowest level of input that is significant to the fair value as follows: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29"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of liabilities in markets that are not active.</w:t>
      </w:r>
    </w:p>
    <w:p>
      <w:pPr>
        <w:spacing w:after="0" w:line="76" w:lineRule="exact"/>
        <w:rPr>
          <w:sz w:val="20"/>
          <w:szCs w:val="20"/>
          <w:color w:val="auto"/>
        </w:rPr>
      </w:pPr>
    </w:p>
    <w:p>
      <w:pPr>
        <w:jc w:val="center"/>
        <w:ind w:left="780" w:right="100"/>
        <w:spacing w:after="0" w:line="449"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F-9</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480"/>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(see Note 3). A financial instrument’s level within the fair value hierarchy is based on the lowest level of any input that is significant to the fair value of the instrument.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Option</w:t>
      </w:r>
    </w:p>
    <w:p>
      <w:pPr>
        <w:spacing w:after="0" w:line="121" w:lineRule="exact"/>
        <w:rPr>
          <w:sz w:val="20"/>
          <w:szCs w:val="20"/>
          <w:color w:val="auto"/>
        </w:rPr>
      </w:pPr>
    </w:p>
    <w:p>
      <w:pPr>
        <w:ind w:left="120" w:right="300"/>
        <w:spacing w:after="0" w:line="274" w:lineRule="auto"/>
        <w:rPr>
          <w:sz w:val="20"/>
          <w:szCs w:val="20"/>
          <w:color w:val="auto"/>
        </w:rPr>
      </w:pPr>
      <w:r>
        <w:rPr>
          <w:rFonts w:ascii="Arial" w:cs="Arial" w:eastAsia="Arial" w:hAnsi="Arial"/>
          <w:sz w:val="17"/>
          <w:szCs w:val="17"/>
          <w:color w:val="auto"/>
        </w:rPr>
        <w:t>The Company elected the fair value option to account for its convertible promissory notes that were issued and settled during 2020 (the 2020 Bridge Notes or Notes). The Company concluded that it was appropriate to apply the fair value option to the Notes because there were</w:t>
      </w:r>
    </w:p>
    <w:p>
      <w:pPr>
        <w:ind w:left="120" w:right="80"/>
        <w:spacing w:after="0" w:line="288" w:lineRule="auto"/>
        <w:rPr>
          <w:sz w:val="20"/>
          <w:szCs w:val="20"/>
          <w:color w:val="auto"/>
        </w:rPr>
      </w:pPr>
      <w:r>
        <w:rPr>
          <w:rFonts w:ascii="Arial" w:cs="Arial" w:eastAsia="Arial" w:hAnsi="Arial"/>
          <w:sz w:val="16"/>
          <w:szCs w:val="16"/>
          <w:color w:val="auto"/>
        </w:rPr>
        <w:t>no non-contingent beneficial conversion options such that no component of the Notes was required to be recognized as a component of stockholders’ deficit. The Company recorded these Notes at their estimated fair value with changes in estimated fair value recorded as a component of other income (expense) in the consolidated statement of operations and comprehensive loss unless the change is a result of a change in credit risk of the Notes, in which case such change in estimated fair value is recorded within other comprehensive income (loss). As the Notes were issued and settled during the year ended December 31, 2020, any estimated fair value changes related to the credit risk of the Notes were recognized as part of other income (expense) upon settlement of the Notes. No material changes to the credit risk of the Notes occurred during the period the Notes were outstanding. As a result of applying the fair value option, an insignificant amount of direct costs and fees related to the Notes were expensed as incurred.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Property and equipment, net is stated at cost less accumulated depreciation. Depreciation of property and equipment is computed using the straight-line method over the estimated useful lives of the assets, which is three to seven years. Leasehold improvements are amortized using the straight-line method over the lesser of the estimated useful lives of the assets or the remaining term of the lease. Construction in progress is stated at cost and not depreciated until the asset is placed into service. Upon sale or retirement of the assets, the cost and related accumulated depreciation are removed from the consolidated balance sheets and the resulting gain or loss is recognized in the consolidated statements of operations and comprehensive loss. Expenditures for maintenance and repairs are expensed as incurred.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Company reviews the carrying amount of its long-lived assets, including property and equipment and right-of-use assets, for impairment whenever events or changes in business circumstances indicate that the carrying amount of the assets may not be fully recoverable. If indicators of impairment exist, an impairment loss is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 Estimating discounted cash flows requires the Company to make significant judgements and assumptions. Actual results may vary from the Company’s estimates as of the date of impairment testing and adjustments may occur in future periods. The Company believes that no revision to the remaining useful lives or write-down of long-lived assets is required as of and for the year ended December 31, 2020, except as disclosed in Note 8.</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Company determines if an arrangement is or contains a lease at inception by assessing whether it conveys the right to control the use of an identified asset in exchange for consideration. If a lease is identified,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classification is determined at lease commencement. To date, all of the Company’s leases have been determined to be operating leases.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estimated interest rate that the Company would have to pay to borrow on a collateralized basis an amount equal to the lease payments in a similar economic environment over a similar term. Operating lease right-of-use (ROU) assets are determined based on the corresponding lease liability adjusted for any lease payments made at or before commencement, initial direct costs, and lease incentives. The operating lease ROU asset also includes impairment charges if the Company determines the ROU asset is impaired.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 Operating lease expenses are recognized, and the right-of-use assets are amortized on a straight-line basis over the lease term. The Company has elected to not separate lease and non-lease components for its leased assets and accounts for all lease and non-lease components of its agreements as a single lease component. The Company has elected not to recognize on the consolidated balance sheets leases with terms of one year or less.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Company evaluates mergers, acquisitions and other similar transactions to assess whether or not the transaction should be accounted for as a business combination or an acquisition of assets. The Company first identifies who is the acquiring entity by determining if the target is a legal entity or a group of assets or liabilities. If control over a legal entity is being evaluated, the Company also evaluates if the target is a variable interest or voting interest entity. For acquisitions of voting interest entities, the Company applies a screen test to determine if substantially all of the fair value of the gross assets acquired is concentrated in a single identifiable asset or group of similar identifiable assets. If the screen test is met, the transaction is accounted for as an acquisition of assets.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165"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For an acquisition of assets, a cost accumulation model is used to determine the cost of the acquisition. Common stock and convertible preferred stock issued as consideration in an acquisition of assets are generally measured based on the acquisition date fair value of the equity interests issued. The Company also determines if any components of a transaction should be accounted for as a part of an acquisition of assets and which should be accounted for separately. Direct transaction costs are recognized as part of the cost of an acquisition of assets. The Company also evaluates which elements of a transaction should be accounted for as a part of an acquisition of assets and which should be accounted for separately.</w:t>
      </w:r>
    </w:p>
    <w:p>
      <w:pPr>
        <w:spacing w:after="0" w:line="16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cost of an acquisition of assets, including transaction costs, are allocated to identifiable assets acquired and liabilities assumed based on a relative fair value basis. Goodwill is not recognized in an acquisition of assets. Any difference between the cost of an acquisition of assets and the fair value of the net assets acquired is allocated to the non-monetary identifiable assets based on their relative fair values. Assets acquired as part of an acquisition of assets that are considered to be in-process research and development intangible assets (IPR&amp;D) are immediately expensed and recorded as a component of acquired in-process research and development expense in the consolidated statements of operations and comprehensive loss unless there is an alternative future use in other research and development projects.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In addition to upfront consideration, the Company’s acquisitions of assets may also include contingent consideration payments to be made for future milestone events or royalties on net sales of future products. The Company assesses whether such contingent consideration is subject to liability classification and fair value measurement or meets the definition of a derivative. Contingent consideration payments in an acquisition of assets not required to be classified as a liability at fair value, or are accounted for as derivatives that qualify for a scope exception from derivative accounting, are recognized when the contingency is resolved, and the consideration is paid or becomes payable. Contingent consideration payments required to be classified as a liability, or accounted for as derivatives and do not qualify for a scope exception from derivative accounting, are recorded at fair value on the date of the acquisition and are subsequently remeasured to fair value at each reporting date. Contingent consideration payments made prior to regulatory approval are expensed as incurred. Any future payments that are contingent upon continued services to the Company are treated as compensation and recognized when it is probable such amounts will become payable.</w:t>
      </w:r>
    </w:p>
    <w:p>
      <w:pPr>
        <w:spacing w:after="0" w:line="18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If the target legal entity is determined to be a variable interest entity (VIE) and not a business, all tangible and intangible assets acquired, including any IPR&amp;D assets but excluding goodwill, and liabilities assumed, including contingent consideration, are recorded at their fair values. If the acquisition is determined to be a business combination, all tangible and intangible assets acquired, including any IPR&amp;D asset, and liabilities assumed, including contingent consideration, are recorded at their fair value. Goodwill is recognized for any difference between the consideration transferred and fair value determination. In addition, direct transaction costs in connection with business combinations are expensed as incurred, rather than capitalized.</w:t>
      </w:r>
    </w:p>
    <w:p>
      <w:pPr>
        <w:spacing w:after="0" w:line="16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As the Company expensed its acquired IPR&amp;D assets with no alternative future use prior to the measurement of any deferred taxes, no deferred taxes were recognized for the initial differences between the amounts recognized for financial reporting and tax purposes.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 Warrant Liability</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Warrants to purchase shares of the Company’s convertible preferred stock (the Preferred Stock Warrants) are freestanding financial instruments classified as a liability on the Company’s consolidated balance sheets as the underlying securities are contingently redeemable upon the occurrence of events that are outside of the control of the Company, which precludes equity classification. The Preferred Stock Warrants are recorded at their estimated fair value upon issuance and are subject to remeasurement at the end of each reporting period, with changes in estimated fair value recognized as a component of other income (expense) in the consolidated statements of operations and comprehensive loss, until the exercise or expiration of such warrants. The Company estimates the fair value of Preferred Stock Warrants at each reporting period using the Black-Scholes option pricing model, which requires inputs based on certain subjective assumptions, including the expected stock price, volatility, the expected term of the option, the risk-free interest rate for a period that approximates the expected term of the option, and the expected dividend yield. Actual results may differ from the Company’s estimates.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Company has classified convertible preferred stock, which is contingently redeemable, as temporary equity in the consolidated balance sheets due to terms that allow for the effective redemption of such shares in cash at the option of the holders upon certain liquidation events that are not solely within the Company’s control.</w:t>
      </w:r>
    </w:p>
    <w:p>
      <w:pPr>
        <w:spacing w:after="0" w:line="184"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The carrying values of the convertible preferred stock are adjusted to their liquidation preferences if and when it becomes probable that such a liquidation event will occur. The Company did not accrete the value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convertible preferred stock to its redemption value since a liquidation event was not considered probable as of December 31, 2020. Subsequent adjustments to the carrying values of the convertible preferred stock will be made only when it becomes probable that such liquidation events will occur, causing the shares to become redeemable.</w:t>
      </w:r>
    </w:p>
    <w:p>
      <w:pPr>
        <w:spacing w:after="0" w:line="18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The Company also evaluates the features of its convertible preferred stock to determine if the features require bifurcation from the underlying shares by evaluating whether they are clearly and closely related to the underlying shares and whether they meet the definition of a derivative.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Expenses and Related Prepaid Assets and Accrued Liabilities</w:t>
      </w:r>
    </w:p>
    <w:p>
      <w:pPr>
        <w:spacing w:after="0" w:line="121"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Research and development costs are expensed as incurred. Research and development expenses primarily consist of internal research and development expense, including personnel-related expenses (such as salaries, benefits and non-cash stock-based compensation) and other expenses, including laboratory supplies and other non-capital equipment utilized for in-house research, research and consulting expenses, software development costs, license fees and allocated expenses, including facilities costs and depreciation and amortization; external research and development expenses incurred under arrangements with vendors conducting research and development services on its behalf, such as contract research organizations (CROs), preclinical testing organizations and contract manufacturing organizations (CMOs). Costs to develop the Company’s platform information technologies are recorded as research and development expense unless the criteria to be capitalized as internal-use software costs is met. Payments made prior to the receipt of goods or services to be used in research and development are capitalized, evaluated for current or long-term classification, and included in prepaid expenses and other current assets or other assets on the consolidated balance sheets based on when the goods are received or the services are expected to be received or consumed, and recognized in research and development expenses when they are realized.</w:t>
      </w:r>
    </w:p>
    <w:p>
      <w:pPr>
        <w:spacing w:after="0" w:line="16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Company is required to estimate expenses resulting from its obligations under contracts with vendors, service providers and clinical site agreements in connection with conducting clinical trials. The financial terms of these contracts are subject to negotiations which vary from contract to contract and may result in cash flows that do not match the periods over which materials or services are provided. The Company estimates and records accrued expenses for the related research and development activities based on the level of services performed but not yet invoiced pursuant to agreements established with its service providers, according to the progress of preclinical studies, clinical trials or related activities, and discussions with applicable personnel and service providers as to the progress or state of consummation of goods and services.</w:t>
      </w:r>
    </w:p>
    <w:p>
      <w:pPr>
        <w:spacing w:after="0" w:line="178"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During the course of a clinical trial, the rate of expense recognition is adjusted if actual results differ from the Company’s estimates. The Company makes judgments and estimates of accrued expenses as of each balance sheet date in its consolidated financial statements based on the facts and circumstances known at that time. The clinical trial accrual is dependent in part upon the timely and accurate reporting of CROs, CMOs and other third-party vendors. Although the Company does not expect its estimates to be materially different from amounts actually incurred, its estimate may vary from the actual results. To date, the Company has not experienced material differences between its accrued expenses and actual expenses.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Company maintains equity incentive plans (the Plans) as a long-term incentive for employees, directors, and non-employee service providers. The Company accounts for all stock-based awards based on their fair value on the date of the grant. For stock-based awards with service only vesting conditions, the Company recognizes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expense on a straight-line basis over the requisite service period, which is generally the vesting period of the respective award. For awards with performance vesting conditions, the Company evaluates the probability of achieving the performance vesting condition at each reporting date. The Company begins to recognize expense for awards with performance based vesting conditions using an accelerated attribution method when it is deemed probable that the performance condition will be met. Stock-based compensation is classified in the consolidated statements of operations and comprehensive loss based on the function to which the related services are provided. Forfeitures are accounted for as they occur.</w:t>
      </w:r>
    </w:p>
    <w:p>
      <w:pPr>
        <w:spacing w:after="0" w:line="176"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fair value of stock option awards is estimated on the date of grant using the Black-Scholes option pricing model, which requires inputs based on certain subjective assumptions, including the expected stock price volatility, the expected term of the option, the risk-free interest rate for a period that approximates the expected term of the option, and the expected dividend yield. The fair value of restricted stock awards is based on the estimated fair value of the Company’s common stock on the date of grant.</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The fair value of the Company’s common stock is determined by the Company’s board of directors with the assistance of management. The fair value of common stock is determined using valuation methodologies which utilize certain assumptions including probability weighting of events, volatility, time to an exit event, a risk-free interest rate and an assumption for a discount for lack of marketability. In determining the fair value of common stock, the methodologies used to estimate the enterprise value of the Company were performed using methodologies, approaches, and assumptions consistent with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w:t>
      </w:r>
      <w:r>
        <w:rPr>
          <w:rFonts w:ascii="Arial" w:cs="Arial" w:eastAsia="Arial" w:hAnsi="Arial"/>
          <w:sz w:val="18"/>
          <w:szCs w:val="18"/>
          <w:color w:val="auto"/>
        </w:rPr>
        <w:t xml:space="preserve"> </w:t>
      </w:r>
      <w:r>
        <w:rPr>
          <w:rFonts w:ascii="Arial" w:cs="Arial" w:eastAsia="Arial" w:hAnsi="Arial"/>
          <w:sz w:val="18"/>
          <w:szCs w:val="18"/>
          <w:i w:val="1"/>
          <w:iCs w:val="1"/>
          <w:color w:val="auto"/>
        </w:rPr>
        <w:t>as Compensation</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Company accounts for income taxes under the asset and liability method. Under this method, deferred tax assets and liabilities are recognized for the expected future tax consequences of events that have been included in the Company’s consolidated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likely-than-not that these assets may not be realized. The ultimate realization of deferred tax assets is dependent upon the generation of future taxable income during the periods in which the temporary differences representing net future deductible amounts become deductible.</w:t>
      </w:r>
    </w:p>
    <w:p>
      <w:pPr>
        <w:spacing w:after="0" w:line="17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Company recognizes and measures uncertain tax positions using a two-step approach. The Company determines whether it is more likely than not that a tax position will be sustained upon examination. If it is not more 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w:t>
      </w:r>
    </w:p>
    <w:p>
      <w:pPr>
        <w:spacing w:after="0" w:line="16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Company’s policy is to include penalties and interest expense related to income taxes as a component of its provision for income taxes. The Company has not reported any interest or penalties associated with income tax since inception.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March 2020, the Families First Coronavirus Response Act (FFCR Act) and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w:t>
      </w:r>
    </w:p>
    <w:p>
      <w:pPr>
        <w:spacing w:after="0" w:line="15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In June 2020, Assembly Bill 85 (A.B. 85) was signed into California law. A.B. 85 provides for a three-year suspension of the use of net operating losses for medium and large businesses and a three-year cap on the use of business incentive tax credits to offset no more than $5.0 million of tax per year. A.B. 85 suspends the use of net operating losses for taxable years 2020, 2021 and 2022 for certain taxpayers with taxable income of $1.0 million or more. The carryover period for any net operating losses that are suspended under this provision will be extended. A.B. 85 also requires that business incentive tax credits including carryovers may not reduce the applicable tax by more than $5.0 million for taxable years 2020, 2021 and 2022.</w:t>
      </w:r>
    </w:p>
    <w:p>
      <w:pPr>
        <w:spacing w:after="0" w:line="16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December 2020, the Consolidated Appropriations Act, 2021 (CAA) was signed into law. The CAA included additional funding through tax credits as part of its economic package for 2021.</w:t>
      </w:r>
    </w:p>
    <w:p>
      <w:pPr>
        <w:spacing w:after="0" w:line="170"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The FFCR Act, CARES Act, A.B. 85 and CAA did not have a material impact on the Company’s consolidated financial statements; however, the Company continues to examine the impacts the FFCR Act, CARES Act, A.B. 85 and CAA may have on its business, results of operations, financial condition and liquidity.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Basic net loss per share is calculated by dividing net loss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700"/>
        <w:spacing w:after="0" w:line="342" w:lineRule="auto"/>
        <w:rPr>
          <w:sz w:val="20"/>
          <w:szCs w:val="20"/>
          <w:color w:val="auto"/>
        </w:rPr>
      </w:pPr>
      <w:r>
        <w:rPr>
          <w:rFonts w:ascii="Arial" w:cs="Arial" w:eastAsia="Arial" w:hAnsi="Arial"/>
          <w:sz w:val="16"/>
          <w:szCs w:val="16"/>
          <w:color w:val="auto"/>
        </w:rPr>
        <w:t>Comprehensive loss represents the change in the Company’s stockholders’ deficit from all sources other than investments by or distributions to stockholders. The Company has no items of other comprehensive loss, and as such, net loss is the same as comprehensive loss.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recognizes restructuring charges related to reorganization plans that have been committed to by management and when liabilities have been incurred. In connection with these activities, the Company records restructuring charges at fair value for (i) contractual employee termination benefits when obligations are associated to services already rendered, rights to such benefits have vested, and payment of benefits is probable and can be reasonably estimated, and (ii) one-time employee termination benefits when management has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w:t>
      </w:r>
    </w:p>
    <w:p>
      <w:pPr>
        <w:spacing w:after="0" w:line="17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One-time employee termination benefits are recognized in their entirety when communication has occurred, and future services are not required. Contract termination costs to be incurred over the remaining contract term without economic benefit are recorded in their entirety when the contract is canceled.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recognition of restructuring charges requires the Company to make certain judgments and estimates regarding the nature, timing and amount of costs associated with the planned reorganization plan. At the end of each reporting period, the Company evaluates the remaining accrued restructuring balances to ensure that no excess accrued liabilities are retained, and the utilization of the provisions are for their intended purpose in accordance with developed restructuring plans.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In May 2021, the Financial Accounting Standards Board (FASB) issued Accounting Standards Update (ASU) 2021-04, </w:t>
      </w:r>
      <w:r>
        <w:rPr>
          <w:rFonts w:ascii="Arial" w:cs="Arial" w:eastAsia="Arial" w:hAnsi="Arial"/>
          <w:sz w:val="16"/>
          <w:szCs w:val="16"/>
          <w:i w:val="1"/>
          <w:iCs w:val="1"/>
          <w:color w:val="auto"/>
        </w:rPr>
        <w:t>Issuer’s Accounting for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Modifications or Exchanges of Freestanding Equity-Classified Written Call Options </w:t>
      </w:r>
      <w:r>
        <w:rPr>
          <w:rFonts w:ascii="Arial" w:cs="Arial" w:eastAsia="Arial" w:hAnsi="Arial"/>
          <w:sz w:val="16"/>
          <w:szCs w:val="16"/>
          <w:color w:val="auto"/>
        </w:rPr>
        <w:t>(ASU 2021-04), which requires issuers to account for a</w:t>
      </w:r>
      <w:r>
        <w:rPr>
          <w:rFonts w:ascii="Arial" w:cs="Arial" w:eastAsia="Arial" w:hAnsi="Arial"/>
          <w:sz w:val="16"/>
          <w:szCs w:val="16"/>
          <w:i w:val="1"/>
          <w:iCs w:val="1"/>
          <w:color w:val="auto"/>
        </w:rPr>
        <w:t xml:space="preserve"> </w:t>
      </w:r>
      <w:r>
        <w:rPr>
          <w:rFonts w:ascii="Arial" w:cs="Arial" w:eastAsia="Arial" w:hAnsi="Arial"/>
          <w:sz w:val="16"/>
          <w:szCs w:val="16"/>
          <w:color w:val="auto"/>
        </w:rPr>
        <w:t>modification or exchange of freestanding equity-classified written call options that remain equity classified after the modification or exchange based on the economic substance of the modification or exchange. ASU 2021-04 is effective for the Company as of January 1, 2022, with early adoption permitted. The Company does not expect the ASU to have a material impact on its consolidated financial statements and related disclosures.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carrying amounts of the Company’s financial instruments, including prepaid expenses and other current assets, accounts payable, accrued liabilities and operating lease liabilities approximate fair value due to the short-term nature of those instruments.</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As of December 31, 2019, there were no assets and liabilities that were measured at fair value on a recurring or nonrecurring basis. As of December 31, 2020, there were no assets that were measured at fair value on a recurring or nonrecurring basis. The following table summarizes the Company’s financial liabilities measured at fair value on a recurring basis by level within the fair value hierarchy:</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1</w:t>
            </w:r>
          </w:p>
        </w:tc>
        <w:tc>
          <w:tcPr>
            <w:tcW w:w="8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5"/>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Convertible preferred stock warrant liability</w:t>
            </w:r>
          </w:p>
        </w:tc>
        <w:tc>
          <w:tcPr>
            <w:tcW w:w="3540" w:type="dxa"/>
            <w:vAlign w:val="bottom"/>
            <w:gridSpan w:val="2"/>
          </w:tcPr>
          <w:p>
            <w:pPr>
              <w:ind w:left="33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612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612</w:t>
            </w:r>
          </w:p>
        </w:tc>
      </w:tr>
      <w:tr>
        <w:trPr>
          <w:trHeight w:val="27"/>
        </w:trPr>
        <w:tc>
          <w:tcPr>
            <w:tcW w:w="44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5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w:t>
            </w:r>
          </w:p>
        </w:tc>
      </w:tr>
      <w:tr>
        <w:trPr>
          <w:trHeight w:val="20"/>
        </w:trPr>
        <w:tc>
          <w:tcPr>
            <w:tcW w:w="4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3540" w:type="dxa"/>
            <w:vAlign w:val="bottom"/>
            <w:gridSpan w:val="2"/>
          </w:tcPr>
          <w:p>
            <w:pPr>
              <w:ind w:left="900"/>
              <w:spacing w:after="0"/>
              <w:rPr>
                <w:sz w:val="20"/>
                <w:szCs w:val="20"/>
                <w:color w:val="auto"/>
              </w:rPr>
            </w:pPr>
            <w:r>
              <w:rPr>
                <w:rFonts w:ascii="Arial" w:cs="Arial" w:eastAsia="Arial" w:hAnsi="Arial"/>
                <w:sz w:val="18"/>
                <w:szCs w:val="18"/>
                <w:color w:val="auto"/>
              </w:rPr>
              <w:t>F-16</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17"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In September 2020, the Company issued Preferred Stock Warrants to purchase shares of its Series A-1 convertible preferred stock (see Note 12), which do not meet the criteria for equity classification. The estimated fair value of the convertible preferred stock warrant liability was determined based on significant inputs not observable in the market, which represents a Level 3 measurement within the fair value hierarchy.</w:t>
      </w:r>
    </w:p>
    <w:p>
      <w:pPr>
        <w:spacing w:after="0" w:line="16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convertible preferred stock warrant liability during the year ended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Range</w:t>
            </w: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00" w:type="dxa"/>
            <w:vAlign w:val="bottom"/>
          </w:tcPr>
          <w:p>
            <w:pPr>
              <w:spacing w:after="0"/>
              <w:rPr>
                <w:sz w:val="16"/>
                <w:szCs w:val="16"/>
                <w:color w:val="auto"/>
              </w:rPr>
            </w:pPr>
          </w:p>
        </w:tc>
        <w:tc>
          <w:tcPr>
            <w:tcW w:w="5720" w:type="dxa"/>
            <w:vAlign w:val="bottom"/>
            <w:gridSpan w:val="2"/>
          </w:tcPr>
          <w:p>
            <w:pPr>
              <w:ind w:left="2200"/>
              <w:spacing w:after="0"/>
              <w:rPr>
                <w:sz w:val="20"/>
                <w:szCs w:val="20"/>
                <w:color w:val="auto"/>
              </w:rPr>
            </w:pPr>
            <w:r>
              <w:rPr>
                <w:rFonts w:ascii="Arial" w:cs="Arial" w:eastAsia="Arial" w:hAnsi="Arial"/>
                <w:sz w:val="14"/>
                <w:szCs w:val="14"/>
                <w:b w:val="1"/>
                <w:bCs w:val="1"/>
                <w:color w:val="auto"/>
              </w:rPr>
              <w:t>Unobservable Input</w:t>
            </w:r>
          </w:p>
        </w:tc>
        <w:tc>
          <w:tcPr>
            <w:tcW w:w="1800" w:type="dxa"/>
            <w:vAlign w:val="bottom"/>
            <w:gridSpan w:val="2"/>
          </w:tcPr>
          <w:p>
            <w:pPr>
              <w:ind w:left="520"/>
              <w:spacing w:after="0"/>
              <w:rPr>
                <w:sz w:val="20"/>
                <w:szCs w:val="20"/>
                <w:color w:val="auto"/>
              </w:rPr>
            </w:pPr>
            <w:r>
              <w:rPr>
                <w:rFonts w:ascii="Arial" w:cs="Arial" w:eastAsia="Arial" w:hAnsi="Arial"/>
                <w:sz w:val="14"/>
                <w:szCs w:val="14"/>
                <w:b w:val="1"/>
                <w:bCs w:val="1"/>
                <w:color w:val="auto"/>
              </w:rPr>
              <w:t>Input Range</w:t>
            </w:r>
          </w:p>
        </w:tc>
        <w:tc>
          <w:tcPr>
            <w:tcW w:w="0" w:type="dxa"/>
            <w:vAlign w:val="bottom"/>
          </w:tcPr>
          <w:p>
            <w:pPr>
              <w:spacing w:after="0"/>
              <w:rPr>
                <w:sz w:val="1"/>
                <w:szCs w:val="1"/>
                <w:color w:val="auto"/>
              </w:rPr>
            </w:pPr>
          </w:p>
        </w:tc>
      </w:tr>
      <w:tr>
        <w:trPr>
          <w:trHeight w:val="195"/>
        </w:trPr>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Fair value of Series A-1 convertible preferred stock</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Black-Scholes option</w:t>
            </w:r>
          </w:p>
        </w:tc>
        <w:tc>
          <w:tcPr>
            <w:tcW w:w="10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$0.81</w:t>
            </w:r>
          </w:p>
        </w:tc>
        <w:tc>
          <w:tcPr>
            <w:tcW w:w="0" w:type="dxa"/>
            <w:vAlign w:val="bottom"/>
          </w:tcPr>
          <w:p>
            <w:pPr>
              <w:spacing w:after="0"/>
              <w:rPr>
                <w:sz w:val="1"/>
                <w:szCs w:val="1"/>
                <w:color w:val="auto"/>
              </w:rPr>
            </w:pPr>
          </w:p>
        </w:tc>
      </w:tr>
      <w:tr>
        <w:trPr>
          <w:trHeight w:val="94"/>
        </w:trPr>
        <w:tc>
          <w:tcPr>
            <w:tcW w:w="130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8"/>
                <w:szCs w:val="18"/>
                <w:color w:val="auto"/>
                <w:w w:val="88"/>
              </w:rPr>
              <w:t>$0.6 – $0.7</w:t>
            </w:r>
          </w:p>
        </w:tc>
        <w:tc>
          <w:tcPr>
            <w:tcW w:w="2100" w:type="dxa"/>
            <w:vAlign w:val="bottom"/>
            <w:vMerge w:val="continue"/>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123.4%</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 123.4%</w:t>
            </w:r>
          </w:p>
        </w:tc>
        <w:tc>
          <w:tcPr>
            <w:tcW w:w="0" w:type="dxa"/>
            <w:vAlign w:val="bottom"/>
          </w:tcPr>
          <w:p>
            <w:pPr>
              <w:spacing w:after="0"/>
              <w:rPr>
                <w:sz w:val="1"/>
                <w:szCs w:val="1"/>
                <w:color w:val="auto"/>
              </w:rPr>
            </w:pPr>
          </w:p>
        </w:tc>
      </w:tr>
      <w:tr>
        <w:trPr>
          <w:trHeight w:val="122"/>
        </w:trPr>
        <w:tc>
          <w:tcPr>
            <w:tcW w:w="1300" w:type="dxa"/>
            <w:vAlign w:val="bottom"/>
            <w:gridSpan w:val="2"/>
            <w:vMerge w:val="continue"/>
            <w:shd w:val="clear" w:color="auto" w:fill="CCEEFF"/>
          </w:tcPr>
          <w:p>
            <w:pPr>
              <w:spacing w:after="0"/>
              <w:rPr>
                <w:sz w:val="10"/>
                <w:szCs w:val="10"/>
                <w:color w:val="auto"/>
              </w:rPr>
            </w:pPr>
          </w:p>
        </w:tc>
        <w:tc>
          <w:tcPr>
            <w:tcW w:w="2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pricing model</w:t>
            </w:r>
          </w:p>
        </w:tc>
        <w:tc>
          <w:tcPr>
            <w:tcW w:w="10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 1.3</w:t>
            </w:r>
          </w:p>
        </w:tc>
        <w:tc>
          <w:tcPr>
            <w:tcW w:w="0" w:type="dxa"/>
            <w:vAlign w:val="bottom"/>
          </w:tcPr>
          <w:p>
            <w:pPr>
              <w:spacing w:after="0"/>
              <w:rPr>
                <w:sz w:val="1"/>
                <w:szCs w:val="1"/>
                <w:color w:val="auto"/>
              </w:rPr>
            </w:pPr>
          </w:p>
        </w:tc>
      </w:tr>
      <w:tr>
        <w:trPr>
          <w:trHeight w:val="108"/>
        </w:trPr>
        <w:tc>
          <w:tcPr>
            <w:tcW w:w="1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720" w:type="dxa"/>
            <w:vAlign w:val="bottom"/>
            <w:gridSpan w:val="2"/>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960" w:type="dxa"/>
            <w:vAlign w:val="bottom"/>
          </w:tcPr>
          <w:p>
            <w:pPr>
              <w:ind w:left="20"/>
              <w:spacing w:after="0"/>
              <w:rPr>
                <w:sz w:val="20"/>
                <w:szCs w:val="20"/>
                <w:color w:val="auto"/>
              </w:rPr>
            </w:pPr>
            <w:r>
              <w:rPr>
                <w:rFonts w:ascii="Arial" w:cs="Arial" w:eastAsia="Arial" w:hAnsi="Arial"/>
                <w:sz w:val="18"/>
                <w:szCs w:val="18"/>
                <w:color w:val="auto"/>
              </w:rPr>
              <w:t>– 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Bridge Notes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During 2020, the Company issued $55.9 million in convertible promissory notes (the 2020 Bridge Notes or Notes) and in September 2020, the Notes were settled with shares of the Company’s Series A-2 convertible preferred stock (see Note 7). The Company elected the fair value option to account for its Notes issued in 2020.</w:t>
      </w:r>
    </w:p>
    <w:p>
      <w:pPr>
        <w:spacing w:after="0" w:line="184"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The Notes were valued using a scenario-based analysis. Two primary scenarios were considered: the qualified financing scenario and the default scenario. The value of the Notes under each scenario were probability weighted to arrive at the estimated fair value for the Notes. The qualified financing scenario considers the value impact of conversion at the stated discount to the issue price if the Company completes a qualifying financing event by raising $50.0 million in an equity financing before the maturity date. The default scenario assumes the qualified financing event does not occur and the Company is in distress, resulting in a partial or no recovery of the Notes. A recovery rate on the Notes in the default scenario considers the Company’s net asset value relative to the size of the Note. As of the issuance date of the Notes, the probability of default was calculated such that the probability-weighted value of the Notes was equal to the principal investment amount. The implied probability of default of previously issued Notes is carried forward and used as the probability of default for subsequent valuation dates. It was assumed that the probability of the Notes reaching contractual maturity was not material as of the valuation dates, given the proximity to the qualified financing and the Company’s financing needs.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significant unobservable inputs used in the fair value measurement of the Notes during the year ended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Range</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20" w:type="dxa"/>
            <w:vAlign w:val="bottom"/>
          </w:tcPr>
          <w:p>
            <w:pPr>
              <w:spacing w:after="0"/>
              <w:rPr>
                <w:sz w:val="12"/>
                <w:szCs w:val="12"/>
                <w:color w:val="auto"/>
              </w:rPr>
            </w:pPr>
          </w:p>
        </w:tc>
        <w:tc>
          <w:tcPr>
            <w:tcW w:w="604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Unobservable Input</w:t>
            </w:r>
          </w:p>
        </w:tc>
        <w:tc>
          <w:tcPr>
            <w:tcW w:w="1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Input Range</w:t>
            </w:r>
          </w:p>
        </w:tc>
        <w:tc>
          <w:tcPr>
            <w:tcW w:w="0" w:type="dxa"/>
            <w:vAlign w:val="bottom"/>
          </w:tcPr>
          <w:p>
            <w:pPr>
              <w:spacing w:after="0"/>
              <w:rPr>
                <w:sz w:val="1"/>
                <w:szCs w:val="1"/>
                <w:color w:val="auto"/>
              </w:rPr>
            </w:pPr>
          </w:p>
        </w:tc>
      </w:tr>
      <w:tr>
        <w:trPr>
          <w:trHeight w:val="185"/>
        </w:trPr>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c>
          <w:tcPr>
            <w:tcW w:w="1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4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11.9% – 13.3%</w:t>
            </w:r>
          </w:p>
        </w:tc>
        <w:tc>
          <w:tcPr>
            <w:tcW w:w="0" w:type="dxa"/>
            <w:vAlign w:val="bottom"/>
          </w:tcPr>
          <w:p>
            <w:pPr>
              <w:spacing w:after="0"/>
              <w:rPr>
                <w:sz w:val="1"/>
                <w:szCs w:val="1"/>
                <w:color w:val="auto"/>
              </w:rPr>
            </w:pPr>
          </w:p>
        </w:tc>
      </w:tr>
      <w:tr>
        <w:trPr>
          <w:trHeight w:val="216"/>
        </w:trPr>
        <w:tc>
          <w:tcPr>
            <w:tcW w:w="14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0"/>
              </w:rPr>
              <w:t>$55.9 – $58.8</w:t>
            </w: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Scenario-based analysis</w:t>
            </w:r>
          </w:p>
        </w:tc>
        <w:tc>
          <w:tcPr>
            <w:tcW w:w="120" w:type="dxa"/>
            <w:vAlign w:val="bottom"/>
          </w:tcPr>
          <w:p>
            <w:pPr>
              <w:spacing w:after="0"/>
              <w:rPr>
                <w:sz w:val="18"/>
                <w:szCs w:val="18"/>
                <w:color w:val="auto"/>
              </w:rPr>
            </w:pPr>
          </w:p>
        </w:tc>
        <w:tc>
          <w:tcPr>
            <w:tcW w:w="6040" w:type="dxa"/>
            <w:vAlign w:val="bottom"/>
            <w:gridSpan w:val="2"/>
          </w:tcPr>
          <w:p>
            <w:pPr>
              <w:spacing w:after="0" w:line="196" w:lineRule="exact"/>
              <w:rPr>
                <w:sz w:val="20"/>
                <w:szCs w:val="20"/>
                <w:color w:val="auto"/>
              </w:rPr>
            </w:pPr>
            <w:r>
              <w:rPr>
                <w:rFonts w:ascii="Arial" w:cs="Arial" w:eastAsia="Arial" w:hAnsi="Arial"/>
                <w:sz w:val="18"/>
                <w:szCs w:val="18"/>
                <w:color w:val="auto"/>
              </w:rPr>
              <w:t>Timing of the scenarios</w:t>
            </w:r>
          </w:p>
        </w:tc>
        <w:tc>
          <w:tcPr>
            <w:tcW w:w="16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0.0 – 1.0 years</w:t>
            </w:r>
          </w:p>
        </w:tc>
        <w:tc>
          <w:tcPr>
            <w:tcW w:w="0" w:type="dxa"/>
            <w:vAlign w:val="bottom"/>
          </w:tcPr>
          <w:p>
            <w:pPr>
              <w:spacing w:after="0"/>
              <w:rPr>
                <w:sz w:val="1"/>
                <w:szCs w:val="1"/>
                <w:color w:val="auto"/>
              </w:rPr>
            </w:pPr>
          </w:p>
        </w:tc>
      </w:tr>
      <w:tr>
        <w:trPr>
          <w:trHeight w:val="95"/>
        </w:trPr>
        <w:tc>
          <w:tcPr>
            <w:tcW w:w="1440" w:type="dxa"/>
            <w:vAlign w:val="bottom"/>
            <w:gridSpan w:val="2"/>
            <w:vMerge w:val="continue"/>
            <w:shd w:val="clear" w:color="auto" w:fill="CCEEFF"/>
          </w:tcPr>
          <w:p>
            <w:pPr>
              <w:spacing w:after="0"/>
              <w:rPr>
                <w:sz w:val="8"/>
                <w:szCs w:val="8"/>
                <w:color w:val="auto"/>
              </w:rPr>
            </w:pPr>
          </w:p>
        </w:tc>
        <w:tc>
          <w:tcPr>
            <w:tcW w:w="1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Probability of qualified financing</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9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121"/>
        </w:trPr>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40" w:type="dxa"/>
            <w:vAlign w:val="bottom"/>
            <w:gridSpan w:val="2"/>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Probability of default recover rate</w:t>
            </w: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940" w:type="dxa"/>
            <w:vAlign w:val="bottom"/>
          </w:tcPr>
          <w:p>
            <w:pPr>
              <w:ind w:left="20"/>
              <w:spacing w:after="0"/>
              <w:rPr>
                <w:sz w:val="20"/>
                <w:szCs w:val="20"/>
                <w:color w:val="auto"/>
              </w:rPr>
            </w:pPr>
            <w:r>
              <w:rPr>
                <w:rFonts w:ascii="Arial" w:cs="Arial" w:eastAsia="Arial" w:hAnsi="Arial"/>
                <w:sz w:val="18"/>
                <w:szCs w:val="18"/>
                <w:color w:val="auto"/>
              </w:rPr>
              <w:t>– 12.6%</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40" w:type="dxa"/>
            <w:vAlign w:val="bottom"/>
            <w:gridSpan w:val="2"/>
          </w:tcPr>
          <w:p>
            <w:pPr>
              <w:ind w:left="2020"/>
              <w:spacing w:after="0"/>
              <w:rPr>
                <w:sz w:val="20"/>
                <w:szCs w:val="20"/>
                <w:color w:val="auto"/>
              </w:rPr>
            </w:pPr>
            <w:r>
              <w:rPr>
                <w:rFonts w:ascii="Arial" w:cs="Arial" w:eastAsia="Arial" w:hAnsi="Arial"/>
                <w:sz w:val="18"/>
                <w:szCs w:val="18"/>
                <w:color w:val="auto"/>
              </w:rPr>
              <w:t>F-17</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a summary of the changes in the fair value of the Company’s liabilities measured using Level 3 inputs: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Issuance of Preferred Stock Warrants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Notes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55,905</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Preferred Stock Warrants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Notes immediately prior to settlement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Settlement of Notes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(58,769)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8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8"/>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5"/>
          </w:tcPr>
          <w:p>
            <w:pPr>
              <w:ind w:left="260"/>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1,531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Computer and software</w:t>
            </w:r>
          </w:p>
        </w:tc>
        <w:tc>
          <w:tcPr>
            <w:tcW w:w="12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2,038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9"/>
                <w:szCs w:val="19"/>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1,933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Depreciation and amortization expense was $0.1 million for the year ended December 31, 2020. As of December 31, 2020, all of the Company’s property and equipment was located in the United States.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Balance Sheet Components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4"/>
          </w:tcPr>
          <w:p>
            <w:pPr>
              <w:jc w:val="right"/>
              <w:ind w:right="414"/>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Prepaid research and development costs</w:t>
            </w:r>
          </w:p>
        </w:tc>
        <w:tc>
          <w:tcPr>
            <w:tcW w:w="388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Prepaid other</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3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338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880" w:type="dxa"/>
            <w:vAlign w:val="bottom"/>
            <w:gridSpan w:val="2"/>
          </w:tcPr>
          <w:p>
            <w:pPr>
              <w:jc w:val="right"/>
              <w:ind w:right="2927"/>
              <w:spacing w:after="0"/>
              <w:rPr>
                <w:sz w:val="20"/>
                <w:szCs w:val="20"/>
                <w:color w:val="auto"/>
              </w:rPr>
            </w:pPr>
            <w:r>
              <w:rPr>
                <w:rFonts w:ascii="Arial" w:cs="Arial" w:eastAsia="Arial" w:hAnsi="Arial"/>
                <w:sz w:val="18"/>
                <w:szCs w:val="18"/>
                <w:color w:val="auto"/>
              </w:rPr>
              <w:t>F-18</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consisted of the following:</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4"/>
          </w:tcPr>
          <w:p>
            <w:pPr>
              <w:jc w:val="right"/>
              <w:ind w:right="413"/>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clinical trial and pre-clinical costs</w:t>
            </w:r>
          </w:p>
        </w:tc>
        <w:tc>
          <w:tcPr>
            <w:tcW w:w="2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21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6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21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8640" w:hanging="4"/>
        <w:spacing w:after="0" w:line="425" w:lineRule="auto"/>
        <w:tabs>
          <w:tab w:leader="none" w:pos="300"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of Assets BlackThorn Therapeutics, Inc.</w:t>
      </w:r>
    </w:p>
    <w:p>
      <w:pPr>
        <w:ind w:left="120" w:right="100"/>
        <w:spacing w:after="0" w:line="287" w:lineRule="auto"/>
        <w:rPr>
          <w:sz w:val="20"/>
          <w:szCs w:val="20"/>
          <w:color w:val="auto"/>
        </w:rPr>
      </w:pPr>
      <w:r>
        <w:rPr>
          <w:rFonts w:ascii="Arial" w:cs="Arial" w:eastAsia="Arial" w:hAnsi="Arial"/>
          <w:sz w:val="16"/>
          <w:szCs w:val="16"/>
          <w:color w:val="auto"/>
        </w:rPr>
        <w:t>In June 2020, the Company entered into an agreement and plan of merger (BlackThorn Merger Agreement) to acquire all of the equity interests of BlackThorn Therapeutics, Inc. (BlackThorn), a privately held company. The acquisition of BlackThorn allowed the Company to expand its program pipeline by adding two clinical-stage research and development programs. The first was focused on the treatment of major depressive disorder using an antagonist of the Kappa Opioid Receptor (NMRA-140) and the second was focused on the treatment of anxiety disorders using an antagonist of the Vasopressin 1a Receptor (NMRA-511). Both NMRA-140 and NMRA-511 were exclusively licensed to BlackThorn by The Scripps Research Institute (TSRI). Through the acquisition of BlackThorn, the Company also gained access to a cloud-based computational psychiatry and data platform that was being developed to support drug target identification, patient stratification and objective clinical trial endpoints (the BlackThorn Data Science IPR&amp;D Assets). The BlackThorn Merger Agreement became effective on September 8, 2020, concurrent with the initial closing of the Company’s Series A-2 convertible preferred stock financing (the Closing Date). Between April and August 2020, the Company also purchased promissory notes issued by BlackThorn in the amount of $11.0 million. The promissory notes had a maturity date of September 2020 and carried an interest rate of 5.0%. The promissory notes were collateralized by substantially all of BlackThorn’s assets.</w:t>
      </w:r>
    </w:p>
    <w:p>
      <w:pPr>
        <w:spacing w:after="0" w:line="172"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total upfront consideration transferred to stockholders of BlackThorn consisted of (i) an aggregate of 45,178,495 shares of the Company’s Series A-1 convertible preferred stock, with an acquisition date fair value of $36.6 million, (ii) Preferred Stock Warrants to purchase 2,292,672 shares of the Company’s Series A-1 convertible preferred stock, with an acquisition date fair value of $0.7 million, and (iii) cash of $0.1 million. The Company also agreed to settle $11.0 million in principal plus accrued interest due from BlackThorn related to the promissory notes. As part of the acquisition, the Company incurred transaction costs of $1.6 million.</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fair value of the Company’s Series A-1 convertible preferred stock of $0.81 per share was determined using an option pricing model (OPM) framework and utilized the back-solve method for inferring and allocating the equity value predicated on the Company’s Series A-2 convertible preferred stock financing and the price of $1.00 per share paid by third-party investors. The shares of Series A-1 convertible preferred stock issued to the BlackThorn stockholders generally have the same rights, preferences and privileges as the Series A-2 convertible preferred shares issued to the third-party investors, other than they are junior in liquidation preference and have more limited voting rights (see Note 11). The fair value of the Preferred Stock Warrants was estimated based on a Black-Scholes option pricing model (see Note 3). The promissory notes were determined to be at fair value due to the short period of time they were outstanding.</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concluded that BlackThorn was not a variable interest entity (VIE) and that substantially all of the fair value of the gross assets of BlackThorn that were acquired was concentrated in a single identifiable group of similar IPR&amp;D assets. These IPR&amp;D assets were comprised of the two clinical-stage research and development programs involving NMRA-140 and NMRA-511, as well the BlackThorn Data Science IPR&amp;D Assets. Accordingly, the acquired set of assets and activities did not meet the definition of a business and the transaction was accounted for as an acquisition of assets. As a result, the fair value of the upfront consideration transferred, which included the fair value of the settlement of the promissory notes, and transaction costs incurred were allocated to the identifiable assets acquired and liabilities assumed based on their relative fair values as follows (in thousands):</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IPR&amp;D assets</w:t>
            </w:r>
          </w:p>
        </w:tc>
        <w:tc>
          <w:tcPr>
            <w:tcW w:w="3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48,253</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Assembled workforce</w:t>
            </w: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Other assets and liabilities, net</w:t>
            </w:r>
          </w:p>
        </w:tc>
        <w:tc>
          <w:tcPr>
            <w:tcW w:w="3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9"/>
                <w:szCs w:val="19"/>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assets acquired</w:t>
            </w:r>
          </w:p>
        </w:tc>
        <w:tc>
          <w:tcPr>
            <w:tcW w:w="3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50,007</w:t>
            </w:r>
          </w:p>
        </w:tc>
        <w:tc>
          <w:tcPr>
            <w:tcW w:w="8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The estimated fair values of the clinical stage program IPR&amp;D assets were determined using a risk-adjusted discounted cash flow approach, which used the present value of the direct cash flows expected to be generated by these assets during their estimated economic lives, net of returns on contributory assets such as working capital, property and equipment, and the assembled workforce as adjusted for probabilities of success associated with each stage in the clinical development process ranging from 9.6% to 63.2%. The discount rate of 22.3% was based on rates of return available from alternative investments of similar type and quality as of the valuation date (Level 2 and 3 inputs). The estimated fair value of the BlackThorn Data Science IPR&amp;D Assets was based on a cost replacement approach. The estimate of the fair value of the property and equipment was based on a market approach (Level 2 inputs). The estimate of the fair value of the assembled workforce was determined using a replacement cost approach, based on the estimated cost of recruiting and training an equivalent workforce as of the acquisition date (Level 3 inputs).</w:t>
      </w:r>
    </w:p>
    <w:p>
      <w:pPr>
        <w:spacing w:after="0" w:line="165" w:lineRule="exact"/>
        <w:rPr>
          <w:sz w:val="20"/>
          <w:szCs w:val="20"/>
          <w:color w:val="auto"/>
        </w:rPr>
      </w:pPr>
    </w:p>
    <w:p>
      <w:pPr>
        <w:ind w:left="120" w:right="440"/>
        <w:spacing w:after="0" w:line="301" w:lineRule="auto"/>
        <w:rPr>
          <w:sz w:val="20"/>
          <w:szCs w:val="20"/>
          <w:color w:val="auto"/>
        </w:rPr>
      </w:pPr>
      <w:r>
        <w:rPr>
          <w:rFonts w:ascii="Arial" w:cs="Arial" w:eastAsia="Arial" w:hAnsi="Arial"/>
          <w:sz w:val="16"/>
          <w:szCs w:val="16"/>
          <w:color w:val="auto"/>
        </w:rPr>
        <w:t>The cost attributed to the IPR&amp;D assets were immediately recognized as acquired in-process research and development expense in the Company’s consolidated statement of operations and comprehensive loss as the IPR&amp;D assets were related to programs associated with and/or predicated on ongoing clinical trials success that had no alternative future use as of the acquisition date. The cost attributable to the assembled workforce was expensed to research and development expense and was not considered material to the consolidated financial statements.</w:t>
      </w:r>
    </w:p>
    <w:p>
      <w:pPr>
        <w:spacing w:after="0" w:line="157"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The BlackThorn Merger Agreement requires the Company to pay the former stockholders of BlackThorn contingent consideration (i) with respect to NMRA-140, in the form of development and regulatory approval milestones of up to an aggregate amount of $365.0 million, including the potential for a milestone payment of $75.0 million upon completion of the Phase 2a clinical trial of NMRA-140 if certain success criteria are achieved,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(the BlackThorn Milestones). At the Company’s sole discretion, the BlackThorn Milestone payments may be settled in cash or shares of the Company, or a combination of both, subject to the provisions of the BlackThorn Merger Agreement, other than one development milestone in the amount of</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$10.0 million, which must be settled in cash. None of the BlackThorn Milestones were subject to liability classification and/or derivative accounting and any such contingent consideration will be recognized when the contingency is resolved, and the consideration becomes payable. For the year ended December 31, 2020, no such amounts were deemed due or payable.</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Upon closing of the acquisition, BlackThorn become a wholly-owned subsidiary of the Company and all outstanding stock options, vested or unvested, to purchase common stock of BlackThorn under the BlackThorn 2015 Equity Incentive Plan (the 2015 Plan) were converted to options to purchase 2,330,374 shares of the Company’s common stock (the BlackThorn Replacement Stock Options). The conversion ratio was determined by dividing the fair value per share of BlackThorn common stock by the fair value per share of Company common stock immediately prior to the Closing Date. The BlackThorn Replacement Stock Options were considered new awards whereby the fair value of the awards of $0.5 million was measured on the Closing Date and will be recognized as compensation in the post-acquisition period.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BlackThorn Carveout Plan</w:t>
      </w:r>
    </w:p>
    <w:p>
      <w:pPr>
        <w:spacing w:after="0" w:line="117"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The BlackThorn Merger Agreement required that the Company establish a carveout plan (the BlackThorn Carveout Plan), pursuant to which each BlackThorn stock option holder as of immediately prior to the Closing Date was allocated a certain number of units (the BlackThorn Carveout Units) based on the number of shares underlying the outstanding options held by each participant at that time. Each BlackThorn Carveout Unit represents a right to receive a portion of the BlackThorn Milestone payment (the BlackThorn Carveout Payments) upon the later of (i) the achievement of a BlackThorn Milestone and (ii) the vesting of the BlackThorn Carveout Unit.</w:t>
      </w:r>
    </w:p>
    <w:p>
      <w:pPr>
        <w:spacing w:after="0" w:line="188"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The BlackThorn Carveout Payment shall be equal to the product of (i) such BlackThorn Milestone payment, and (ii) the quotient (expressed as a percentage) obtained by dividing (a) the number of BlackThorn Carveout Units outstanding as of such BlackThorn Milestone trigger event (whether vested or unvested) by (b) the number of fully diluted common shares of former stockholders of BlackThorn as of the Closing Date.</w:t>
      </w:r>
    </w:p>
    <w:p>
      <w:pPr>
        <w:spacing w:after="0" w:line="165"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The BlackThorn Carveout Units vest based on time-based schedules that mirror the vesting schedules for the original option awards held by each participant. As of the Closing Date, a portion of the BlackThorn Carveout Units corresponding to the pre-acquisition service periods were fully vested (Vested Carveout Units). The remainder of the BlackThorn Carveout Units vest subject to the continued service of the participants. Once vested, the BlackThorn Carveout Units will only expire upon such time that all amounts payable under the plan have been paid. Any portion of the BlackThorn Carveout Payments related to forfeitures upon termination of a participant’s continued service to the Company prior to vesting of the BlackThorn Carveout Units become part of the BlackThorn Milestone payments that are payable to the former stockholders of BlackThorn.</w:t>
      </w:r>
    </w:p>
    <w:p>
      <w:pPr>
        <w:spacing w:after="0" w:line="16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Vested Carveout Units represent contingent consideration for the acquisition as they are attributable to pre-acquisition services rendered by the participants and continuing service is not required for the participants to receive future payments upon a BlackThorn Milestone being achieved. The Company will recognize the contingent consideration obligation for the Vested Carveout Units when the contingency is resolved and the consideration becomes payable. The BlackThorn Carveout Units that were unvested as of the Closing Date are dependent on the continued service of participants and were deemed to be a compensation arrangement. The Company will recognize the compensation starting from the time payment becomes probable over each participant’s service period. As of December 31, 2020, none of the BlackThorn Milestones had been achieved or were probable of being achieved, and no contingent consideration obligation or compensation related to the BlackThorn Carveout Plan had been recorded.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Syllable Life Sciences, Inc.</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September 2020, and predicated on the initial closing the Company’s Series A-2 convertible preferred stock financing, but not dependent upon the closing of the other September 2020 acquisitions, the Company entered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into an agreement and plan of merger (Syllable Merger Agreement) to acquire all of the outstanding equity of Syllable Life Sciences, Inc. (Syllable). The Company acquired Syllable to gain access the rights granted to Syllable under an exclusive license agreement (as amended, the Harvard License Agreement) with President and Fellows of Harvard College (Harvard) and an associated behavior analysis machine learning and computer vision software tool which Syllable was developing to identify and quantify behavior as an indicator of neurological conditions (collectively, the Syllable IPR&amp;D).</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total upfront consideration transferred to the former stockholders of Syllable consisted of 4,894,847 shares of the Company’s Series A-2 convertible preferred stock, with an estimated acquisition date fair value of $4.9 million. The Company also incurred transaction costs of $0.4 million to acquire Syllable. In addition, the Company assumed net liabilities of $0.7 million, including a payment obligation of $0.4 million to Harvard pursuant to the Harvard License Agreement. The Syllable Merger Agreement became effective as of the Closing Date.</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fair value of the Company’s Series A-2 convertible preferred stock of $1.00 was established using the price per share paid by third-party investors in the concurrent closing of the Series A-2 convertible preferred stock financing.</w:t>
      </w:r>
    </w:p>
    <w:p>
      <w:pPr>
        <w:spacing w:after="0" w:line="170"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Company concluded Syllable was not a VIE and substantially all of the fair value of the gross assets of Syllable acquired were concentrated in a single identifiable IPR&amp;D asset: the Syllable IPR&amp;D. Accordingly, the acquired set of assets and activities did not meet the definition of a business and the transaction was accounted for as an acquisition of assets. As a result, the fair value of the upfront consideration transferred as well as the transaction costs were allocated to the identifiable tangible and intangible assets acquired and liabilities assumed based on their relative fair values (considering Level 2 and Level 3 inputs), resulting in $5.9 million being assigned to the Syllable IPR&amp;D asset and $0.7 million for net liabilities assumed.</w:t>
      </w:r>
    </w:p>
    <w:p>
      <w:pPr>
        <w:spacing w:after="0" w:line="161"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 cost attributed to the Syllable IPR&amp;D asset was immediately recognized as acquired in-process research and development expense in the Company’s consolidated statement of operations and comprehensive loss as it was determined to have no alternative future use as of the acquisition date.</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former stockholders of Syllable are entitled to contingent consideration in the form of development milestones of up to an aggregate of $5.0 million (Syllable Milestones). At the Company’s sole discretion, the Syllable Milestone payments may be settled, in cash or shares equity of the Company, or a combination of both, subject to the provisions of the Syllable Merger Agreement and were not subject to liability classification and/or derivative accounting. Any such contingent consideration will be recognized when the contingency is resolved, and the consideration becomes payable. For the year ended December 31, 2020, no such amounts were deemed due or payable.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Propellex Bio, Inc.</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September 2020, and predicated on the initial closing of the Company’s Series A-2 convertible preferred stock financing, but not dependent upon the closing of the other September 2020 acquisitions, the Company entered into an agreement and plan of merger (Propellex Merger Agreement) to acquire all of the outstanding equity of Propellex Bio, Inc. (Propellex). The Company acquired Propellex to gain access to the rights granted to Propellex under an exclusive license with TSRI related to preclinical molecules that were indicated for the potential treatment of Parkinson’s disease and other neurodegenerative diseases.</w:t>
      </w:r>
    </w:p>
    <w:p>
      <w:pPr>
        <w:spacing w:after="0" w:line="188"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total upfront consideration transferred to the former stockholders of Propellex consisted of 10,002,633 shares of the Company’s Series A-2 convertible preferred stock, with an acquisition date fair value of $10.0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Company also incurred transaction costs of $0.5 million to acquire Propellex. In addition, the Company assumed net liabilities of $0.6 million. The Propellex Merger Agreement became effective as of the Closing Date.</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fair value of the Company’s Series A-2 convertible preferred stock of $1.00 was established using the price per share paid by third-party investors in the concurrent closing of the Series A-2 convertible preferred stock financing.</w:t>
      </w:r>
    </w:p>
    <w:p>
      <w:pPr>
        <w:spacing w:after="0" w:line="170"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 concluded Propellex was not a VIE and substantially all of the fair value of the gross assets of Propellex acquired were concentrated in a single identifiable IPR&amp;D project associated with the TSRI license and pre-clinical small-molecule inhibitors and related research results (the Propellex IPR&amp;D). As a result, the fair value of the upfront consideration transferred as well as the transaction costs were allocated to the identified tangible and intangible assets acquired and liabilities assumed based on their relative fair values (considering Level 2 and Level 3 inputs), resulting in $11.1 million being assigned to the Propellex IPR&amp;D asset and $0.6 million for net liabilities assumed.</w:t>
      </w:r>
    </w:p>
    <w:p>
      <w:pPr>
        <w:spacing w:after="0" w:line="176"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 cost attributed to the Propellex IPR&amp;D asset was immediately recognized as acquired in-process research and development expense in the Company’s consolidated statement of operations and comprehensive loss as it was determined to have no alternative future use as of the acquisition date.</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former stockholders of Propellex were entitled to contingent consideration in the form of development and regulatory approval milestones of up to an aggregate amount of $62.5 million and in the form of sales-based milestones of up to an aggregate amount of $160.0 million (the Propellex Milestone) of which $7.5 million was only settleable in shares of the Company’s Series A-2 convertible preferred stock. This contingent consideration was classified as a liability because the Series A-2 convertible preferred stock is contingently redeemable upon the occurrence of events that are outside of the control of the Company. The fair value of the contingent consideration liability at the acquisition date and though December 31, 2020 was determined to be de minimis based on the termination of the Propellex IPR&amp;D program shortly after the acquisition. The remaining contingent consideration settleable in cash or shares of the Company at the Company’s election or only in cash and were not subject to liability classification and/or derivative accounting. In addition, if the Company granted a license to a non-affiliate third party under the Propellex technology for a Propellex therapeutic product, the Company would also be required to pay to the former stockholders of Propellex a portion of the consideration received from such licensee for the grant of the license, depending on the date of receipt of the applicable license revenue from such licensee. Any such contingent consideration will be recognized when the contingency is resolved, and the consideration becomes payable. For the year ended December 31, 2020, no such amounts were deemed due or payable.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April 2021, the Company terminated all efforts related to the Propellex IPR&amp;D program.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Alairion, Inc.</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November 2020, the Company entered into an agreement and plan of merger (Alairion Merger Agreement) to acquire all of the outstanding equity of Alairion, Inc. (Alairion). The acquisition of Alairion allowed the Company to expand its program pipeline by gaining rights to two preclinical stage research and development</w:t>
      </w:r>
    </w:p>
    <w:p>
      <w:pPr>
        <w:spacing w:after="0" w:line="3" w:lineRule="exact"/>
        <w:rPr>
          <w:sz w:val="20"/>
          <w:szCs w:val="20"/>
          <w:color w:val="auto"/>
        </w:rPr>
      </w:pPr>
    </w:p>
    <w:p>
      <w:pPr>
        <w:ind w:left="120" w:right="320"/>
        <w:spacing w:after="0" w:line="302" w:lineRule="auto"/>
        <w:rPr>
          <w:sz w:val="20"/>
          <w:szCs w:val="20"/>
          <w:color w:val="auto"/>
        </w:rPr>
      </w:pPr>
      <w:r>
        <w:rPr>
          <w:rFonts w:ascii="Arial" w:cs="Arial" w:eastAsia="Arial" w:hAnsi="Arial"/>
          <w:sz w:val="16"/>
          <w:szCs w:val="16"/>
          <w:color w:val="auto"/>
        </w:rPr>
        <w:t>programs focused on the treatment of sleep disorders, an H1 receptor antagonist program (the H1 Program) and a GABA receptor positive allosteric modulator program (the GABA Program). The acquisition also provided the Company with access to a license for software that records sleep and related drug discovery and optimization technology platform (the Alairion IRP&amp;D Technology). In September 2020, the Company purchased a</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promissory note issued by Alairion in the amount of $1.8 million. The promissory note was due any time on or after September 2021 on written demand by the Company, and the interest rate was 4.0%. The note was collateralized by substantially all of Alairion’s assets.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total upfront consideration transferred to the former stockholders of Alairion consisted of the settlement of the secured promissory note of</w:t>
      </w:r>
    </w:p>
    <w:p>
      <w:pPr>
        <w:spacing w:after="0" w:line="3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$1.8 million. The Company also incurred direct transaction costs of $0.3 million to acquire Alairion. In addition, the Company assumed net liabilities of $2.1 million, consisting primarily of accounts payable and accrued liabilities. The promissory note was determined to be at fair value due to the short period of time it was outstanding.</w:t>
      </w:r>
    </w:p>
    <w:p>
      <w:pPr>
        <w:spacing w:after="0" w:line="190" w:lineRule="exact"/>
        <w:rPr>
          <w:sz w:val="20"/>
          <w:szCs w:val="20"/>
          <w:color w:val="auto"/>
        </w:rPr>
      </w:pPr>
    </w:p>
    <w:p>
      <w:pPr>
        <w:ind w:left="120" w:right="260"/>
        <w:spacing w:after="0" w:line="293" w:lineRule="auto"/>
        <w:rPr>
          <w:sz w:val="20"/>
          <w:szCs w:val="20"/>
          <w:color w:val="auto"/>
        </w:rPr>
      </w:pPr>
      <w:r>
        <w:rPr>
          <w:rFonts w:ascii="Arial" w:cs="Arial" w:eastAsia="Arial" w:hAnsi="Arial"/>
          <w:sz w:val="16"/>
          <w:szCs w:val="16"/>
          <w:color w:val="auto"/>
        </w:rPr>
        <w:t>The Company concluded Alairion was not a VIE and substantially all of the fair value of the gross assets of Alairion acquired were concentrated in a single identifiable group of similar IPR&amp;D assets. These IPR&amp;D assets comprised of the H1 Program, the GABA Program and the Alairion IPR&amp;D Technology. Accordingly, the acquired set of assets and activities did not meet the definition of a business and the transaction was accounted for as acquisition of assets. As a result, the fair value of the upfront consideration transferred as well as transaction costs incurred was allocated to the identified tangible and intangible assets acquired and liabilities assumed based on their relative fair values (considering Level 2 and Level 3 inputs), resulting in $4.3 million being assigned to the IPR&amp;D assets and $2.1 million for net liabilities assumed.</w:t>
      </w:r>
    </w:p>
    <w:p>
      <w:pPr>
        <w:spacing w:after="0" w:line="16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cost attributed to the IPR&amp;D assets were immediately recognized as acquired in-process research and development expense in the Company’s consolidated statement of operations and comprehensive loss as these IPR&amp;D assets were determined to have no alternative future use as of the acquisition date. The holders of Alairion common stock outstanding as of immediately prior to the closing date received non-transferable rights to future milestone payments of up to $33.5 million upon the achievement of specified development events and $135.0 million upon the achievement of specified commercialization events related to the H1 Program and the GABA Program (the Alairion Milestones).</w:t>
      </w:r>
    </w:p>
    <w:p>
      <w:pPr>
        <w:spacing w:after="0" w:line="176"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Alairion Milestone payments may be settled, at the Company’s sole discretion, in cash or shares of the Company, or a combination of both, subject to the provisions of the Alairion Merger Agreement. None of the Alairion Milestones were subject to liability classification and/or derivative accounting and any such contingent consideration will be recognized when the contingency is resolved, and the consideration becomes payable. For the year ended December 31, 2020, no such amounts were deemed due or payable.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Alairion Carveout Plan</w:t>
      </w:r>
    </w:p>
    <w:p>
      <w:pPr>
        <w:spacing w:after="0" w:line="117"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Alairion Merger Agreement also required the Company to establish a carveout plan (the Alairion Carveout Plan) pursuant to which a portion of the payments under the Alairion Milestones, up to $3.0 million (the Alairion Carveout Payments), are reserved for participants under the Alairion Carveout Plan. Participants in the Alairion Carveout Plan are comprised of former Alairion employees, several of whom were retained as employees or consultants of the Company post-acquisition. Under the Alairion Carveout Plan, the Company granted the participants retention units, each representing a right to receive future payments upon the completion of Phase 2 clinical studies with respect to either the H1 Program or the GABA Program and achievement of the related Alairion Milestone, subject to the continued service of the participant until such time and were deemed to be a compensation arrangement. The retention units are forfeited if a participant’s service is terminated prior to the receipt of results from the Phase 2 clinical studies associated with the H1 Program and GABA Program. The Company will recognize such compensation starting from the time payment becomes probable over each participant’s service period. During the year ended December 31, 2020, the Company did not recognize any compensation related to the Alairion Carveout Payments because it was not probable that Phase 2 clinical studies would be achieved.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Convertible Promissory Notes</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Between February and September 2020, the Company issued the 2020 Bridge Notes with an aggregate principal amount of $55.9 million to various investors, one of which was a significant stockholder of the Company and a related party to the Company. The 2020 Bridge Notes bore interest rates of 3.0% or 5.0% and were repayable upon demand by the holders at any time after February 2021 or March 2021. The 2020 Bridge Notes would automatically convert into shares of the Company’s capital stock upon the closing of a financing in which shares of the Company’s capital stock were issued to one or more investors resulting in gross cash proceeds to the Company of at least $50.0 million (Qualified Financing). The number of shares to be issued in connection with the conversion of the 2020 Bridge Notes were determined as (i) the sum of the outstanding principal amount and all accrued but unpaid interest divided by (ii) 85%, 95% or 100% of the cash purchase price paid by the investors in the Qualified Financing. In the event of a change of control including a merger, consolidation, sale by stockholders of the Company of capital stock representing at least 50% of the outstanding voting power of the Company, or a similar corporate transaction, the Company was required to redeem the 2020 Bridge Notes from the holders at 150% of the then-outstanding principal balance in cash. Upon an event of default, including failure to comply with the Company’s payment and other obligations under the 2020 Bridge Notes, the outstanding principal and unpaid interest would be immediately due and payable.</w:t>
      </w:r>
    </w:p>
    <w:p>
      <w:pPr>
        <w:spacing w:after="0" w:line="17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September 2020, the Company completed a Series A-2 convertible preferred stock financing that satisfied the condition of a Qualified Financing. The outstanding principal and accrued interest under the 2020 Bridge Notes with a fair value of $59.2 million were settled by issuing 59,180,294 shares of the Company’s Series A-2 convertible preferred stock (Series A-2 Preferred) to the holders. As the Company elected the fair value option to account for the 2020 Bridge Notes (see Note 3), no gain or loss was recognized upon settlement.</w:t>
      </w:r>
    </w:p>
    <w:p>
      <w:pPr>
        <w:spacing w:after="0" w:line="171"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Concurrent with the issuance of the 2020 Bridge Notes, the Company issued an aggregate of 51,508,327 shares of its common stock to certain of the holders in return for commitments to participate in the Company’s Series A-2 Preferred stock financing. Such shares of common stock were subject to the investors’ right of forfeiture that lapsed upon fulfillment of their respective commitments to the Company in one or more subsequent closings of the Company’s Series A-2 Preferred stock financing. The funding commitments, together with the embedded shares of common stock, were determined to be freestanding instruments apart from the 2020 Bridge Notes (the funding commitment asset or FCA). The Company determined that the FCA (i) did not meet the criteria to be classified as a liability on its consolidated balance sheets, (ii) qualified for a scope exception from derivative accounting, and</w:t>
      </w:r>
    </w:p>
    <w:p>
      <w:pPr>
        <w:spacing w:after="0" w:line="4" w:lineRule="exact"/>
        <w:rPr>
          <w:sz w:val="20"/>
          <w:szCs w:val="20"/>
          <w:color w:val="auto"/>
        </w:rPr>
      </w:pPr>
    </w:p>
    <w:p>
      <w:pPr>
        <w:ind w:left="120" w:right="100" w:hanging="4"/>
        <w:spacing w:after="0" w:line="260" w:lineRule="auto"/>
        <w:tabs>
          <w:tab w:leader="none" w:pos="43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was not required to be measured at fair valued at inception (or subsequently). Accordingly, the proceeds received from the 2020 Bridge Notes were allocated to the FCA on a residual basis, and such residual value was determined to be insignificant at inception.</w:t>
      </w:r>
    </w:p>
    <w:p>
      <w:pPr>
        <w:spacing w:after="0" w:line="18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As of December 31, 2020, the FCA held by one investor to purchase 10,000,000 shares in the Company’s Series A-2 Preferred remained outstanding and accordingly, 7,500,000 shares of common stock were subject to the investor’s right of forfeiture.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Restructuring</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October 2020, the Company initiated a partial reduction-in-force whereby eight employees located at its Brannan Street, San Francisco laboratory facility (Brannan) were terminated. The Company substantially completed the reduction-in-workforce in the fourth quarter of 2020 and recognized severance benefits and related costs of approximately $0.5 million in research and development expenses in the consolidated statement of operations and comprehensive loss for the year ended December 31, 2020. There were no material remaining payment obligations related to termination benefits to the Company’s former employees as of December 31, 2020. In addition, in December 2020, the Company entered into a lease termination agreement to early terminate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Brannan lease, which was originally due to expire in December 2021, in exchange for payment of a one-time termination fee of $0.3 million. Effective as of December 31, 2020, the Company had no further payment obligations under the Brannan lease. The Company recognized a $0.6 million reduction of operating lease right-of-use assets and a corresponding $0.7 million reduction of operating lease liabilities in the consolidated balance sheet as of December 31, 2020.</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the Company evaluated indicators of impairment for the property and equipment located at Brannan in connection with its plans to exit such facility. The Company concluded that the carrying value of the leasehold improvement assets were not fully recoverable and recognized an impairment charge of $0.4 million, which was included in other income (expense), net in the consolidated statement of operations and comprehensive loss for the year ended December 31, 2020.</w:t>
      </w:r>
    </w:p>
    <w:p>
      <w:pPr>
        <w:spacing w:after="0" w:line="291" w:lineRule="exact"/>
        <w:rPr>
          <w:sz w:val="20"/>
          <w:szCs w:val="20"/>
          <w:color w:val="auto"/>
        </w:rPr>
      </w:pPr>
    </w:p>
    <w:p>
      <w:pPr>
        <w:ind w:left="120" w:right="8260" w:hanging="4"/>
        <w:spacing w:after="0" w:line="378" w:lineRule="auto"/>
        <w:tabs>
          <w:tab w:leader="none" w:pos="3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left="120"/>
        <w:spacing w:after="0" w:line="293" w:lineRule="auto"/>
        <w:rPr>
          <w:sz w:val="20"/>
          <w:szCs w:val="20"/>
          <w:color w:val="auto"/>
        </w:rPr>
      </w:pPr>
      <w:r>
        <w:rPr>
          <w:rFonts w:ascii="Arial" w:cs="Arial" w:eastAsia="Arial" w:hAnsi="Arial"/>
          <w:sz w:val="16"/>
          <w:szCs w:val="16"/>
          <w:color w:val="auto"/>
        </w:rPr>
        <w:t>The Company did not have any lease arrangements until 2020. During the year ended December 31, 2020, the Company entered into or assumed, as part of its acquisitions of assets, certain operating lease arrangements for office and laboratory spaces located in Massachusetts and California with noncancelable lease terms expiring between 2021 and 2023. These leases require monthly lease payments that may be subject to annual increases throughout the lease term. Certain lease agreements also provide the Company with the option to renew for additional periods of up to three years. The renewal options have not been considered in the remaining lease term because it is not reasonably certain that the Company will exercise such renewal options. In December 2020, the Company entered into an agreement to early terminate the Brannan lease (see Note 8).</w:t>
      </w:r>
    </w:p>
    <w:p>
      <w:pPr>
        <w:spacing w:after="0" w:line="164"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Under the lease agreements, the Company is generally required to pay certain operating costs, in addition to rent, such as common area maintenance, taxes, utilities and insurance. Such additional charges are considered variable lease costs and are recognized in the period in which they are incurred. Rent expense for the year ended December 31, 2020 was $0.5 million and variable costs were insignificant.</w:t>
      </w:r>
    </w:p>
    <w:p>
      <w:pPr>
        <w:spacing w:after="0" w:line="16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Company’s operating leases include various covenants, indemnities, defaults, termination rights, security deposits and other provisions customary for lease transactions of this nature.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maturity of the Company’s operating lease liabilities as of December 31, 2020 were as follows (in thousands):</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Undiscounted lease payments</w:t>
            </w:r>
          </w:p>
        </w:tc>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jc w:val="right"/>
              <w:ind w:right="3370"/>
              <w:spacing w:after="0"/>
              <w:rPr>
                <w:sz w:val="20"/>
                <w:szCs w:val="20"/>
                <w:color w:val="auto"/>
              </w:rPr>
            </w:pPr>
            <w:r>
              <w:rPr>
                <w:rFonts w:ascii="Arial" w:cs="Arial" w:eastAsia="Arial" w:hAnsi="Arial"/>
                <w:sz w:val="18"/>
                <w:szCs w:val="18"/>
                <w:color w:val="auto"/>
              </w:rPr>
              <w:t>2021</w:t>
            </w:r>
          </w:p>
        </w:tc>
        <w:tc>
          <w:tcPr>
            <w:tcW w:w="5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rPr>
              <w:t>2022</w:t>
            </w:r>
          </w:p>
        </w:tc>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jc w:val="right"/>
              <w:ind w:right="3370"/>
              <w:spacing w:after="0"/>
              <w:rPr>
                <w:sz w:val="20"/>
                <w:szCs w:val="20"/>
                <w:color w:val="auto"/>
              </w:rPr>
            </w:pPr>
            <w:r>
              <w:rPr>
                <w:rFonts w:ascii="Arial" w:cs="Arial" w:eastAsia="Arial" w:hAnsi="Arial"/>
                <w:sz w:val="18"/>
                <w:szCs w:val="18"/>
                <w:color w:val="auto"/>
              </w:rPr>
              <w:t>2023</w:t>
            </w:r>
          </w:p>
        </w:tc>
        <w:tc>
          <w:tcPr>
            <w:tcW w:w="5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lease payments</w:t>
            </w:r>
          </w:p>
        </w:tc>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Imputed interest</w:t>
            </w:r>
          </w:p>
        </w:tc>
        <w:tc>
          <w:tcPr>
            <w:tcW w:w="5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5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Operating lease liabilities, current portion</w:t>
            </w:r>
          </w:p>
        </w:tc>
        <w:tc>
          <w:tcPr>
            <w:tcW w:w="5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5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320" w:type="dxa"/>
            <w:vAlign w:val="bottom"/>
            <w:gridSpan w:val="2"/>
          </w:tcPr>
          <w:p>
            <w:pPr>
              <w:jc w:val="right"/>
              <w:ind w:right="4260"/>
              <w:spacing w:after="0"/>
              <w:rPr>
                <w:sz w:val="20"/>
                <w:szCs w:val="20"/>
                <w:color w:val="auto"/>
              </w:rPr>
            </w:pPr>
            <w:r>
              <w:rPr>
                <w:rFonts w:ascii="Arial" w:cs="Arial" w:eastAsia="Arial" w:hAnsi="Arial"/>
                <w:sz w:val="18"/>
                <w:szCs w:val="18"/>
                <w:color w:val="auto"/>
              </w:rPr>
              <w:t>F-26</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Supplemental information on the Company’s operating leases was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908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9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operating lease agreements (in thousands)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not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Commitments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has various manufacturing, clinical, research and other contracts with vendors in the conduct of the normal course of its business. Such contracts are generally terminable with advanced written notice and payment for any products or services received by the Company through the effective time of termination and any non-cancelable and non-refundable obligations incurred by the vendor at the effective time of the termination. In the case of terminating a clinical trial agreement at a particular site, the Company would also be obligated to provide continued support for appropriate medical procedures at that site until completion or termination.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Strategic License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2015 TSRI License Agreement</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connection with the acquisition of BlackThorn (see Note 6), the Company gained rights under a license agreement between BlackThorn and TSRI originally entered into in November 2015 (as amended, the 2015 TSRI License Agreement). Pursuant to the 2015 TSRI License Agreement, BlackThorn was granted certain exclusive rights to intellectual property related to Kappa Opioid Receptor and V1aR Receptor Antagonist programs as well as an oxytocin receptors positive allosteric modulator program (collectively, the TSRI Programs) from TSRI to develop, manufacture and commercialize diagnostic, prophylactic or therapeutic products covered by the licensed patents, or that involve the use or incorporation of the licensed know-how. The technology licensed under the 2015 TSRI License Agreement is used in the Company’s NMRA-140 and NMRA-511 research and development programs.</w:t>
      </w:r>
    </w:p>
    <w:p>
      <w:pPr>
        <w:spacing w:after="0" w:line="195"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color w:val="auto"/>
        </w:rPr>
        <w:t>Pursuant to the 2015 TSRI License Agreement, the Company is obligated, among other things, to pay TSRI (i) a nominal annual license fee due and payable on the first day of each calendar year and after the fourth anniversary creditable against any royalties due for such calendar year,</w:t>
      </w:r>
    </w:p>
    <w:p>
      <w:pPr>
        <w:ind w:left="120" w:right="680" w:hanging="4"/>
        <w:spacing w:after="0" w:line="260" w:lineRule="auto"/>
        <w:tabs>
          <w:tab w:leader="none" w:pos="3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development and regulatory milestone payments of up to $1.5 million in aggregate for the first product from each TSRI Program, which are contingent upon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achieving specific development and regulatory milestone events, (iii) commercial milestone payments of up to $3.5 million in aggregate for each occurrence, which are contingent upon achieving specified commercialization milestone events, (iv) tiered low-single digit royalties on future net sales of each royalty-bearing product and (v) a percentage ranging from the mid-single digits to sub teen double digits of any sublicensing revenues the Company receives. The royalties are payable on a product-by-product and country-by-country basis until the later of expiration of the last to expire valid claim in the licensed patents production in the world and ten years after the first commercial sale of such product in such country. The Company also paid a change of control success fee to TSRI in shares of its Series A-1 convertible preferred stock with a fair value of $0.3 million as part of the acquisition of BlackThorn. As of December 31, 2020, none of the milestones had been achieved and no royalties were due under the 2015 TSRI License Agreement.</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2015 TSRI License Agreement will remain in force until the expiration of all royalty payment obligations, unless terminated sooner (i) by the Company for convenience upon 90 days’ prior written notice to TSRI, or (ii) by either party upon certain events of default or material breach of contract by the other party.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TSRI License Agreement</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In connection with the acquisition of Propellex (see Note 6), the Company gained rights under a license agreement between Propellex and TSRI (the 2020 TSRI License Agreement) originally entered into in June 2020. Pursuant to the 2020 TSRI License Agreement, Propellex obtained an exclusive, worldwide, royalty-bearing, sublicensable license under certain patent rights, know-how and licensed materials for the treatment of Parkinson’s disease and other neurodegenerative diseases and neurological pathologies, to develop, manufacture and commercialize products covered by the licensed patents, or that involve the use or incorporation of the licensed know-how or licensed materials.</w:t>
      </w:r>
    </w:p>
    <w:p>
      <w:pPr>
        <w:spacing w:after="0" w:line="176"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Under the 2020 TSRI License Agreement, the Company is obligated, among other things, to pay TSRI (i) milestone payments of up to an aggregate of $7.4 million per licensed product, which are contingent upon achieving specific development and commercialization milestone events, (ii) tiered low-single digit royalties on future net sales of each royalty-bearing product, and (iii) a portion of any sub licensing revenues it receives. As of December 31, 2020, none of the milestones had been achieved and no royalties were due under the 2020 TSRI License Agreement.</w:t>
      </w:r>
    </w:p>
    <w:p>
      <w:pPr>
        <w:spacing w:after="0" w:line="15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Subsequent to December 31, 2020, the Company terminated the Propellex IPR&amp;D program (see Note 6). The 2020 TSRI License Agreement has not been terminated.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Harvard License Agreement</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In connection with the acquisition of Syllable (see Note 6), the Company gained rights to a license agreement between Syllable and Harvard originally entered into in June 2020. Pursuant to the Harvard License Agreement, Syllable obtained an exclusive, worldwide, royalty-bearing, sublicensable license under certain patent rights and copyrights covering certain behavior imagining and behavioral tracking software, to develop and commercialize products and services based thereon. The Company use the technology licensed under the Harvard License Agreement to advance its precision neuroscience platform.</w:t>
      </w:r>
    </w:p>
    <w:p>
      <w:pPr>
        <w:spacing w:after="0" w:line="188"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Under the Harvard License Agreement, Syllable was required to pay Harvard a change of control payment. The Company agreed to pay the change-of-control payment in cash as part of the acquisition. In addition, the Company is obligated, among other things, to pay Harvard (i) nominal annual license maintenance fees that are creditable against any royalty amounts payable for licensed products sold in the same year, (ii) mid-single digit royalties on future net sales of each royalty-bearing product that utilizes the licensed technology, and (iii) a</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portion of any sub licensing revenues the Company receives ranging from the high teens to low-double digits. The royalties are payable until the later of expiration of the last to expire valid claim in the licensed patents that cover such product and the fifteenth anniversary of the first commercial sale of the last licensed product offered for sale. As of December 31, 2020, none of the milestones had been achieved and no royalties were due under the Harvard License Agreement.</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Harvard License Agreement will remain in force until expiration of all royalty payment obligations unless terminated sooner (i) by the Company for convenience upon 120 days’ prior written notice to Harvard, (ii) by Harvard if the Company becomes insolvent, bankrupt, or becomes the subject of liquidation or dissolution proceedings or otherwise discontinues business, or (iii) by either party upon certain events of default or material breach of contract by the other party.</w:t>
      </w:r>
    </w:p>
    <w:p>
      <w:pPr>
        <w:spacing w:after="0" w:line="187"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In addition, the Harvard License Agreement provided for certain development milestones that the Company is required to meet between April 2021 and July 2023. Failure to meet such milestones constituted a material breach of contract and would provide Harvard with the right to immediately terminate the agreement. Subsequent to December 31, 2020, the Company and Harvard amended the agreement to extend the milestone deadlines (see Note 18).</w:t>
      </w:r>
    </w:p>
    <w:p>
      <w:pPr>
        <w:spacing w:after="0" w:line="253" w:lineRule="exact"/>
        <w:rPr>
          <w:sz w:val="20"/>
          <w:szCs w:val="20"/>
          <w:color w:val="auto"/>
        </w:rPr>
      </w:pPr>
    </w:p>
    <w:p>
      <w:pPr>
        <w:ind w:left="120" w:right="6580" w:hanging="4"/>
        <w:spacing w:after="0" w:line="378" w:lineRule="auto"/>
        <w:tabs>
          <w:tab w:leader="none" w:pos="3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Deficit Convertible Preferred Stock</w:t>
      </w:r>
    </w:p>
    <w:p>
      <w:pPr>
        <w:ind w:left="120" w:right="80"/>
        <w:spacing w:after="0" w:line="272" w:lineRule="auto"/>
        <w:rPr>
          <w:sz w:val="20"/>
          <w:szCs w:val="20"/>
          <w:color w:val="auto"/>
        </w:rPr>
      </w:pPr>
      <w:r>
        <w:rPr>
          <w:rFonts w:ascii="Arial" w:cs="Arial" w:eastAsia="Arial" w:hAnsi="Arial"/>
          <w:sz w:val="17"/>
          <w:szCs w:val="17"/>
          <w:color w:val="auto"/>
        </w:rPr>
        <w:t>In September 2020, the Company executed a preferred stock purchase agreement (the SPA) and issued 123,620,000 shares of its Series A-2 Preferred at $1.00 per share for aggregate proceeds of $123.6 million in the initial closing of its Series A-2 Preferred financing. Upon the initial closing, the right of forfeiture for 44,008,327 shares of the Company’s common stock issued with the 2020 Bridge Notes lapsed. Concurrent with the initial closing, the Company acquired a legal entity through the issuance of 40,000,000 shares of its Series A-2 Preferred and 10,000,000 shares of its common stock. The entity did not meet the definition of a business and its sole asset was cash. As a result, the shares of the Company’s Series A-2 Preferred and common stock were recognized at their relative fair values for $39.5 million of cash obtained in the transaction. The Company also issued 59,180,294 shares of its Series A-2 Preferred upon settlement of the 2020 Bridge Notes.</w:t>
      </w:r>
    </w:p>
    <w:p>
      <w:pPr>
        <w:spacing w:after="0" w:line="177"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In addition, in September 2020, the Company issued an aggregate of 45,178,495 and 14,897,480 shares of its Series A-1 convertible preferred stock (Series A-1 Preferred) and Series A-2 Preferred, respectively, as consideration for various acquisitions of assets (see Note 6).</w:t>
      </w:r>
    </w:p>
    <w:p>
      <w:pPr>
        <w:spacing w:after="0" w:line="14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accordance with the terms of the SPA, the Company also committed to selling 40,000,000 additional shares of its Series A-2 Preferred to one investor who is a related party at a fixed price of $1.00 per share in one or more subsequent closings on or before March 8, 2021. The Company determined that its obligation to issue additional shares of Series A-2 Preferred in subsequent closings is a freestanding financial instrument that should be classified as a liability (the convertible preferred stock tranche liability) on the Company’s consolidated balance sheets and remeasured to fair value during the reporting period with any changes in fair value being recognized as a component of other income (expense) in the consolidated statements of operations and comprehensive loss. The fair value of convertible preferred stock tranche liability was determined to be de minimis on issuance and through December 31, 2020 because of (i) the original expected short-term nature of the obligation and (ii) the absence of significant business activities or events during the period from issuance in September 2020 to the end of 2020 that could have significantly impacted the value of the Company. Furthermore, additional third-party investors participated in the closing of the Company’s subsequent Series A-2 convertible preferred stock financing completed in September 2021, which indicated a fair value of $1.00 per share (see Note 18).</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Further, pursuant to the SPA, a forfeiture provision was added to the terms of 33,333,333 shares of the Company’s common stock previously issued in January 2020 to the same investor and related party that the Company committed to selling 40,000,000 additional shares of Series A-2 Preferred, of which 13,333,333 remain subject to the forfeiture provision as of December 31, 2020. The Company determined there was no accounting impact because it did not result in a transfer of value from the Company’s common stockholders to its preferred stockholders.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the acquisition of Alairion in November 2020, an existing stockholder of both Alairion and the Company purchased a total of</w:t>
      </w:r>
    </w:p>
    <w:p>
      <w:pPr>
        <w:spacing w:after="0" w:line="35" w:lineRule="exact"/>
        <w:rPr>
          <w:sz w:val="20"/>
          <w:szCs w:val="20"/>
          <w:color w:val="auto"/>
        </w:rPr>
      </w:pPr>
    </w:p>
    <w:p>
      <w:pPr>
        <w:jc w:val="both"/>
        <w:ind w:left="120" w:right="140"/>
        <w:spacing w:after="0" w:line="255" w:lineRule="auto"/>
        <w:rPr>
          <w:sz w:val="20"/>
          <w:szCs w:val="20"/>
          <w:color w:val="auto"/>
        </w:rPr>
      </w:pPr>
      <w:r>
        <w:rPr>
          <w:rFonts w:ascii="Arial" w:cs="Arial" w:eastAsia="Arial" w:hAnsi="Arial"/>
          <w:sz w:val="18"/>
          <w:szCs w:val="18"/>
          <w:color w:val="auto"/>
        </w:rPr>
        <w:t>$12.0 million of Alairion convertible notes immediately prior to the closing date that were settled with 12,000,000 shares of the Company’s Series A-2 Preferred upon closing (the Alairion Pre-Closing Financing). The Alairion Pre-Closing Financing was treated as a separate arrangement apart from the acquisition of assets (see Note 6).</w:t>
      </w:r>
    </w:p>
    <w:p>
      <w:pPr>
        <w:spacing w:after="0" w:line="19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There were no shares of the Company’s convertible preferred stock, authorized, issued or outstanding as of December 31, 2019. As of December 31, 2020, the Company’s convertible preferred stock consisted of the following:</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Shares</w:t>
            </w: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8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Issued and</w:t>
            </w: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Authorized</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5"/>
          </w:tcPr>
          <w:p>
            <w:pPr>
              <w:ind w:left="56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50,000</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45,178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Series A-2</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290,000</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249,698</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245,084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249,698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convertible preferred stock</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340,000</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294,876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281,679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294,876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the Company’s convertible preferred stock have the following rights, preferences and privileges: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560" w:right="160"/>
        <w:spacing w:after="0" w:line="273" w:lineRule="auto"/>
        <w:rPr>
          <w:sz w:val="20"/>
          <w:szCs w:val="20"/>
          <w:color w:val="auto"/>
        </w:rPr>
      </w:pPr>
      <w:r>
        <w:rPr>
          <w:rFonts w:ascii="Arial" w:cs="Arial" w:eastAsia="Arial" w:hAnsi="Arial"/>
          <w:sz w:val="17"/>
          <w:szCs w:val="17"/>
          <w:color w:val="auto"/>
        </w:rPr>
        <w:t>The holders of each series of convertible preferred stock are entitled to non-cumulative dividends at an annual rate of 6.0% of the original issue price when and if declared by the Company’s board of directors. The dividend rate is subject to adjustment if the Company undertakes any stock splits, stock dividends, combinations, subdivisions, or recapitalization events. Holders of Series A-2 Preferred are entitled to dividends prior and in preference to any declaration or payment of any dividend to holders of Series A-1 Preferred and common stock. Holders of the Series A-1 Preferred are entitled to dividends prior and in preference to any declaration or payment of any dividend to holders of common stock. No dividends have been declared or paid as of December 31, 2020.</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Liquidation distributions</w:t>
      </w:r>
    </w:p>
    <w:p>
      <w:pPr>
        <w:spacing w:after="0" w:line="117"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In the event of any liquidation, dissolution, or winding up of the Company, either voluntary or involuntary, the holders of the then outstanding Series A-2 Preferred shall be entitled to receive, prior and in preference to any distribution of any of the assets of the Company to the holders of the Series A-1 Preferred and common stock, a liquidation preference in an amount per share equal to the original issue price (as adjusted for stock splits, stock dividends, and recapitalizations) plus all declared but unpaid dividends on such shares. The holders of the then outstanding Series A-1 Preferred shall be entitled to receive, prior and in preference to any distribution of any of the assets of the Company to the holders of the common stock, a liquidation preference in an amount per share equal to the original issue price (as adjusted for stock splits, stock</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560" w:right="200"/>
        <w:spacing w:after="0" w:line="257" w:lineRule="auto"/>
        <w:rPr>
          <w:sz w:val="20"/>
          <w:szCs w:val="20"/>
          <w:color w:val="auto"/>
        </w:rPr>
      </w:pPr>
      <w:r>
        <w:rPr>
          <w:rFonts w:ascii="Arial" w:cs="Arial" w:eastAsia="Arial" w:hAnsi="Arial"/>
          <w:sz w:val="18"/>
          <w:szCs w:val="18"/>
          <w:color w:val="auto"/>
        </w:rPr>
        <w:t>dividends, and recapitalizations) plus all declared but unpaid dividends on such shares. Thereafter, any remaining assets of the Company will be distributed, on a pari passu basis, among the holders of the common stock. If the assets and funds available to be distributed to the stockholders shall be insufficient to permit the payment, in full, of any of the liquidation preferences, then the entire assets and funds legally available for distribution to the convertible preferred stock shall be distributed ratably among the holders of convertible preferred stock based on the total number of shares held by each holder.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color w:val="auto"/>
        </w:rPr>
        <w:t>The holder of each share of convertible preferred stock is entitled to one vote for each share of common stock into which it would convert. Except as provided by law or other provisions in the Company’s Amended and Restated Certificate of Incorporation, the holders of the convertible preferred stock shall vote together with the holders of the common stock as a single class on an as-converted basis. So long as 16,000,000 shares of Series A-2 Preferred remain outstanding, then (i) the holders of such convertible preferred stock, exclusively, are entitled to elect three directors of the Company, (ii) the holders of the Company’s common stock, exclusively, are entitled to elect one director of the Company, and (iii) the holders of the Series A-2 Preferred and common stock, voting together as a single class on an as-converted basis, are entitled to elect two directors of the Company. The holders of the Series A-1 Preferred are not entitled to elect directors of the Company.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The shares of convertible preferred stock are convertible into shares of common stock at the option of the holder, at any time after the date of issuance of such shares, determined by dividing the original issue price per share by the conversion price in effect at the time of conversion. As of December 31, 2020, the applicable conversion price was $1.00 per share for Series A-1 Preferred and $1.00 per share for Series A-2 Preferred. The conversion price shall be subject to adjustments for stock splits, stock dividends, combinations, subdivisions, or recapitalization events. In addition, if the Company should issue convertible preferred stock or common stock without consideration or for a consideration per share less than the conversion price for the convertible preferred stock, the conversion price for each series shall automatically be adjusted in accordance with anti-dilution provisions contained in the Company’s Amended and Restated Certificate of Incorporation.</w:t>
      </w:r>
    </w:p>
    <w:p>
      <w:pPr>
        <w:spacing w:after="0" w:line="58" w:lineRule="exact"/>
        <w:rPr>
          <w:sz w:val="20"/>
          <w:szCs w:val="20"/>
          <w:color w:val="auto"/>
        </w:rPr>
      </w:pPr>
    </w:p>
    <w:p>
      <w:pPr>
        <w:ind w:left="560" w:right="140"/>
        <w:spacing w:after="0" w:line="279" w:lineRule="auto"/>
        <w:rPr>
          <w:sz w:val="20"/>
          <w:szCs w:val="20"/>
          <w:color w:val="auto"/>
        </w:rPr>
      </w:pPr>
      <w:r>
        <w:rPr>
          <w:rFonts w:ascii="Arial" w:cs="Arial" w:eastAsia="Arial" w:hAnsi="Arial"/>
          <w:sz w:val="17"/>
          <w:szCs w:val="17"/>
          <w:color w:val="auto"/>
        </w:rPr>
        <w:t>Each share of convertible preferred stock shall automatically convert into common stock immediately upon (i) the closing of the sale of common stock in a firm-commitment underwritten public offering pursuant to an effective registration statement under the Securities Act of 1933, as amended, resulting in at least $30.0 million of gross proceeds to the Company (a Qualified IPO), or (ii) the occurrence of an event, specified by vote or written consent of the holders of a majority of the then-outstanding shares of Series A-2 Preferred.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Redemption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share of Series A-1 Preferred and A-2 Preferred are not mandatorily redeemable.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Under the Company’s investors’ rights agreement, certain holders of the Company’s convertible preferred stock and common stock have the right to demand that the Company file a registration statement or request that their shares be covered by a registration statement that the Company is otherwise filing. Holders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560" w:right="40"/>
        <w:spacing w:after="0" w:line="290" w:lineRule="auto"/>
        <w:rPr>
          <w:sz w:val="20"/>
          <w:szCs w:val="20"/>
          <w:color w:val="auto"/>
        </w:rPr>
      </w:pPr>
      <w:r>
        <w:rPr>
          <w:rFonts w:ascii="Arial" w:cs="Arial" w:eastAsia="Arial" w:hAnsi="Arial"/>
          <w:sz w:val="16"/>
          <w:szCs w:val="16"/>
          <w:color w:val="auto"/>
        </w:rPr>
        <w:t>Company’s convertible preferred stock have the right to request the Company to file certain registration statements with the SEC for the registration of shares related to the convertible preferred stock.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 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holders of the Company’s common stock are entitled to one vote per share on all matters to be voted on by the stockholders of the Company and are entitled to dividends, if and when declared by the Company’s board of directors, subject to the prior rights of the preferred stockholders. Common stock outstanding on the consolidated balance sheet and consolidated statement of convertible preferred stock and stockholders’ deficit as of December 31, 2020 includes 86,897,223 shares of restricted stock that vest based on service conditions and are subject to the Company’s right of repurchase upon termination of services, 7,160,000 shares of restricted stock that vest based on performance conditions and for which a grant date had not been established (see Note 13), and 20,833,333 shares of common stock subject to the investors’ right of forfeiture.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did not have any common stock reserved for issuance as of December 31, 2019 and common stock reserved for future issuance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consisted of the following (in thousands):</w:t>
      </w:r>
    </w:p>
    <w:p>
      <w:pPr>
        <w:spacing w:after="0" w:line="25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conversation of outstanding Series A-1 and Series A-2 Preferred</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294,876</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Shares reserved for Series A-1 Preferred related to Preferred Stock Warrants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2,293</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options to purchase common stock under the Plans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26,775</w:t>
            </w: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Shares reserved for issuance under the Plans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357,093</w:t>
            </w: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 addition, the Company may be required to issue additional shares of its capital stock if certain milestone conditions are met pursuant to the contingent consideration and compensation arrangements associated with the Company’s acquisitions of assets (see Note 6). As of December 31, 2020, the milestone conditions are not probable of being met and no shares have been reserved for potential future issuances.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Preferred Stock Warrants</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September 2020, in connection with the BlackThorn acquisition, the Company issued Preferred Stock Warrants to purchase up to 2,292,672 shares of Series A-1 Preferred with an exercise price of $1.35 per share, all of which were outstanding as of December 31, 2020. The Preferred Stock Warrants expire on the earlier of (i) December 31, 2021, (ii) immediately prior to the consummation of an underwritten initial public offering of the Company’s common stock, and (iii) upon the closing of a deemed liquidation event. The Preferred Stock Warrants provide for cashless net exercise pursuant to which the holder may, in lieu of payment of the exercise price in cash, surrender the Preferred Stock Warrant and receive a net amount of shares based on the fair market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value of the Company’s convertible preferred stock at the time of exercise after deduction of the aggregate exercise price. The Preferred Stock Warrants also provide for adjustments in the event of specified stock dividends, stock splits, reclassifications, and consolidations.</w:t>
      </w:r>
    </w:p>
    <w:p>
      <w:pPr>
        <w:spacing w:after="0" w:line="274" w:lineRule="exact"/>
        <w:rPr>
          <w:sz w:val="20"/>
          <w:szCs w:val="20"/>
          <w:color w:val="auto"/>
        </w:rPr>
      </w:pPr>
    </w:p>
    <w:p>
      <w:pPr>
        <w:ind w:left="120" w:right="8620" w:hanging="4"/>
        <w:spacing w:after="0" w:line="453" w:lineRule="auto"/>
        <w:tabs>
          <w:tab w:leader="none" w:pos="390" w:val="left"/>
        </w:tabs>
        <w:numPr>
          <w:ilvl w:val="0"/>
          <w:numId w:val="159"/>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2020 Equity Incentive Plan</w:t>
      </w:r>
    </w:p>
    <w:p>
      <w:pPr>
        <w:spacing w:after="0" w:line="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January 2020, the Company adopted the 2020 Equity Incentive Plan (the 2020 Plan) under which 14,300,000 shares of common stock were initially reserved for issuance to employees, directors and non-employee service providers of the Company. The 2020 Plan provides for the grant of incentive stock options, non-statutory stock options, restricted stock awards, restricted stock unit, and other stock-based awards. Under the 2020 Plan, the exercise price of stock options granted shall not be less than 100% of the estimated fair market value of the Company’s common stock on the date of grant. For awards granted in 2020 with an exercise or purchase price of $0.0001 (par value) or $0.32 per share, a deemed fair value ranging from $0.15 to $0.35 per share, respectively, was used in calculating stock-based compensation, which was determined by the Company using hindsight. The contractual term of the options granted under the 2020 Plan shall not exceed ten years. Additionally, the exercise price of any incentive stock options granted to a 10% stockholder shall not be less than 110% of the fair market value of the common stock on the date of grant, and the term of such option grant shall not exceed five years. Subject to approval by the Company’s board of directors at the grant date, options may include an early exercise feature whereby such option shall be exercisable at any time, subject to the Company’s right to repurchase any unvested portion at the original exercise price. Options and other equity awards become vested and, if applicable, exercisable based on terms determined by the Company’s board of directors or other plan administrator on the date of grant. The Company also has the right of first refusal to purchase any proposed disposition of shares issued under the 2020 Plan. The Company permits early exercise of certain stock options prior to vesting subject to approval by the Company’s board of directors. Any shares issued pursuant to unvested options are restricted and subject to repurchase by the Company until the conditions for vesting are met. The amounts paid for shares purchased under an early exercise of stock options and subject to repurchase by the Company are reported as a liability and reclassed to stockholders’ deficit once those shares vest. Upon termination of employment of an option holder, the Company has the right to repurchase, at the original purchase price, any unvested options. There were no early exercises of stock options during 2020.</w:t>
      </w:r>
    </w:p>
    <w:p>
      <w:pPr>
        <w:spacing w:after="0" w:line="174"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During the year ended December 31, 2020, the Company’s board of directors approved an increase to the shares reserved for issuance under the 2020 Plan to 64,093,550 shares. As of December 31, 2020, 32,731,637 shares remained available for future grants under the 2020 Plan.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2015 Equity Incentive Plan</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 connection with the BlackThorn acquisition in September 2020, the Company assumed BlackThorn’s 2015 Equity Incentive Plan (the 2015 Plan, and collectively with the 2020 Plan, the Plans). The BlackThorn Replacement Stock Options previously granted under the 2015 Plan and that which were outstanding and converted to options to purchase common stock of the Company upon closing of the acquisition remain subject to the terms and conditions of the 2015 Plan (see Note 6). As of December 31, 2020, 2,330,374 shares of the Company’s common stock were reserved for issuance under the 2015 Plan, of which 417,557 shares remain available for issuance although future grants will be made from the 2020 Plan.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 Activity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under the Plans: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940" w:type="dxa"/>
            <w:vAlign w:val="bottom"/>
            <w:gridSpan w:val="3"/>
            <w:vMerge w:val="restart"/>
          </w:tcPr>
          <w:p>
            <w:pPr>
              <w:jc w:val="center"/>
              <w:ind w:left="3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8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940" w:type="dxa"/>
            <w:vAlign w:val="bottom"/>
            <w:gridSpan w:val="3"/>
          </w:tcPr>
          <w:p>
            <w:pPr>
              <w:jc w:val="center"/>
              <w:ind w:left="5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82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32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4140" w:type="dxa"/>
            <w:vAlign w:val="bottom"/>
            <w:tcBorders>
              <w:top w:val="single" w:sz="8" w:color="auto"/>
            </w:tcBorders>
            <w:gridSpan w:val="7"/>
          </w:tcPr>
          <w:p>
            <w:pPr>
              <w:jc w:val="right"/>
              <w:ind w:right="414"/>
              <w:spacing w:after="0" w:line="142" w:lineRule="exact"/>
              <w:rPr>
                <w:sz w:val="20"/>
                <w:szCs w:val="20"/>
                <w:color w:val="auto"/>
              </w:rPr>
            </w:pPr>
            <w:r>
              <w:rPr>
                <w:rFonts w:ascii="Arial" w:cs="Arial" w:eastAsia="Arial" w:hAnsi="Arial"/>
                <w:sz w:val="14"/>
                <w:szCs w:val="14"/>
                <w:b w:val="1"/>
                <w:bCs w:val="1"/>
                <w:color w:val="auto"/>
              </w:rPr>
              <w:t>(in thousands, except per share amounts and years)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25,552</w:t>
            </w:r>
          </w:p>
        </w:tc>
        <w:tc>
          <w:tcPr>
            <w:tcW w:w="280" w:type="dxa"/>
            <w:vAlign w:val="bottom"/>
          </w:tcPr>
          <w:p>
            <w:pPr>
              <w:spacing w:after="0"/>
              <w:rPr>
                <w:sz w:val="18"/>
                <w:szCs w:val="18"/>
                <w:color w:val="auto"/>
              </w:rPr>
            </w:pP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0.32</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BlackThorn Replacement Options assumed with the 2015 Plan</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2,330</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1.22</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(1,107)</w:t>
            </w:r>
          </w:p>
        </w:tc>
        <w:tc>
          <w:tcPr>
            <w:tcW w:w="280" w:type="dxa"/>
            <w:vAlign w:val="bottom"/>
          </w:tcPr>
          <w:p>
            <w:pPr>
              <w:spacing w:after="0"/>
              <w:rPr>
                <w:sz w:val="18"/>
                <w:szCs w:val="18"/>
                <w:color w:val="auto"/>
              </w:rPr>
            </w:pP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0.67</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Outstanding as of December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26,775</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0.38</w:t>
            </w:r>
          </w:p>
        </w:tc>
        <w:tc>
          <w:tcPr>
            <w:tcW w:w="1140" w:type="dxa"/>
            <w:vAlign w:val="bottom"/>
          </w:tcPr>
          <w:p>
            <w:pPr>
              <w:jc w:val="right"/>
              <w:ind w:right="101"/>
              <w:spacing w:after="0"/>
              <w:rPr>
                <w:sz w:val="20"/>
                <w:szCs w:val="20"/>
                <w:color w:val="auto"/>
              </w:rPr>
            </w:pPr>
            <w:r>
              <w:rPr>
                <w:rFonts w:ascii="Arial" w:cs="Arial" w:eastAsia="Arial" w:hAnsi="Arial"/>
                <w:sz w:val="18"/>
                <w:szCs w:val="18"/>
                <w:color w:val="auto"/>
              </w:rPr>
              <w:t>9.8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Vested as of December 31, 2020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0.98</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Exercisable as of December 31, 2020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3,348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5"/>
              <w:spacing w:after="0"/>
              <w:rPr>
                <w:sz w:val="20"/>
                <w:szCs w:val="20"/>
                <w:color w:val="auto"/>
              </w:rPr>
            </w:pPr>
            <w:r>
              <w:rPr>
                <w:rFonts w:ascii="Arial" w:cs="Arial" w:eastAsia="Arial" w:hAnsi="Arial"/>
                <w:sz w:val="18"/>
                <w:szCs w:val="18"/>
                <w:color w:val="auto"/>
              </w:rPr>
              <w:t>0.58</w:t>
            </w:r>
          </w:p>
        </w:tc>
        <w:tc>
          <w:tcPr>
            <w:tcW w:w="1140" w:type="dxa"/>
            <w:vAlign w:val="bottom"/>
          </w:tcPr>
          <w:p>
            <w:pPr>
              <w:jc w:val="right"/>
              <w:ind w:right="101"/>
              <w:spacing w:after="0"/>
              <w:rPr>
                <w:sz w:val="20"/>
                <w:szCs w:val="20"/>
                <w:color w:val="auto"/>
              </w:rPr>
            </w:pPr>
            <w:r>
              <w:rPr>
                <w:rFonts w:ascii="Arial" w:cs="Arial" w:eastAsia="Arial" w:hAnsi="Arial"/>
                <w:sz w:val="18"/>
                <w:szCs w:val="18"/>
                <w:color w:val="auto"/>
              </w:rPr>
              <w:t>9.7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60"/>
        <w:spacing w:after="0" w:line="308" w:lineRule="auto"/>
        <w:rPr>
          <w:sz w:val="20"/>
          <w:szCs w:val="20"/>
          <w:color w:val="auto"/>
        </w:rPr>
      </w:pPr>
      <w:r>
        <w:rPr>
          <w:rFonts w:ascii="Arial" w:cs="Arial" w:eastAsia="Arial" w:hAnsi="Arial"/>
          <w:sz w:val="17"/>
          <w:szCs w:val="17"/>
          <w:color w:val="auto"/>
        </w:rPr>
        <w:t>The aggregate intrinsic value of options outstanding, exercisable, and vested and exercisable is calculated as the difference between the exercise price of the underlying options, and the fair value of the Company’s common stock, as determined by the Company’s board of directors.</w:t>
      </w:r>
    </w:p>
    <w:p>
      <w:pPr>
        <w:spacing w:after="0" w:line="146"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The weighted-average grant-date fair value per share of stock options granted during the year ended December 31, 2020 was $0.27 per share. The weighted-average grant-date fair value per share of BlackThorn Replacement Options assumed with the 2015 Plan during the year ended December 31, 2020 was $0.20 per share. The total grant-date fair value of options that vested during the year ended December 31, 2020 was $0.3 million.</w:t>
      </w:r>
    </w:p>
    <w:p>
      <w:pPr>
        <w:spacing w:after="0" w:line="14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stock option activity table above excludes options to purchase 5,500,000 shares of the Company’s common stock issued to the Company’s scientific advisors which vest based on the achievement of certain performance conditions to be separately defined and approved by the Company’s board of directors (Performance Stock Options). As the performance conditions had not been determined as of December 31, 2020, the criteria for establishing a grant date, and accordingly a measurement date, were not met as of that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Stock Options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fair value of stock options granted for employee and non-employee awards was estimated at the grant date using the Black-Scholes option pricing model based on the following assumptions: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Year Ended</w:t>
            </w:r>
          </w:p>
        </w:tc>
      </w:tr>
      <w:tr>
        <w:trPr>
          <w:trHeight w:val="171"/>
        </w:trPr>
        <w:tc>
          <w:tcPr>
            <w:tcW w:w="85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December 31, 2020</w:t>
            </w: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95.9% – 100.4%</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Expected term (years)</w:t>
            </w: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900" w:type="dxa"/>
            <w:vAlign w:val="bottom"/>
          </w:tcPr>
          <w:p>
            <w:pPr>
              <w:ind w:left="40"/>
              <w:spacing w:after="0"/>
              <w:rPr>
                <w:sz w:val="20"/>
                <w:szCs w:val="20"/>
                <w:color w:val="auto"/>
              </w:rPr>
            </w:pPr>
            <w:r>
              <w:rPr>
                <w:rFonts w:ascii="Arial" w:cs="Arial" w:eastAsia="Arial" w:hAnsi="Arial"/>
                <w:sz w:val="18"/>
                <w:szCs w:val="18"/>
                <w:color w:val="auto"/>
              </w:rPr>
              <w:t>– 6.1</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0.5%</w:t>
            </w: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20" w:type="dxa"/>
            <w:vAlign w:val="bottom"/>
          </w:tcPr>
          <w:p>
            <w:pPr>
              <w:spacing w:after="0"/>
              <w:rPr>
                <w:sz w:val="20"/>
                <w:szCs w:val="20"/>
                <w:color w:val="auto"/>
              </w:rPr>
            </w:pPr>
          </w:p>
        </w:tc>
        <w:tc>
          <w:tcPr>
            <w:tcW w:w="900" w:type="dxa"/>
            <w:vAlign w:val="bottom"/>
          </w:tcPr>
          <w:p>
            <w:pPr>
              <w:jc w:val="center"/>
              <w:ind w:right="630"/>
              <w:spacing w:after="0"/>
              <w:rPr>
                <w:sz w:val="20"/>
                <w:szCs w:val="20"/>
                <w:color w:val="auto"/>
              </w:rPr>
            </w:pPr>
            <w:r>
              <w:rPr>
                <w:rFonts w:ascii="Arial" w:cs="Arial" w:eastAsia="Arial" w:hAnsi="Arial"/>
                <w:sz w:val="18"/>
                <w:szCs w:val="18"/>
                <w:color w:val="auto"/>
                <w:w w:val="99"/>
              </w:rPr>
              <w:t>—</w:t>
            </w:r>
          </w:p>
        </w:tc>
      </w:tr>
    </w:tbl>
    <w:p>
      <w:pPr>
        <w:spacing w:after="0" w:line="79" w:lineRule="exact"/>
        <w:rPr>
          <w:sz w:val="20"/>
          <w:szCs w:val="20"/>
          <w:color w:val="auto"/>
        </w:rPr>
      </w:pPr>
    </w:p>
    <w:p>
      <w:pPr>
        <w:ind w:left="560" w:right="240"/>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there is no trading history for the Company’s common stock, the Company has determined expected volatility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average historical stock price volatility of comparable publicly-traded companies and expects to continue to do so until such time as it has adequate historical data</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560" w:right="200"/>
        <w:spacing w:after="0" w:line="342" w:lineRule="auto"/>
        <w:rPr>
          <w:sz w:val="20"/>
          <w:szCs w:val="20"/>
          <w:color w:val="auto"/>
        </w:rPr>
      </w:pPr>
      <w:r>
        <w:rPr>
          <w:rFonts w:ascii="Arial" w:cs="Arial" w:eastAsia="Arial" w:hAnsi="Arial"/>
          <w:sz w:val="16"/>
          <w:szCs w:val="16"/>
          <w:color w:val="auto"/>
        </w:rPr>
        <w:t>regarding the volatility of its own traded stock price. The comparable companies are chosen based on their similar size, stage in the life cycle or area of therapeutic focus. The historical volatility is calculated based on a period of time commensurate with the expected term assumption.</w:t>
      </w:r>
    </w:p>
    <w:p>
      <w:pPr>
        <w:spacing w:after="0" w:line="16"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the Company’s stock options has been estimated using the simplified method for awards that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plain-vanilla stock options. The simplified method calculates the expected term as the average of the time-to-vesting and the contractual life of the stock options.</w:t>
      </w:r>
    </w:p>
    <w:p>
      <w:pPr>
        <w:spacing w:after="0" w:line="76"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assumption was based on the U.S. Treasury yield curve in effect at the time of grant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for time periods approximately equal to the expected term of the award.</w:t>
      </w:r>
    </w:p>
    <w:p>
      <w:pPr>
        <w:spacing w:after="0" w:line="62"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expected dividend yield assumption is zero as the Company has never paid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in the foreseeable future.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Awards</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During the year ended December 31, 2020, the Company granted shares of restricted common stock to certain employees, executives, non-employee scientific advisors, and third-party service providers (the restricted stock). The restrictions lapse over time primarily according to service-based vesting conditions of each award. In the event of a voluntary or involuntary termination of the holder’s continuous provision of services to the Company, any unvested portion of the restricted stock award are automatically forfeited.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Company’s restricted stock activity:</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left="21"/>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8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8"/>
        </w:trPr>
        <w:tc>
          <w:tcPr>
            <w:tcW w:w="8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left="21"/>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8200" w:type="dxa"/>
            <w:vAlign w:val="bottom"/>
          </w:tcPr>
          <w:p>
            <w:pPr>
              <w:spacing w:after="0"/>
              <w:rPr>
                <w:sz w:val="12"/>
                <w:szCs w:val="12"/>
                <w:color w:val="auto"/>
              </w:rPr>
            </w:pPr>
          </w:p>
        </w:tc>
        <w:tc>
          <w:tcPr>
            <w:tcW w:w="9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3"/>
          </w:tcPr>
          <w:p>
            <w:pPr>
              <w:jc w:val="center"/>
              <w:ind w:left="21"/>
              <w:spacing w:after="0" w:line="149" w:lineRule="exact"/>
              <w:rPr>
                <w:sz w:val="20"/>
                <w:szCs w:val="20"/>
                <w:color w:val="auto"/>
              </w:rPr>
            </w:pPr>
            <w:r>
              <w:rPr>
                <w:rFonts w:ascii="Arial" w:cs="Arial" w:eastAsia="Arial" w:hAnsi="Arial"/>
                <w:sz w:val="14"/>
                <w:szCs w:val="14"/>
                <w:b w:val="1"/>
                <w:bCs w:val="1"/>
                <w:color w:val="auto"/>
                <w:w w:val="93"/>
              </w:rPr>
              <w:t>Value Per</w:t>
            </w:r>
          </w:p>
        </w:tc>
        <w:tc>
          <w:tcPr>
            <w:tcW w:w="0" w:type="dxa"/>
            <w:vAlign w:val="bottom"/>
          </w:tcPr>
          <w:p>
            <w:pPr>
              <w:spacing w:after="0"/>
              <w:rPr>
                <w:sz w:val="1"/>
                <w:szCs w:val="1"/>
                <w:color w:val="auto"/>
              </w:rPr>
            </w:pPr>
          </w:p>
        </w:tc>
      </w:tr>
      <w:tr>
        <w:trPr>
          <w:trHeight w:val="171"/>
        </w:trPr>
        <w:tc>
          <w:tcPr>
            <w:tcW w:w="82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19"/>
        </w:trPr>
        <w:tc>
          <w:tcPr>
            <w:tcW w:w="8200" w:type="dxa"/>
            <w:vAlign w:val="bottom"/>
          </w:tcPr>
          <w:p>
            <w:pPr>
              <w:spacing w:after="0"/>
              <w:rPr>
                <w:sz w:val="10"/>
                <w:szCs w:val="10"/>
                <w:color w:val="auto"/>
              </w:rPr>
            </w:pPr>
          </w:p>
        </w:tc>
        <w:tc>
          <w:tcPr>
            <w:tcW w:w="186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0" w:type="dxa"/>
            <w:vAlign w:val="bottom"/>
          </w:tcPr>
          <w:p>
            <w:pPr>
              <w:spacing w:after="0"/>
              <w:rPr>
                <w:sz w:val="14"/>
                <w:szCs w:val="14"/>
                <w:color w:val="auto"/>
              </w:rPr>
            </w:pPr>
          </w:p>
        </w:tc>
        <w:tc>
          <w:tcPr>
            <w:tcW w:w="19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0"/>
              </w:rPr>
              <w:t>per share amounts)</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as of December 31, 2019</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88,140</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Outstanding and unvested as of December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86,897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restricted stock awards table above excludes 7,160,000 shares of restricted common stock issued to the Company’s scientific advisors and one employee which vest based on the achievement of certain performance conditions to be separately defined and approved by the Company’s board of directors (Performance Restricted Stock). As the performance conditions had not been determined as of December 31, 2020, the criteria for establishing a grant date, and accordingly a measurement date, were not met as of that date.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summarizes total stock-based compensation included in the Company’s consolidated statements of operations and comprehensive loss: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Period from</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November 22,</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2019</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4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2019</w:t>
            </w: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4"/>
          </w:tcPr>
          <w:p>
            <w:pPr>
              <w:ind w:left="640"/>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2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As of December 31, 2020, there was $6.5 million and $1.9 million of unrecognized stock-based compensation related to stock options and restricted stock awards outstanding, respectively, which were expected to be recognized over weighted-average remaining service periods of 3.5 years and 2.6 years,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 Agreements</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In May 2020, the Company entered into a service agreement with a vendor for assistance in evaluating assets and technologies in the field of neurodegeneration. As consideration, the Company issued 1,000,000 shares of its restricted common stock (included in the table summarizing the Company’s restricted stock activity above), subject to a right of forfeiture that lapses as to 50% of the shares on the one-year anniversary of the agreement and as to the remaining 50% of the shares on the second anniversary of the agreement. The restricted common shares had an aggregate grant-date fair value of $0.4 million. While services are being provided, the Company agreed to issue the vendor additional shares of its common stock representing a value of $1.0 million upon the achievement of certain milestones tied to the successful in-license or acquisition of assets (the Milestone Shares). The Company concluded the Milestone Shares are stock settled debt that are required to be classified as a liability and recognized at such time the milestones are probable of being met. As of December 31, 2020, the milestones were not probable of being met.</w:t>
      </w:r>
    </w:p>
    <w:p>
      <w:pPr>
        <w:spacing w:after="0" w:line="165"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In May 2020, the Company entered into a letter arrangement with a strategic party to continue to collaborate in their strategic relationship to advance mutual goals in the treatment of brain disorders. In consideration of the continued relationship, the Company issued 1,000,000 shares of its common stock and recognized stock-based compensation of $0.3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had no income tax expense for the period from November 22, 2019 (inception) to December 31, 2019 or for the year ended December 31, 2020 due to its history of operating losses. During the period from November 22, 2019 (inception) to December 31, 2019 and the year ended December 31, 2020, the Company recorded a net loss of $21,000 and $99.3 million, respectively.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Company’s federal income tax rate and effective income tax rate is summarized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Period from</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November 22,</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8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106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acquired IPR&amp;D expense</w:t>
            </w:r>
            <w:r>
              <w:rPr>
                <w:rFonts w:ascii="Arial" w:cs="Arial" w:eastAsia="Arial" w:hAnsi="Arial"/>
                <w:sz w:val="15"/>
                <w:szCs w:val="15"/>
                <w:color w:val="auto"/>
              </w:rPr>
              <w:t>(1)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Permanent differences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4"/>
        </w:trPr>
        <w:tc>
          <w:tcPr>
            <w:tcW w:w="81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0</wp:posOffset>
            </wp:positionV>
            <wp:extent cx="1465580"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465580" cy="26035"/>
                    </a:xfrm>
                    <a:prstGeom prst="rect">
                      <a:avLst/>
                    </a:prstGeom>
                    <a:noFill/>
                  </pic:spPr>
                </pic:pic>
              </a:graphicData>
            </a:graphic>
          </wp:anchor>
        </w:drawing>
      </w:r>
    </w:p>
    <w:p>
      <w:pPr>
        <w:spacing w:after="0" w:line="1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Amounts attributable to the acquisitions of assets (see Note 6).</w:t>
      </w:r>
    </w:p>
    <w:p>
      <w:pPr>
        <w:spacing w:after="0" w:line="22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Deferred tax assets and liabilities reflect the net tax effects of net operating loss and tax credit carryforwards and temporary differences between the carrying amount of assets and liabilities for financial reporting and the amounts used for tax purposes. Significant components of the Company’s deferred tax assets and liabilities are summarized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8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gridSpan w:val="4"/>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640" w:type="dxa"/>
            <w:vAlign w:val="bottom"/>
            <w:gridSpan w:val="2"/>
          </w:tcPr>
          <w:p>
            <w:pPr>
              <w:jc w:val="right"/>
              <w:ind w:right="467"/>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30,076</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research and development expense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8,086</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Research and development credits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4,164</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related</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883</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Capitalized other expense</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851</w:t>
            </w: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w:t>
            </w:r>
          </w:p>
        </w:tc>
      </w:tr>
      <w:tr>
        <w:trPr>
          <w:trHeight w:val="216"/>
        </w:trPr>
        <w:tc>
          <w:tcPr>
            <w:tcW w:w="846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7"/>
        </w:trPr>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45,530</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3"/>
          </w:tcPr>
          <w:p>
            <w:pPr>
              <w:jc w:val="right"/>
              <w:ind w:right="6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(44,080)</w:t>
            </w:r>
          </w:p>
        </w:tc>
      </w:tr>
      <w:tr>
        <w:trPr>
          <w:trHeight w:val="27"/>
        </w:trPr>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less valuation allowance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Company’s recent history of operating losses, the Company believes that recognition of the deferred tax assets arising from the above-mentioned future tax benefits is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currently not likely to be realized and, accordingly, has provided a valuation allowance on its deferred tax assets. The valuation allowance increased by $44.1 million for the year ended December 31, 2020, primarily due to the increase in the Company’s net operating losses (NOL) during the period and deferred tax assets related to acquired NOL carryforwards from the acquisitions of assets.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NOLs and tax credit carryforwards as of December 31, 2020 were as follows (dollars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800" w:type="dxa"/>
            <w:vAlign w:val="bottom"/>
            <w:gridSpan w:val="2"/>
          </w:tcPr>
          <w:p>
            <w:pPr>
              <w:jc w:val="right"/>
              <w:ind w:right="424"/>
              <w:spacing w:after="0"/>
              <w:rPr>
                <w:sz w:val="20"/>
                <w:szCs w:val="20"/>
                <w:color w:val="auto"/>
              </w:rPr>
            </w:pPr>
            <w:r>
              <w:rPr>
                <w:rFonts w:ascii="Arial" w:cs="Arial" w:eastAsia="Arial" w:hAnsi="Arial"/>
                <w:sz w:val="14"/>
                <w:szCs w:val="14"/>
                <w:b w:val="1"/>
                <w:bCs w:val="1"/>
                <w:color w:val="auto"/>
              </w:rPr>
              <w:t>Expiration Years</w:t>
            </w: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NOLs, Federal (post-December 31, 2017)</w:t>
            </w:r>
          </w:p>
        </w:tc>
        <w:tc>
          <w:tcPr>
            <w:tcW w:w="2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90,027</w:t>
            </w:r>
          </w:p>
        </w:tc>
        <w:tc>
          <w:tcPr>
            <w:tcW w:w="2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260" w:type="dxa"/>
            <w:vAlign w:val="bottom"/>
            <w:tcBorders>
              <w:top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87"/>
              </w:rPr>
              <w:t>(1)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NOLs, Federal (pre-January 1, 2018)</w:t>
            </w:r>
          </w:p>
        </w:tc>
        <w:tc>
          <w:tcPr>
            <w:tcW w:w="3200" w:type="dxa"/>
            <w:vAlign w:val="bottom"/>
            <w:gridSpan w:val="3"/>
          </w:tcPr>
          <w:p>
            <w:pPr>
              <w:jc w:val="right"/>
              <w:ind w:right="240"/>
              <w:spacing w:after="0"/>
              <w:rPr>
                <w:sz w:val="20"/>
                <w:szCs w:val="20"/>
                <w:color w:val="auto"/>
              </w:rPr>
            </w:pPr>
            <w:r>
              <w:rPr>
                <w:rFonts w:ascii="Arial" w:cs="Arial" w:eastAsia="Arial" w:hAnsi="Arial"/>
                <w:sz w:val="18"/>
                <w:szCs w:val="18"/>
                <w:color w:val="auto"/>
              </w:rPr>
              <w:t>40,370</w:t>
            </w:r>
          </w:p>
        </w:tc>
        <w:tc>
          <w:tcPr>
            <w:tcW w:w="1800" w:type="dxa"/>
            <w:vAlign w:val="bottom"/>
            <w:gridSpan w:val="2"/>
          </w:tcPr>
          <w:p>
            <w:pPr>
              <w:jc w:val="right"/>
              <w:ind w:right="184"/>
              <w:spacing w:after="0"/>
              <w:rPr>
                <w:sz w:val="20"/>
                <w:szCs w:val="20"/>
                <w:color w:val="auto"/>
              </w:rPr>
            </w:pPr>
            <w:r>
              <w:rPr>
                <w:rFonts w:ascii="Arial" w:cs="Arial" w:eastAsia="Arial" w:hAnsi="Arial"/>
                <w:sz w:val="18"/>
                <w:szCs w:val="18"/>
                <w:color w:val="auto"/>
              </w:rPr>
              <w:t>2034 through 2037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NOLs, state</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91,253</w:t>
            </w:r>
          </w:p>
        </w:tc>
        <w:tc>
          <w:tcPr>
            <w:tcW w:w="18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2033 through 2040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Research and development tax credits, Federal</w:t>
            </w:r>
          </w:p>
        </w:tc>
        <w:tc>
          <w:tcPr>
            <w:tcW w:w="3200" w:type="dxa"/>
            <w:vAlign w:val="bottom"/>
            <w:gridSpan w:val="3"/>
          </w:tcPr>
          <w:p>
            <w:pPr>
              <w:jc w:val="right"/>
              <w:ind w:right="240"/>
              <w:spacing w:after="0"/>
              <w:rPr>
                <w:sz w:val="20"/>
                <w:szCs w:val="20"/>
                <w:color w:val="auto"/>
              </w:rPr>
            </w:pPr>
            <w:r>
              <w:rPr>
                <w:rFonts w:ascii="Arial" w:cs="Arial" w:eastAsia="Arial" w:hAnsi="Arial"/>
                <w:sz w:val="18"/>
                <w:szCs w:val="18"/>
                <w:color w:val="auto"/>
              </w:rPr>
              <w:t>4,729</w:t>
            </w:r>
          </w:p>
        </w:tc>
        <w:tc>
          <w:tcPr>
            <w:tcW w:w="1800" w:type="dxa"/>
            <w:vAlign w:val="bottom"/>
            <w:gridSpan w:val="2"/>
          </w:tcPr>
          <w:p>
            <w:pPr>
              <w:jc w:val="right"/>
              <w:ind w:right="184"/>
              <w:spacing w:after="0"/>
              <w:rPr>
                <w:sz w:val="20"/>
                <w:szCs w:val="20"/>
                <w:color w:val="auto"/>
              </w:rPr>
            </w:pPr>
            <w:r>
              <w:rPr>
                <w:rFonts w:ascii="Arial" w:cs="Arial" w:eastAsia="Arial" w:hAnsi="Arial"/>
                <w:sz w:val="18"/>
                <w:szCs w:val="18"/>
                <w:color w:val="auto"/>
              </w:rPr>
              <w:t>2034 through 2040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 state</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2,252</w:t>
            </w:r>
          </w:p>
        </w:tc>
        <w:tc>
          <w:tcPr>
            <w:tcW w:w="18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Indefinite</w:t>
            </w:r>
          </w:p>
        </w:tc>
      </w:tr>
    </w:tbl>
    <w:p>
      <w:pPr>
        <w:spacing w:after="0" w:line="229" w:lineRule="exact"/>
        <w:rPr>
          <w:sz w:val="20"/>
          <w:szCs w:val="20"/>
          <w:color w:val="auto"/>
        </w:rPr>
      </w:pPr>
    </w:p>
    <w:p>
      <w:pPr>
        <w:ind w:left="540" w:right="120" w:hanging="424"/>
        <w:spacing w:after="0" w:line="277" w:lineRule="auto"/>
        <w:tabs>
          <w:tab w:leader="none" w:pos="540" w:val="left"/>
        </w:tabs>
        <w:numPr>
          <w:ilvl w:val="0"/>
          <w:numId w:val="160"/>
        </w:numPr>
        <w:rPr>
          <w:rFonts w:ascii="Arial" w:cs="Arial" w:eastAsia="Arial" w:hAnsi="Arial"/>
          <w:sz w:val="15"/>
          <w:szCs w:val="15"/>
          <w:color w:val="auto"/>
        </w:rPr>
      </w:pPr>
      <w:r>
        <w:rPr>
          <w:rFonts w:ascii="Arial" w:cs="Arial" w:eastAsia="Arial" w:hAnsi="Arial"/>
          <w:sz w:val="18"/>
          <w:szCs w:val="18"/>
          <w:color w:val="auto"/>
        </w:rPr>
        <w:t>NOL carryforward generated after 2017 which can be carried forward indefinitely and can generally be used to offset up to 80% of future taxable income.</w:t>
      </w:r>
    </w:p>
    <w:p>
      <w:pPr>
        <w:spacing w:after="0" w:line="17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Utilization of the NOL carryforwards and research and development tax credit carryforwards may be subject to a substantial annual limitation under Section 382 of the Internal Revenue Code of 1986, as amended (Section 382)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including changes of control associated with the acquisitions of assets. Any limitation may result in expiration of a portion of the NOL carryforwards or research and development tax credit carryforwards before utilization; however, such limitation, if any, would not have an impact on the Company’s financial statement due to the full valuation. Until a study is completed and any limitation is known, no amounts are being presented as an uncertain tax position.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December 31, 2019 and 2020, the Company had no unrecognized tax benefits that, if recognized and realized, would affect the effective tax rate due to the full valuation allowance against deferred tax assets.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beginning and ending balance of total gross unrecognized tax benefits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142"/>
        </w:trPr>
        <w:tc>
          <w:tcPr>
            <w:tcW w:w="9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tcPr>
          <w:p>
            <w:pPr>
              <w:ind w:left="24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of unrecognized tax benefits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Gross increases based on tax positions related to current year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1,178</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increases based on tax positions related to acquired entities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6,262</w:t>
            </w: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Ending balance of unrecognized tax benefits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8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unrecognized tax benefits, if recognized, would not have an impact on the Company’s effective tax rate assuming the Company continues to maintain a full valuation allowance position. As of December 31, 2020, no significant increases or decreases are expected to the Company’s uncertain tax positions within the next twelve months.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The Company files income tax returns in the United States, and the states of California and Massachusetts. Due to net operating loss carryforwards, all years effectively remain open for income tax examination by tax authorities in the United States and states in which the Company files tax returns.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computation of basic and diluted net loss per share: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Period from</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November 22,</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2"/>
                <w:szCs w:val="12"/>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6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(in thousands, except 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ind w:left="720"/>
              <w:spacing w:after="0"/>
              <w:rPr>
                <w:sz w:val="20"/>
                <w:szCs w:val="20"/>
                <w:color w:val="auto"/>
              </w:rPr>
            </w:pPr>
            <w:r>
              <w:rPr>
                <w:rFonts w:ascii="Arial" w:cs="Arial" w:eastAsia="Arial" w:hAnsi="Arial"/>
                <w:sz w:val="14"/>
                <w:szCs w:val="14"/>
                <w:b w:val="1"/>
                <w:bCs w:val="1"/>
                <w:color w:val="auto"/>
              </w:rPr>
              <w:t>amounts)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(99,272)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101,992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following outstanding potentially dilutive common stock equivalents were excluded from the computation of diluted net loss per share for the periods presented because including them would have been antidilutive:</w:t>
      </w:r>
    </w:p>
    <w:p>
      <w:pPr>
        <w:spacing w:after="0" w:line="189"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84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142"/>
        </w:trPr>
        <w:tc>
          <w:tcPr>
            <w:tcW w:w="8440" w:type="dxa"/>
            <w:vAlign w:val="bottom"/>
          </w:tcPr>
          <w:p>
            <w:pPr>
              <w:spacing w:after="0"/>
              <w:rPr>
                <w:sz w:val="12"/>
                <w:szCs w:val="12"/>
                <w:color w:val="auto"/>
              </w:rPr>
            </w:pPr>
          </w:p>
        </w:tc>
        <w:tc>
          <w:tcPr>
            <w:tcW w:w="2060" w:type="dxa"/>
            <w:vAlign w:val="bottom"/>
            <w:gridSpan w:val="5"/>
          </w:tcPr>
          <w:p>
            <w:pPr>
              <w:jc w:val="right"/>
              <w:ind w:right="512"/>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294,876</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Preferred stock warrants</w:t>
            </w:r>
          </w:p>
        </w:tc>
        <w:tc>
          <w:tcPr>
            <w:tcW w:w="4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2,293</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26,775</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Performance stock options</w:t>
            </w:r>
          </w:p>
        </w:tc>
        <w:tc>
          <w:tcPr>
            <w:tcW w:w="4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5,500</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restricted stock subject to repurchase</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86,897</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Performance restricted stock</w:t>
            </w:r>
          </w:p>
        </w:tc>
        <w:tc>
          <w:tcPr>
            <w:tcW w:w="4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7,160</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subject to right of forfeiture</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20,833</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444,334</w:t>
            </w: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August 2020, the Company repurchased 16,666,667 shares of common stock from an investor who is a related party, at the original purchase price of $0.0001. The repurchased shares of common stock were cancelled and retired. The Company determined there was no accounting impact of this repurchase as at that time, there was only one class of the Company’s equity outstanding.</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During the year ended December 31, 2020, the Company issued 13,531,561 shares of its Series A-1 Preferred as consideration for an acquisition of assets and 65,700,828 shares of its Series A-2 Preferred for total cash proceeds of $30.0 million and settlement of convertible promissory notes amounting to $30.3 million to a significant stockholder that has designated members of the Company’s board of directors and who is considered to be a related party.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One of BlackThorn’s investors and two of its board members at the time of the acquisition by the Company were related parties of the Company. A stockholder of Alairion at the time of the merger with the Company was a related party of the Company.</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During 2020, the Company also issued 2020 Bridge Notes and Series A-2 Preferred to investors who were considered to be related parties (see Note 7 and Note 11).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Defined Contribution Plan</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 Company began sponsoring a 401(k) Plan in 2020 whereby eligible employees can elect to contribute to the 401(k) Plan, subject to certain limitations, on a pretax basis. The Company does not match any employee contributions.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evaluated subsequent events through November 8, 2021, the date these consolidated financial statements were available to be issued.</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to Harvard License Agreement</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 March 2021, the Company entered into Amendment No. 1 to the Harvard License Agreement whereby the parties, amongst other things, extended the timeline of five development milestones that the Company is required to meet. The deadline for the first development milestone was extended to December 2021 and the remaining development milestones are required to be met between January 2022 and January 2024.</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Facility Lease</w:t>
      </w:r>
    </w:p>
    <w:p>
      <w:pPr>
        <w:spacing w:after="0" w:line="11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In March 2021, the Company entered into a new lease agreement for a 14,688 square feet office facility in South San Francisco, California. The term of the lease commenced in April 2021 and ends in December 2023. Future payments under the noncancelable lease term totals $1.3 million.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Final Closing of Series A-2 Preferred Stock Financing</w:t>
      </w:r>
    </w:p>
    <w:p>
      <w:pPr>
        <w:spacing w:after="0" w:line="117"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Between March and July 2021, the Company and certain of its investors entered into a series of amendments to the SPA to extend the deadline to complete subsequent closings of its Series A-2 Preferred financing from March 2021 to September 2021. Concurrently, the lapse of right of forfeiture with respect to 20,833,333 shares of the Company’s common stock held by two related party investors was extended to September 2021.</w:t>
      </w:r>
    </w:p>
    <w:p>
      <w:pPr>
        <w:spacing w:after="0" w:line="14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Between August and September 2021, pursuant to the SPA, as amended, the Company issued 191,250,000 shares of its Series A-2 Preferred, including 141,250,000 shares to new investors and 50,000,000 shares to two existing investors who are related parties, at a price of $1.00 per share for aggregate gross proceeds of $191.3 million. Upon the final closing, the right of forfeiture for 20,833,333 shares of the Company’s common stock held by two investors who are related parties lapsed.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Authorization of Additional Shares</w:t>
      </w:r>
    </w:p>
    <w:p>
      <w:pPr>
        <w:spacing w:after="0" w:line="117"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In August 2021, the Company’s board of directors approved a certificate of amendment to the Company’s amended and restated certificate of incorporation which, among other things, (i) increased the authorized number of shares of the Company’s common stock to 1,125,000,000 shares and</w:t>
      </w:r>
    </w:p>
    <w:p>
      <w:pPr>
        <w:ind w:left="5460" w:right="2700" w:hanging="5344"/>
        <w:spacing w:after="0" w:line="433" w:lineRule="auto"/>
        <w:tabs>
          <w:tab w:leader="none" w:pos="38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increased the authorized number of shares of the Company’s convertible preferred stock to 755,000,000 shares. F-40</w:t>
      </w:r>
    </w:p>
    <w:p>
      <w:pPr>
        <w:sectPr>
          <w:pgSz w:w="11900" w:h="16838" w:orient="portrait"/>
          <w:cols w:equalWidth="0" w:num="1">
            <w:col w:w="11100"/>
          </w:cols>
          <w:pgMar w:left="320" w:top="459" w:right="47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Amgen Licenses and Collaboration Agreement</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September 2021, the Company entered into two license agreements with Amgen Inc. (Amgen) pursuant to which it obtained exclusive, worldwide licenses to develop, manufacture, use, commercialize and distribute products containing compounds that are directed to, in one case, CK1d, and in the other case, glucocerebrocidase (GCase), both for the treatment of neurodegenerative diseases. Under these two license agreements, Amgen is eligible to receive up to an aggregate of $360.0 million in commercial milestone payments per product with a compound directed to CK1d and up to an aggregate of $360.0 million in commercial milestone payments per product with a compound directed to GCase, in each case, upon the achievement of certain sales thresholds and single digit royalties on potential future net sales.</w:t>
      </w:r>
    </w:p>
    <w:p>
      <w:pPr>
        <w:spacing w:after="0" w:line="17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Concurrently, the Company entered into a collaboration agreement with Amgen to discover drug targets, biomarkers, Precision Phenotypes and other insights associated with central nervous system (CNS) diseases utilizing Amgen’s deCODE genetics and human data research capabilities. The Company received exclusive rights under intellectual property generated in the collaboration to exploit therapeutic compounds and diagnostics for use with therapeutics in the CNS field and Amgen received exclusive rights to exploit therapeutic compounds and diagnostics for use with therapeutics outside of the CNS field. The term of the collaboration agreement is five years. The Company is committed to making quarterly payments to Amgen for their collaboration activities over the next three years totaling $62.5 million, or $75.0 million if certain progress milestones are achieved. There are no development or commercial milestones or royalty payments under the collaboration agreement, however, Amgen has an exclusive option to negotiate, and the right of first negotiation, to obtain exclusive, worldwide licenses to research, develop, commercialize and otherwise exploit up to two therapeutic compounds or any pharmaceutical product containing such therapeutic compound arising from the collaboration.</w:t>
      </w:r>
    </w:p>
    <w:p>
      <w:pPr>
        <w:spacing w:after="0" w:line="166" w:lineRule="exact"/>
        <w:rPr>
          <w:sz w:val="20"/>
          <w:szCs w:val="20"/>
          <w:color w:val="auto"/>
        </w:rPr>
      </w:pPr>
    </w:p>
    <w:p>
      <w:pPr>
        <w:ind w:left="120" w:right="480"/>
        <w:spacing w:after="0" w:line="286" w:lineRule="auto"/>
        <w:rPr>
          <w:sz w:val="20"/>
          <w:szCs w:val="20"/>
          <w:color w:val="auto"/>
        </w:rPr>
      </w:pPr>
      <w:r>
        <w:rPr>
          <w:rFonts w:ascii="Arial" w:cs="Arial" w:eastAsia="Arial" w:hAnsi="Arial"/>
          <w:sz w:val="17"/>
          <w:szCs w:val="17"/>
          <w:color w:val="auto"/>
        </w:rPr>
        <w:t>As part of the agreements, the Company issued to Amgen 157.0 million shares of its Series A-2 Preferred stock. Additionally, Amgen purchased 100.0 million shares of the Company’s Series A-2 Preferred stock at a purchase price of $1.00 per share, for total consideration of $100.0 million. Subject to certain conditions, Amgen is also obligated to provide the Company additional financing of up to $100.0 million.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Stock Option Grants</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Between March and July 2021, the Company granted options to purchase 20,082,500 shares of the Company’s common stock to employees and non-employee service providers, each with an exercise price of $0.32 per share that generally vest over a three- or four-year vesting schedule and an option to purchase 3,500,000 shares of the Company’s common stock to one of its executives that vests based on defined market conditions. In September 2021, the Company granted options to purchase 4,337,500 shares of the Company’s common stock to employees and non-employee service providers, each with an exercise price of $0.54 per share that generally vest over a four-year vesting schedule.</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80"/>
          </w:cols>
          <w:pgMar w:left="320" w:top="459" w:right="49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par values)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8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8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191,977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439,145</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3,811</w:t>
            </w:r>
          </w:p>
        </w:tc>
      </w:tr>
      <w:tr>
        <w:trPr>
          <w:trHeight w:val="223"/>
        </w:trPr>
        <w:tc>
          <w:tcPr>
            <w:tcW w:w="86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193,841</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443,081</w:t>
            </w:r>
          </w:p>
        </w:tc>
        <w:tc>
          <w:tcPr>
            <w:tcW w:w="120" w:type="dxa"/>
            <w:vAlign w:val="bottom"/>
          </w:tcPr>
          <w:p>
            <w:pPr>
              <w:spacing w:after="0"/>
              <w:rPr>
                <w:sz w:val="19"/>
                <w:szCs w:val="19"/>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2,156</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1,989</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2,348</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4,390</w:t>
            </w:r>
          </w:p>
        </w:tc>
      </w:tr>
      <w:tr>
        <w:trPr>
          <w:trHeight w:val="223"/>
        </w:trPr>
        <w:tc>
          <w:tcPr>
            <w:tcW w:w="86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197,946</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451,975</w:t>
            </w:r>
          </w:p>
        </w:tc>
        <w:tc>
          <w:tcPr>
            <w:tcW w:w="12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2,508</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5,596</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15,956</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exercise liability, current portion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1,121</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Operating lease liabilities, current portion</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1,229</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preferred stock warrant liability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r>
      <w:tr>
        <w:trPr>
          <w:trHeight w:val="223"/>
        </w:trPr>
        <w:tc>
          <w:tcPr>
            <w:tcW w:w="86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9,370</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20,951</w:t>
            </w:r>
          </w:p>
        </w:tc>
        <w:tc>
          <w:tcPr>
            <w:tcW w:w="120" w:type="dxa"/>
            <w:vAlign w:val="bottom"/>
          </w:tcPr>
          <w:p>
            <w:pPr>
              <w:spacing w:after="0"/>
              <w:rPr>
                <w:sz w:val="19"/>
                <w:szCs w:val="19"/>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Early exercise liability, net of current portion</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r>
      <w:tr>
        <w:trPr>
          <w:trHeight w:val="27"/>
        </w:trPr>
        <w:tc>
          <w:tcPr>
            <w:tcW w:w="8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10,651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22,556</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Convertible preferred stock, $0.0001 par value; 340,000 shares and 755,000 shares authorized as of December 31,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2020 and September 30, 2021, respectively; 294,876 shares issued and outstanding as of December 31, 2020;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743,126 shares issued and outstanding as of September 30, 2021; aggregate liquidation preference of $743,126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September 30, 2021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281,679</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729,866</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$0.0001 par value; 660,000 and 1,125,000 shares authorized as of December 31, 2020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September 30, 2021, respectively; 240,152 shares issued and outstanding as of December 31, 2020; 248,135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as of September 30, 2021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4,896</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9,176</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(99,293)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(309,636)</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(94,384)</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(300,447)</w:t>
            </w:r>
          </w:p>
        </w:tc>
        <w:tc>
          <w:tcPr>
            <w:tcW w:w="120" w:type="dxa"/>
            <w:vAlign w:val="bottom"/>
          </w:tcPr>
          <w:p>
            <w:pPr>
              <w:spacing w:after="0"/>
              <w:rPr>
                <w:sz w:val="20"/>
                <w:szCs w:val="20"/>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197,946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451,975</w:t>
            </w:r>
          </w:p>
        </w:tc>
      </w:tr>
      <w:tr>
        <w:trPr>
          <w:trHeight w:val="20"/>
        </w:trPr>
        <w:tc>
          <w:tcPr>
            <w:tcW w:w="8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0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6,656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36,867</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65,237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157,000</w:t>
            </w:r>
          </w:p>
        </w:tc>
        <w:tc>
          <w:tcPr>
            <w:tcW w:w="0" w:type="dxa"/>
            <w:vAlign w:val="bottom"/>
          </w:tcPr>
          <w:p>
            <w:pPr>
              <w:spacing w:after="0"/>
              <w:rPr>
                <w:sz w:val="1"/>
                <w:szCs w:val="1"/>
                <w:color w:val="auto"/>
              </w:rPr>
            </w:pP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75,990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210,776</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(75,990)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(210,776)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Loss from change in fair value of convertible promissory notes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91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(79,274)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(210,343)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2"/>
              </w:rPr>
              <w:t>(79,274)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(210,343)</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94,192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163,353</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4420" w:type="dxa"/>
            <w:vAlign w:val="bottom"/>
          </w:tcPr>
          <w:p>
            <w:pPr>
              <w:spacing w:after="0"/>
              <w:rPr>
                <w:sz w:val="2"/>
                <w:szCs w:val="2"/>
                <w:color w:val="auto"/>
              </w:rPr>
            </w:pPr>
          </w:p>
        </w:tc>
        <w:tc>
          <w:tcPr>
            <w:tcW w:w="160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12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3"/>
              </w:rPr>
              <w:t>Common Stock</w:t>
            </w: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
                <w:szCs w:val="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442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6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7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Issuance of Series A-1 convertible preferred stock as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noncash consideration for an acquisition of assets</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45,178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36,595</w:t>
            </w:r>
          </w:p>
        </w:tc>
        <w:tc>
          <w:tcPr>
            <w:tcW w:w="20" w:type="dxa"/>
            <w:vAlign w:val="bottom"/>
            <w:shd w:val="clear" w:color="auto" w:fill="000000"/>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Series A-2 convertible preferred stock, net of</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 of $903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163,620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159,006</w:t>
            </w:r>
          </w:p>
        </w:tc>
        <w:tc>
          <w:tcPr>
            <w:tcW w:w="20" w:type="dxa"/>
            <w:vAlign w:val="bottom"/>
            <w:shd w:val="clear" w:color="auto" w:fill="000000"/>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Issuance of Series A-2 convertible preferred stock as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noncash consideration for acquisitions of assets</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14,898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14,898</w:t>
            </w:r>
          </w:p>
        </w:tc>
        <w:tc>
          <w:tcPr>
            <w:tcW w:w="20" w:type="dxa"/>
            <w:vAlign w:val="bottom"/>
            <w:shd w:val="clear" w:color="auto" w:fill="000000"/>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Settlement of convertible promissory notes with shares of</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A-2 convertible preferred stock</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59,180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59,180</w:t>
            </w:r>
          </w:p>
        </w:tc>
        <w:tc>
          <w:tcPr>
            <w:tcW w:w="20" w:type="dxa"/>
            <w:vAlign w:val="bottom"/>
            <w:shd w:val="clear" w:color="auto" w:fill="000000"/>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254,709</w:t>
            </w:r>
          </w:p>
        </w:tc>
        <w:tc>
          <w:tcPr>
            <w:tcW w:w="2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third-party service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Repurchase of common stock from related party</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(16,667)</w:t>
            </w:r>
          </w:p>
        </w:tc>
        <w:tc>
          <w:tcPr>
            <w:tcW w:w="28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(79,274)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(79,274)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282,876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269,679</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240,042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(79,295)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(75,256)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Deficit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4460" w:type="dxa"/>
            <w:vAlign w:val="bottom"/>
          </w:tcPr>
          <w:p>
            <w:pPr>
              <w:spacing w:after="0"/>
              <w:rPr>
                <w:sz w:val="2"/>
                <w:szCs w:val="2"/>
                <w:color w:val="auto"/>
              </w:rPr>
            </w:pPr>
          </w:p>
        </w:tc>
        <w:tc>
          <w:tcPr>
            <w:tcW w:w="160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446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0" w:type="dxa"/>
            <w:vAlign w:val="bottom"/>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80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880" w:type="dxa"/>
            <w:vAlign w:val="bottom"/>
            <w:gridSpan w:val="2"/>
          </w:tcPr>
          <w:p>
            <w:pPr>
              <w:jc w:val="right"/>
              <w:ind w:right="321"/>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1"/>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294,876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$281,679</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240,152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(99,293)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w w:val="97"/>
              </w:rPr>
              <w:t>Issuance of Series A-2 convertible preferred stock, net of</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issuance costs of $63</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291,250</w:t>
            </w: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291,187</w:t>
            </w: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Series A-2 convertible preferred stock for an</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assets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157,000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157,000</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960</w:t>
            </w:r>
          </w:p>
        </w:tc>
        <w:tc>
          <w:tcPr>
            <w:tcW w:w="1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early exercise of stock</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4,415</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w w:val="96"/>
              </w:rPr>
              <w:t>Issuance of common stock upon exercise of stock options</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common stock</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3,058</w:t>
            </w:r>
          </w:p>
        </w:tc>
        <w:tc>
          <w:tcPr>
            <w:tcW w:w="1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(210,343)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(210,343)</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Balance as of September 30, 2021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743,126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729,866</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248,135</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(309,636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(300,447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8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1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activities:</w:t>
            </w: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Net loss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(79,274)</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(210,343)</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320"/>
              <w:spacing w:after="0"/>
              <w:rPr>
                <w:sz w:val="20"/>
                <w:szCs w:val="20"/>
                <w:color w:val="auto"/>
              </w:rPr>
            </w:pPr>
            <w:r>
              <w:rPr>
                <w:rFonts w:ascii="Arial" w:cs="Arial" w:eastAsia="Arial" w:hAnsi="Arial"/>
                <w:sz w:val="16"/>
                <w:szCs w:val="16"/>
                <w:color w:val="auto"/>
              </w:rPr>
              <w:t>Acquired in-process research and development</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65,237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157,000</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of convertible promissory notes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2,864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10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851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3,058</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interest expense</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100" w:type="dxa"/>
            <w:vAlign w:val="bottom"/>
          </w:tcPr>
          <w:p>
            <w:pPr>
              <w:ind w:left="320"/>
              <w:spacing w:after="0"/>
              <w:rPr>
                <w:sz w:val="20"/>
                <w:szCs w:val="20"/>
                <w:color w:val="auto"/>
              </w:rPr>
            </w:pPr>
            <w:r>
              <w:rPr>
                <w:rFonts w:ascii="Arial" w:cs="Arial" w:eastAsia="Arial" w:hAnsi="Arial"/>
                <w:sz w:val="16"/>
                <w:szCs w:val="16"/>
                <w:color w:val="auto"/>
              </w:rPr>
              <w:t>Noncash operating lease expense</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53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03"/>
        </w:trPr>
        <w:tc>
          <w:tcPr>
            <w:tcW w:w="8100" w:type="dxa"/>
            <w:vAlign w:val="bottom"/>
          </w:tcPr>
          <w:p>
            <w:pPr>
              <w:ind w:left="320"/>
              <w:spacing w:after="0"/>
              <w:rPr>
                <w:sz w:val="20"/>
                <w:szCs w:val="20"/>
                <w:color w:val="auto"/>
              </w:rPr>
            </w:pPr>
            <w:r>
              <w:rPr>
                <w:rFonts w:ascii="Arial" w:cs="Arial" w:eastAsia="Arial" w:hAnsi="Arial"/>
                <w:sz w:val="16"/>
                <w:szCs w:val="16"/>
                <w:color w:val="auto"/>
              </w:rPr>
              <w:t>Other</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423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640"/>
              <w:spacing w:after="0"/>
              <w:rPr>
                <w:sz w:val="20"/>
                <w:szCs w:val="20"/>
                <w:color w:val="auto"/>
              </w:rPr>
            </w:pPr>
            <w:r>
              <w:rPr>
                <w:rFonts w:ascii="Arial" w:cs="Arial" w:eastAsia="Arial" w:hAnsi="Arial"/>
                <w:sz w:val="16"/>
                <w:szCs w:val="16"/>
                <w:color w:val="auto"/>
              </w:rPr>
              <w:t>Prepaid expenses and other current assets</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assets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8100" w:type="dxa"/>
            <w:vAlign w:val="bottom"/>
          </w:tcPr>
          <w:p>
            <w:pPr>
              <w:ind w:left="640"/>
              <w:spacing w:after="0"/>
              <w:rPr>
                <w:sz w:val="20"/>
                <w:szCs w:val="20"/>
                <w:color w:val="auto"/>
              </w:rPr>
            </w:pPr>
            <w:r>
              <w:rPr>
                <w:rFonts w:ascii="Arial" w:cs="Arial" w:eastAsia="Arial" w:hAnsi="Arial"/>
                <w:sz w:val="16"/>
                <w:szCs w:val="16"/>
                <w:color w:val="auto"/>
              </w:rPr>
              <w:t>Accounts payable</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(3,120)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Accrued liabilities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2,796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4,013</w:t>
            </w:r>
          </w:p>
        </w:tc>
        <w:tc>
          <w:tcPr>
            <w:tcW w:w="0" w:type="dxa"/>
            <w:vAlign w:val="bottom"/>
          </w:tcPr>
          <w:p>
            <w:pPr>
              <w:spacing w:after="0"/>
              <w:rPr>
                <w:sz w:val="1"/>
                <w:szCs w:val="1"/>
                <w:color w:val="auto"/>
              </w:rPr>
            </w:pPr>
          </w:p>
        </w:tc>
      </w:tr>
      <w:tr>
        <w:trPr>
          <w:trHeight w:val="203"/>
        </w:trPr>
        <w:tc>
          <w:tcPr>
            <w:tcW w:w="8100" w:type="dxa"/>
            <w:vAlign w:val="bottom"/>
          </w:tcPr>
          <w:p>
            <w:pPr>
              <w:ind w:left="640"/>
              <w:spacing w:after="0"/>
              <w:rPr>
                <w:sz w:val="20"/>
                <w:szCs w:val="20"/>
                <w:color w:val="auto"/>
              </w:rPr>
            </w:pPr>
            <w:r>
              <w:rPr>
                <w:rFonts w:ascii="Arial" w:cs="Arial" w:eastAsia="Arial" w:hAnsi="Arial"/>
                <w:sz w:val="16"/>
                <w:szCs w:val="16"/>
                <w:color w:val="auto"/>
              </w:rPr>
              <w:t>Operating lease liabilities</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Net cash used in operating activities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7"/>
              </w:rPr>
              <w:t>(10,248)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(46,068)</w:t>
            </w:r>
          </w:p>
        </w:tc>
        <w:tc>
          <w:tcPr>
            <w:tcW w:w="0" w:type="dxa"/>
            <w:vAlign w:val="bottom"/>
          </w:tcPr>
          <w:p>
            <w:pPr>
              <w:spacing w:after="0"/>
              <w:rPr>
                <w:sz w:val="1"/>
                <w:szCs w:val="1"/>
                <w:color w:val="auto"/>
              </w:rPr>
            </w:pPr>
          </w:p>
        </w:tc>
      </w:tr>
      <w:tr>
        <w:trPr>
          <w:trHeight w:val="206"/>
        </w:trPr>
        <w:tc>
          <w:tcPr>
            <w:tcW w:w="81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Cash acquired in connection with acquisitions of assets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1,823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Purchases of promissory notes receivable</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(12,750)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960"/>
              <w:spacing w:after="0"/>
              <w:rPr>
                <w:sz w:val="20"/>
                <w:szCs w:val="20"/>
                <w:color w:val="auto"/>
              </w:rPr>
            </w:pPr>
            <w:r>
              <w:rPr>
                <w:rFonts w:ascii="Arial" w:cs="Arial" w:eastAsia="Arial" w:hAnsi="Arial"/>
                <w:sz w:val="16"/>
                <w:szCs w:val="16"/>
                <w:color w:val="auto"/>
              </w:rPr>
              <w:t>Net cash used in investing activities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(10,927)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1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Proceeds from issuance of convertible promissory notes</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55,905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convertible preferred stock, net of issuance costs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159,205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291,242</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Proceeds from issuance of common stock</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3,190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Repurchase and retirement of common stock from related party</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Net cash provided by financing activities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218,298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293,865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6"/>
                <w:szCs w:val="16"/>
                <w:color w:val="auto"/>
              </w:rPr>
              <w:t>Net increase in cash and restricted cash</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10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197,123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247,168</w:t>
            </w:r>
          </w:p>
        </w:tc>
        <w:tc>
          <w:tcPr>
            <w:tcW w:w="0" w:type="dxa"/>
            <w:vAlign w:val="bottom"/>
          </w:tcPr>
          <w:p>
            <w:pPr>
              <w:spacing w:after="0"/>
              <w:rPr>
                <w:sz w:val="1"/>
                <w:szCs w:val="1"/>
                <w:color w:val="auto"/>
              </w:rPr>
            </w:pPr>
          </w:p>
        </w:tc>
      </w:tr>
      <w:tr>
        <w:trPr>
          <w:trHeight w:val="205"/>
        </w:trPr>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Cash and restricted cash at beginning of year</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192,102</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6"/>
                <w:szCs w:val="16"/>
                <w:color w:val="auto"/>
              </w:rPr>
              <w:t>Cash and restricted cash at end of year</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100" w:type="dxa"/>
            <w:vAlign w:val="bottom"/>
            <w:vMerge w:val="continue"/>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197,123</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439,270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Components of cash and restricted cash:</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Cash</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197,073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439,145</w:t>
            </w:r>
          </w:p>
        </w:tc>
        <w:tc>
          <w:tcPr>
            <w:tcW w:w="0" w:type="dxa"/>
            <w:vAlign w:val="bottom"/>
          </w:tcPr>
          <w:p>
            <w:pPr>
              <w:spacing w:after="0"/>
              <w:rPr>
                <w:sz w:val="1"/>
                <w:szCs w:val="1"/>
                <w:color w:val="auto"/>
              </w:rPr>
            </w:pPr>
          </w:p>
        </w:tc>
      </w:tr>
      <w:tr>
        <w:trPr>
          <w:trHeight w:val="203"/>
        </w:trPr>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6"/>
                <w:szCs w:val="16"/>
                <w:color w:val="auto"/>
              </w:rPr>
              <w:t>Total cash and restricted cash</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100" w:type="dxa"/>
            <w:vAlign w:val="bottom"/>
            <w:vMerge w:val="continue"/>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197,123</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439,270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activities: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320"/>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2,631</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320"/>
              <w:spacing w:after="0"/>
              <w:rPr>
                <w:sz w:val="20"/>
                <w:szCs w:val="20"/>
                <w:color w:val="auto"/>
              </w:rPr>
            </w:pPr>
            <w:r>
              <w:rPr>
                <w:rFonts w:ascii="Arial" w:cs="Arial" w:eastAsia="Arial" w:hAnsi="Arial"/>
                <w:sz w:val="16"/>
                <w:szCs w:val="16"/>
                <w:color w:val="auto"/>
              </w:rPr>
              <w:t>Settlement of convertible promissory notes with shares of Series A-2 convertible preferred stock</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59,180</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convertible preferred stock as noncash consideration for acquisitions of assets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51,493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157,000</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320"/>
              <w:spacing w:after="0"/>
              <w:rPr>
                <w:sz w:val="20"/>
                <w:szCs w:val="20"/>
                <w:color w:val="auto"/>
              </w:rPr>
            </w:pPr>
            <w:r>
              <w:rPr>
                <w:rFonts w:ascii="Arial" w:cs="Arial" w:eastAsia="Arial" w:hAnsi="Arial"/>
                <w:sz w:val="16"/>
                <w:szCs w:val="16"/>
                <w:color w:val="auto"/>
              </w:rPr>
              <w:t>Settlement of promissory notes receivable in connection with an acquisition of assets</w:t>
            </w: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100" w:type="dxa"/>
            <w:vAlign w:val="bottom"/>
            <w:vMerge w:val="continue"/>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11,000</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liabilities assumed in connection with acquisitions of assets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1,707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320"/>
              <w:spacing w:after="0"/>
              <w:rPr>
                <w:sz w:val="20"/>
                <w:szCs w:val="20"/>
                <w:color w:val="auto"/>
              </w:rPr>
            </w:pPr>
            <w:r>
              <w:rPr>
                <w:rFonts w:ascii="Arial" w:cs="Arial" w:eastAsia="Arial" w:hAnsi="Arial"/>
                <w:sz w:val="16"/>
                <w:szCs w:val="16"/>
                <w:color w:val="auto"/>
              </w:rPr>
              <w:t>Issuance of convertible preferred stock warrants as noncash consideration for an acquisition of assets</w:t>
            </w: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00" w:type="dxa"/>
            <w:vAlign w:val="bottom"/>
            <w:vMerge w:val="continue"/>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742</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costs related to Series A-2 convertible preferred stock included in accrued liabilities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25" w:lineRule="exact"/>
        <w:rPr>
          <w:sz w:val="20"/>
          <w:szCs w:val="20"/>
          <w:color w:val="auto"/>
        </w:rPr>
      </w:pPr>
    </w:p>
    <w:p>
      <w:pPr>
        <w:ind w:left="120" w:right="8700" w:hanging="4"/>
        <w:spacing w:after="0" w:line="425" w:lineRule="auto"/>
        <w:tabs>
          <w:tab w:leader="none" w:pos="300"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Liquidity Description of Business</w:t>
      </w:r>
    </w:p>
    <w:p>
      <w:pPr>
        <w:ind w:left="120"/>
        <w:spacing w:after="0" w:line="255" w:lineRule="auto"/>
        <w:rPr>
          <w:sz w:val="20"/>
          <w:szCs w:val="20"/>
          <w:color w:val="auto"/>
        </w:rPr>
      </w:pPr>
      <w:r>
        <w:rPr>
          <w:rFonts w:ascii="Arial" w:cs="Arial" w:eastAsia="Arial" w:hAnsi="Arial"/>
          <w:sz w:val="18"/>
          <w:szCs w:val="18"/>
          <w:color w:val="auto"/>
        </w:rPr>
        <w:t>Neumora Therapeutics, Inc. (the Company), formerly known as RBNC Therapeutics, Inc., was originally incorporated in the State of Delaware on November 22, 2019 (inception), and is headquartered in Watertown, Massachusetts and also has operations in South San Francisco, California. The Company is a clinical-stage biotechnology company pioneering a precision medicine approach for brain diseases through the integration of data science and neuroscience. The Company’s approach aims to redefine neuroscience research and development by applying proprietary artificial intelligence and machine learning methods to multimodal patient datasets in order to match defined patient populations with targeted therapeutics designed to address the underlying drivers of their disease.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The Company has incurred net losses and negative cash flows from operations since inception and, as of September 30, 2021, had an accumulated deficit of $309.6 million. The Company incurred a net loss of $79.3 million and $210.3 million during the nine months ended September 30, 2020 and 2021. As of September 30, 2021, the Company had cash of $439.1 million, which is available to fund future operations.</w:t>
      </w:r>
    </w:p>
    <w:p>
      <w:pPr>
        <w:spacing w:after="0" w:line="14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Company expects to incur additional losses in the future as it continues its research and development efforts, advances its product candidates through preclinical and clinical development, enhances its precision neuroscience platform and programs, expands its product pipeline, seeks regulatory approval, prepares for commercialization, as well as hires additional personnel, protects its intellectual property and grows its business. The Company will need to raise additional capital to support its continuing operations and pursue its long-term business plan, including to complete the development and commercialization of its product candidates, if approved. Such activities are subject to significant risks and uncertainties, including clinical failure which can impact the Company’s ability to secure additional funding. The Company has historically financed its operations primarily with the proceeds from the issuance of its convertible preferred stock, borrowings pursuant to convertible promissory notes and cash acquired in its acquisitions of assets. The Company may raise additional capital through public or private equity offerings or debt financings or other sources of capital, which may include strategic collaborations or other arrangements with third parties, or other sources of financing. However, there is no guarantee that any of these financings or opportunities will be executed or realized on favorable terms, if at all, and some could be dilutive to existing stockholders. The Company’s ability to raise additional capital through either the issuance of equity or debt is dependent on a number of factors including, but not limited to, Company prospects, which itself is subject to a number of development and business risks and uncertainties, as well as uncertainty about whether the Company would be able to raise such additional capital at a price or on terms that are favorable.</w:t>
      </w:r>
    </w:p>
    <w:p>
      <w:pPr>
        <w:spacing w:after="0" w:line="17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Company believes that its existing cash as of September 30, 2021 will be sufficient to support operations through at least one year from the date the unaudited condensed financial statements were available to be issued.</w:t>
      </w:r>
    </w:p>
    <w:p>
      <w:pPr>
        <w:spacing w:after="0" w:line="274" w:lineRule="exact"/>
        <w:rPr>
          <w:sz w:val="20"/>
          <w:szCs w:val="20"/>
          <w:color w:val="auto"/>
        </w:rPr>
      </w:pPr>
    </w:p>
    <w:p>
      <w:pPr>
        <w:ind w:left="120" w:right="5460" w:hanging="4"/>
        <w:spacing w:after="0" w:line="378" w:lineRule="auto"/>
        <w:tabs>
          <w:tab w:leader="none" w:pos="30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 Basis of Presentation and Consolidation</w:t>
      </w:r>
    </w:p>
    <w:p>
      <w:pPr>
        <w:ind w:left="120" w:right="8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(U.S. GAAP) and applicable rules and regulations of the Securities and Exchange Commission (SEC) regarding annual financial reporting. The condensed consolidated financial statements include all accounts of the Company and its wholly-owned subsidiaries. All intercompany transactions and balances have been eliminated in consolidation.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Financial Statements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condensed consolidated balance sheet as of September 30, 2021, condensed consolidated statements of operations and comprehensive loss, statements of convertible preferred stock and stockholders’ deficit and cash flows for the nine months ended September 30, 2020 and 2021 and related notes to condensed consolidated financial statements are unaudited. These unaudited interim condensed consolidated financial statements have been prepared on the same basis as the Company’s annual consolidated financial statements and, in the opinion of management, reflect all adjustments (consisting only of normal recurring adjustments) that are necessary for the fair statement of the Company’s consolidated financial position, results of operations and cash flows for the periods presented. The condensed consolidated results of operations for the nine months ended September 30, 2021 are not necessarily indicative of the results to be expected for the full year or for any other future annual or interim period. The condensed consolidated balance sheet as of December 31, 2020 included herein was derived from the audited consolidated financial statements as of that date. These interim condensed consolidated financial statements should be read in conjunction with the Company’s audited consolidated financial statements included elsewhere in this prospectus.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in the condensed consolidated financial statements and accompanying notes. These estimates form the basis for judgments the Company makes about the carrying values of assets and liabilities that are not readily apparent from other sources.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are used for, but not limited to, accrued research and development expenses, accounting for acquisitions of assets, fair value of certain assets and liabilities, the fair value of the Company’s convertible preferred stock, the fair value of the Company’s convertible preferred stock warrant liability, the fair value of the Company’s common stock, stock-based compensation, and uncertain tax positions and the valuation allowance for net deferred tax assets. Actual results may differ from the Company’s estimates.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 is subject to certain risks and uncertainties, including, but not limited to, changes in any of the following areas that the Company believes could have a material adverse effect on future financial position or results of operations: successfully develop, manufacture, and market any approved products; obtain regulatory approval from U.S. Food and Drug Administration or foreign regulatory agencies prior to commercial sales; new technological innovations; dependence on key personnel, protection of intellectual property; compliance with governmental regulations; uncertainty of market acceptance of any approved products; product liability; and the need to obtain additional financing.</w:t>
      </w:r>
    </w:p>
    <w:p>
      <w:pPr>
        <w:spacing w:after="0" w:line="17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While the Company is actively monitoring the impact of the COVID-19 pandemic on its business, the extent of the impact of the pandemic on the Company’s business, operations, and clinical development timelines and plans remains uncertain. To date, the COVID-19 pandemic has delayed patient enrollment in the Company’s ongoing clinical trials and may further delay the Company’s initiation of preclinical studies and clinical trials, interrupt its supply chain, disrupt regulatory activities, or have other adverse effects on its business and operations. The extent of the impact of the COVID-19 pandemic on the Company’s preclinical studies or clinical trials will depend on future developments, which are highly uncertain and cannot be predicted with confidence, such as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duration or severity of the pandemic or the effectiveness of containment actions or treatments. In response to the COVID-19 pandemic the Company has taken temporary precautionary measures intended to help minimize its risk of exposure to the virus for its employees, including implementing policies that allow its employees to work remotely and suspending most non-essential travel for its employees, none of which had an adverse impact on the Company’s business. Certain third-party service providers have also experienced shutdowns or other business disruptions. However, the Company cannot at this time predict the specific extent, duration, or full impact that the COVID-19 pandemic will have on its condensed consolidated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at the measurement date. The Company measures fair value by maximizing the use of observable inputs, where available, and minimizing the use of unobservable inputs when measuring fair value. Financial assets and liabilities recorded at fair value in the condensed consolidated balance sheets are categorized in the fair value hierarchy based upon the lowest level of input that is significant to the fair value as follows: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29"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inputs for similar assets or liabilities. These include quoted prices for identical or similar assets or liabilities in active markets and quoted prices for identical or similar assets of liabilities in markets that are not active.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248" w:lineRule="exact"/>
        <w:rPr>
          <w:sz w:val="20"/>
          <w:szCs w:val="20"/>
          <w:color w:val="auto"/>
        </w:rPr>
      </w:pPr>
    </w:p>
    <w:p>
      <w:pPr>
        <w:ind w:left="120" w:right="480"/>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(see Note 3). A financial instrument’s level within the fair value hierarchy is based on the lowest level of any input that is significant to the fair value of the instrument.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Company evaluates mergers, acquisitions and other similar transactions to assess whether or not the transaction should be accounted for as a business combination or an acquisition of assets. The Company first identifies who is the acquiring entity by determining if the target is a legal entity or a group of assets or liabilities. If control over a legal entity is being evaluated, the Company also evaluates if the target is a variable interest or voting interest entity. For acquisitions of voting interest entities, the Company applies a screen test to determine if substantially all of the fair value of the gross assets acquired is concentrated in a single identifiable asset or group of similar identifiable assets. If the screen test is met, the transaction is accounted for as an acquisition of assets.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16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For an acquisition of assets, a cost accumulation model is used to determine the cost of the acquisition. Common stock and convertible preferred stock issued as consideration in an acquisition of assets are generally measured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00"/>
          </w:cols>
          <w:pgMar w:left="320" w:top="459" w:right="47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based on the acquisition date fair value of the equity interests issued. The Company also determines if any components of a transaction should be accounted for as a part of an acquisition of assets and which should be accounted for separately. Direct transaction costs are recognized as part of the cost of an acquisition of assets. The Company also evaluates which elements of a transaction should be accounted for as a part of an acquisition of assets and which should be accounted for separately.</w:t>
      </w:r>
    </w:p>
    <w:p>
      <w:pPr>
        <w:spacing w:after="0" w:line="18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The cost of an acquisition of assets, including transaction costs, are allocated to identifiable assets acquired and liabilities assumed based on a relative fair value basis. Goodwill is not recognized in an acquisition of assets. Any difference between the cost of an acquisition of assets and the fair value of the net assets acquired is allocated to the non-monetary identifiable assets based on their relative fair values. Assets acquired as part of an acquisition of assets that are considered to be in-process research and development intangible assets (IPR&amp;D) are immediately expensed and recorded as a component of acquired in-process research and development expense in the condensed consolidated statements of operations and comprehensive loss unless there is an alternative future use in other research and development projects.</w:t>
      </w:r>
    </w:p>
    <w:p>
      <w:pPr>
        <w:spacing w:after="0" w:line="178"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In addition to upfront consideration, the Company’s acquisitions of assets may also include contingent consideration payments to be made for future milestone events or royalties on net sales of future products. The Company assesses whether such contingent consideration is subject to liability classification and fair value measurement or meets the definition of a derivative. Contingent consideration payments in an acquisition of assets not required to be classified as a liability at fair value, or are accounted for as derivatives that qualify for a scope exception from derivative accounting, are recognized when the contingency is resolved, and the consideration is paid or becomes payable. Contingent consideration payments required to be classified as a liability, or accounted for as derivatives and do not qualify for a scope exception from derivative accounting, are recorded at fair value on the date of the acquisition and are subsequently remeasured to fair value at each reporting date. Contingent consideration payments made prior to regulatory approval are expensed as incurred. Any future payments that are contingent upon continued services to the Company are treated as compensation and recognized when it is probable such amounts will become payable.</w:t>
      </w:r>
    </w:p>
    <w:p>
      <w:pPr>
        <w:spacing w:after="0" w:line="18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If the target legal entity is determined to be a variable interest entity (VIE) and not a business, all tangible and intangible assets acquired, including any IPR&amp;D assets but excluding goodwill, and liabilities assumed, including contingent consideration, are recorded at their fair values. If the acquisition is determined to be a business combination, all tangible and intangible assets acquired, including any IPR&amp;D asset, and liabilities assumed, including contingent consideration, are recorded at their fair value. Goodwill is recognized for any difference between the consideration transferred and fair value determination. In addition, direct transaction costs in connection with business combinations are expensed as incurred, rather than capitalized.</w:t>
      </w:r>
    </w:p>
    <w:p>
      <w:pPr>
        <w:spacing w:after="0" w:line="16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tax basis of assets acquired in either a business combination or acquisition of assets are compared to the book basis of such assets resulting in the recognition of deferred tax assets and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Deferred offering costs, which consist of direct incremental legal, consulting, banking and accounting fees primarily relating to the Company’s contemplated initial public offering (IPO) are capitalized and will be offset against proceeds upon the consummation of the offering within stockholders’ deficit. In the event an anticipated offering is terminated, deferred IPO offering costs will be expensed. As of December 31, 2020, there were no capitalized deferred offering costs on the condensed consolidated balance sheet. As of September 30, 2021, deferred offering costs, which are included in prepaid expenses and other current assets in the condensed consolidated balance sheet were insignificant.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Company has classified convertible preferred stock, which is contingently redeemable, as temporary equity in the condensed consolidated balance sheets due to terms that allow for the effective redemption of such shares in cash at the option of the holders upon certain liquidation events that are not solely within the Company’s control.</w:t>
      </w:r>
    </w:p>
    <w:p>
      <w:pPr>
        <w:spacing w:after="0" w:line="184"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carrying values of the convertible preferred stock are adjusted to their liquidation preferences if and when it becomes probable that such a liquidation event will occur. The Company did not accrete the value of the convertible preferred stock to its redemption value since a liquidation event was not considered probable as of September 30, 2021. Subsequent adjustments to the carrying values of the convertible preferred stock will be made only when it becomes probable that such liquidation events will occur, causing the shares to become redeemable.</w:t>
      </w:r>
    </w:p>
    <w:p>
      <w:pPr>
        <w:spacing w:after="0" w:line="171"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The Company also evaluates the features of its convertible preferred stock to determine if the features require bifurcation from the underlying shares by evaluating whether they are clearly and closely related to the underlying shares and whether they meet the definition of a derivative.</w:t>
      </w:r>
    </w:p>
    <w:p>
      <w:pPr>
        <w:spacing w:after="0" w:line="14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determining if an extinguishment or modification of changes to mezzanine equity-classified preferred shares has occurred, the Company has elected a policy to evaluate if changes add, delete or significantly change a substantive contractual term (e.g., one that is at least reasonably possible of being exercised), or fundamentally change the nature of the convertible preferred shares. This evaluation includes the consideration of both the expected economics as well as the business purpose for the amendment.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Expenses and Related Prepaid Assets and Accrued Liabilities</w:t>
      </w:r>
    </w:p>
    <w:p>
      <w:pPr>
        <w:spacing w:after="0" w:line="121"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Research and development costs are expensed as incurred. Research and development expenses primarily consist of internal research and development expense, including personnel-related expenses (such as salaries, benefits and non-cash stock-based compensation) and other expenses, including laboratory supplies and other non-capital equipment utilized for in-house research, research and consulting expenses, software development costs, license fees and allocated expenses, including facilities costs and depreciation and amortization; external research and development expenses incurred under arrangements with vendors conducting research and development services on its behalf, such as contract research organizations (CROs), preclinical testing organizations and contract manufacturing organizations (CMOs). Costs to develop the Company’s platform information technologies are recorded as research and development expense unless the criteria to be capitalized as internal-use software costs is met. Payments made prior to the receipt of goods or services to be used in research and development are capitalized, evaluated for current or long-term classification, and included in prepaid expenses and other current assets or other assets on the condensed consolidated balance sheets based on when the goods are received or the services are expected to be received or consumed, and recognized in research and development expenses when they are realized.</w:t>
      </w:r>
    </w:p>
    <w:p>
      <w:pPr>
        <w:spacing w:after="0" w:line="16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is required to estimate expenses resulting from its obligations under contracts with vendors, service providers and clinical site agreements in connection with conducting clinical trials. The financial terms of these contracts are subject to negotiations which vary from contract to contract and may result in cash flows that do not match the periods over which materials or services are provided. The Company estimates and records accrued expenses for the related research and development activities based on the level of services performed but not yet invoiced pursuant to agreements established with its service providers, according to the progress of preclinical studies, clinical trials or related activities, and discussions with applicable personnel and service providers as to the progress or state of consummation of goods and services.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00"/>
          </w:cols>
          <w:pgMar w:left="320" w:top="459" w:right="47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During the course of a clinical trial, the rate of expense recognition is adjusted if actual results differ from the Company’s estimates. The Company makes judgments and estimates of accrued expenses as of each balance sheet date in its condensed consolidated financial statements based on the facts and circumstances known at that time. The clinical trial accrual is dependent in part upon the timely and accurate reporting of CROs, CMOs and other third-party vendors. Although the Company does not expect its estimates to be materially different from amounts actually incurred, its estimate may vary from the actual results. To date, the Company has not experienced material differences between its accrued expenses and actual expenses.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The Company maintains equity incentive plans (the Plans) as a long-term incentive for employees, directors, and non-employee service providers. The Company accounts for all stock-based awards based on their fair value on the date of the grant. For stock-based awards with service only vesting conditions, the Company recognizes expense on a straight-line basis over the requisite service period, which is generally the vesting period of the respective award. For awards with performance vesting conditions, the Company evaluates the probability of achieving the performance vesting condition at each reporting date. The Company begins to recognize expense for awards with performance based vesting conditions using an accelerated attribution method when it is deemed probable that the performance condition will be met. For awards with both market and service vesting conditions, the Company recognizes expense using the accelerated attribution method over the derived requisite service period. Stock-based compensation is classified in the condensed consolidated statements of operations and comprehensive loss based on the function to which the related services are provided. Forfeitures are accounted for as they occur.</w:t>
      </w:r>
    </w:p>
    <w:p>
      <w:pPr>
        <w:spacing w:after="0" w:line="181"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The fair value of stock option awards with service only vesting conditions is estimated on the date of grant using the Black-Scholes option pricing model, which requires inputs based on certain subjective assumptions, including the expected stock price volatility, the expected term of the option, the risk-free interest rate for a period that approximates the expected term of the option, and the expected dividend yield. The fair value of stock options awards with market conditions is estimated on the grant date using the Monte Carlo simulation model, which utilizes subjective assumptions, including volatility and the derived service periods, that determine the probability of satisfying the market condition stipulated in the award to estimate the fair value of the award. The fair value of restricted stock awards is based on the estimated fair value of the Company’s common stock on the date of grant.</w:t>
      </w:r>
    </w:p>
    <w:p>
      <w:pPr>
        <w:spacing w:after="0" w:line="16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The fair value of the Company’s common stock is determined by the Company’s board of directors with the assistance of management. The fair value of common stock is determined using valuation methodologies which utilize certain assumptions including probability weighting of events, volatility, time to an exit event, a risk-free interest rate and an assumption for a discount for lack of marketability. In determining the fair value of common stock, the methodologies used to estimate the enterprise value of the Company were performed using methodologies, approaches, and assumptions consistent with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w:t>
      </w:r>
      <w:r>
        <w:rPr>
          <w:rFonts w:ascii="Arial" w:cs="Arial" w:eastAsia="Arial" w:hAnsi="Arial"/>
          <w:sz w:val="18"/>
          <w:szCs w:val="18"/>
          <w:color w:val="auto"/>
        </w:rPr>
        <w:t xml:space="preserve"> </w:t>
      </w:r>
      <w:r>
        <w:rPr>
          <w:rFonts w:ascii="Arial" w:cs="Arial" w:eastAsia="Arial" w:hAnsi="Arial"/>
          <w:sz w:val="18"/>
          <w:szCs w:val="18"/>
          <w:i w:val="1"/>
          <w:iCs w:val="1"/>
          <w:color w:val="auto"/>
        </w:rPr>
        <w:t>as Compensation</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700"/>
        <w:spacing w:after="0" w:line="342" w:lineRule="auto"/>
        <w:rPr>
          <w:sz w:val="20"/>
          <w:szCs w:val="20"/>
          <w:color w:val="auto"/>
        </w:rPr>
      </w:pPr>
      <w:r>
        <w:rPr>
          <w:rFonts w:ascii="Arial" w:cs="Arial" w:eastAsia="Arial" w:hAnsi="Arial"/>
          <w:sz w:val="16"/>
          <w:szCs w:val="16"/>
          <w:color w:val="auto"/>
        </w:rPr>
        <w:t>Comprehensive loss represents the change in the Company’s stockholders’ deficit from all sources other than investments by or distributions to stockholders. The Company has no items of other comprehensive loss, and as such, net loss is the same as comprehensive loss.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 xml:space="preserve">In May 2021, the Financial Accounting Standards Board (FASB) issued Accounting Standards Update (ASU) 2021-04, </w:t>
      </w:r>
      <w:r>
        <w:rPr>
          <w:rFonts w:ascii="Arial" w:cs="Arial" w:eastAsia="Arial" w:hAnsi="Arial"/>
          <w:sz w:val="16"/>
          <w:szCs w:val="16"/>
          <w:i w:val="1"/>
          <w:iCs w:val="1"/>
          <w:color w:val="auto"/>
        </w:rPr>
        <w:t>Issuer’s Accounting for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Modifications or Exchanges of Freestanding Equity-Classified Written Call Options </w:t>
      </w:r>
      <w:r>
        <w:rPr>
          <w:rFonts w:ascii="Arial" w:cs="Arial" w:eastAsia="Arial" w:hAnsi="Arial"/>
          <w:sz w:val="16"/>
          <w:szCs w:val="16"/>
          <w:color w:val="auto"/>
        </w:rPr>
        <w:t>(ASU 2021-04), which requires issuers to account for a</w:t>
      </w:r>
      <w:r>
        <w:rPr>
          <w:rFonts w:ascii="Arial" w:cs="Arial" w:eastAsia="Arial" w:hAnsi="Arial"/>
          <w:sz w:val="16"/>
          <w:szCs w:val="16"/>
          <w:i w:val="1"/>
          <w:iCs w:val="1"/>
          <w:color w:val="auto"/>
        </w:rPr>
        <w:t xml:space="preserve"> </w:t>
      </w:r>
      <w:r>
        <w:rPr>
          <w:rFonts w:ascii="Arial" w:cs="Arial" w:eastAsia="Arial" w:hAnsi="Arial"/>
          <w:sz w:val="16"/>
          <w:szCs w:val="16"/>
          <w:color w:val="auto"/>
        </w:rPr>
        <w:t>modification or exchange of freestanding equity-classified written call options that remain equity classified after the modification or exchange based on the economic substance of the modification or exchange. ASU 2021-04 is effective for the Company as of January 1, 2022, with early adoption permitted. The Company does not expect the ASU to have a material impact on its condensed consolidated financial statements and related disclosures.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carrying amounts of the Company’s financial instruments, including prepaid expenses and other current assets, accounts payable, accrued liabilities and operating lease liabilities approximate fair value due to the short-term nature of those instruments.</w:t>
      </w:r>
    </w:p>
    <w:p>
      <w:pPr>
        <w:spacing w:after="0" w:line="170" w:lineRule="exact"/>
        <w:rPr>
          <w:sz w:val="20"/>
          <w:szCs w:val="20"/>
          <w:color w:val="auto"/>
        </w:rPr>
      </w:pPr>
    </w:p>
    <w:p>
      <w:pPr>
        <w:jc w:val="both"/>
        <w:ind w:left="120" w:right="480"/>
        <w:spacing w:after="0" w:line="342" w:lineRule="auto"/>
        <w:rPr>
          <w:sz w:val="20"/>
          <w:szCs w:val="20"/>
          <w:color w:val="auto"/>
        </w:rPr>
      </w:pPr>
      <w:r>
        <w:rPr>
          <w:rFonts w:ascii="Arial" w:cs="Arial" w:eastAsia="Arial" w:hAnsi="Arial"/>
          <w:sz w:val="16"/>
          <w:szCs w:val="16"/>
          <w:color w:val="auto"/>
        </w:rPr>
        <w:t>As of December 31, 2020 and September 30, 2021, there were no assets that were measured at fair value on a recurring or nonrecurring basis. The following table summarizes the Company’s financial liabilities measured at fair value on a recurring basis by level within the fair value hierarchy:</w:t>
      </w:r>
    </w:p>
    <w:p>
      <w:pPr>
        <w:spacing w:after="0" w:line="14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3"/>
              </w:rPr>
              <w:t>December 31, 2020</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00" w:type="dxa"/>
            <w:vAlign w:val="bottom"/>
            <w:tcBorders>
              <w:bottom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Convertible preferred stock warrant liability</w:t>
            </w:r>
          </w:p>
        </w:tc>
        <w:tc>
          <w:tcPr>
            <w:tcW w:w="198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28"/>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612</w:t>
            </w:r>
          </w:p>
        </w:tc>
        <w:tc>
          <w:tcPr>
            <w:tcW w:w="50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612</w:t>
            </w:r>
          </w:p>
        </w:tc>
        <w:tc>
          <w:tcPr>
            <w:tcW w:w="60" w:type="dxa"/>
            <w:vAlign w:val="bottom"/>
          </w:tcPr>
          <w:p>
            <w:pPr>
              <w:spacing w:after="0"/>
              <w:rPr>
                <w:sz w:val="18"/>
                <w:szCs w:val="18"/>
                <w:color w:val="auto"/>
              </w:rPr>
            </w:pPr>
          </w:p>
        </w:tc>
      </w:tr>
      <w:tr>
        <w:trPr>
          <w:trHeight w:val="27"/>
        </w:trPr>
        <w:tc>
          <w:tcPr>
            <w:tcW w:w="4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9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612</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60" w:type="dxa"/>
            <w:vAlign w:val="bottom"/>
            <w:tcBorders>
              <w:left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0"/>
              </w:rPr>
              <w:t>September 30, 2021</w:t>
            </w: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00" w:type="dxa"/>
            <w:vAlign w:val="bottom"/>
            <w:tcBorders>
              <w:bottom w:val="single" w:sz="8" w:color="auto"/>
            </w:tcBorders>
            <w:gridSpan w:val="4"/>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Convertible preferred stock warrant liability</w:t>
            </w:r>
          </w:p>
        </w:tc>
        <w:tc>
          <w:tcPr>
            <w:tcW w:w="198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r>
      <w:tr>
        <w:trPr>
          <w:trHeight w:val="27"/>
        </w:trPr>
        <w:tc>
          <w:tcPr>
            <w:tcW w:w="4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216"/>
        </w:trPr>
        <w:tc>
          <w:tcPr>
            <w:tcW w:w="4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r>
      <w:tr>
        <w:trPr>
          <w:trHeight w:val="20"/>
        </w:trPr>
        <w:tc>
          <w:tcPr>
            <w:tcW w:w="4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1980" w:type="dxa"/>
            <w:vAlign w:val="bottom"/>
            <w:gridSpan w:val="2"/>
          </w:tcPr>
          <w:p>
            <w:pPr>
              <w:jc w:val="right"/>
              <w:ind w:right="882"/>
              <w:spacing w:after="0"/>
              <w:rPr>
                <w:sz w:val="20"/>
                <w:szCs w:val="20"/>
                <w:color w:val="auto"/>
              </w:rPr>
            </w:pPr>
            <w:r>
              <w:rPr>
                <w:rFonts w:ascii="Arial" w:cs="Arial" w:eastAsia="Arial" w:hAnsi="Arial"/>
                <w:sz w:val="18"/>
                <w:szCs w:val="18"/>
                <w:color w:val="auto"/>
              </w:rPr>
              <w:t>F-53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17"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color w:val="auto"/>
        </w:rPr>
        <w:t>In September 2020, the Company issued Preferred Stock Warrants to purchase shares of its Series A-1 convertible preferred stock (see Note 9), which do not meet the criteria for equity classification. The estimated fair value of the convertible preferred stock warrant liability was determined based on significant inputs not observable in the market, which represents a Level 3 measurement within the fair value hierarchy.</w:t>
      </w:r>
    </w:p>
    <w:p>
      <w:pPr>
        <w:spacing w:after="0" w:line="16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convertible preferred stock warrant liability during the nine months ended September 30, 2021:</w:t>
      </w:r>
    </w:p>
    <w:p>
      <w:pPr>
        <w:spacing w:after="0" w:line="17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Range</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Valuation Technique</w:t>
            </w:r>
          </w:p>
        </w:tc>
        <w:tc>
          <w:tcPr>
            <w:tcW w:w="5820" w:type="dxa"/>
            <w:vAlign w:val="bottom"/>
            <w:gridSpan w:val="2"/>
          </w:tcPr>
          <w:p>
            <w:pPr>
              <w:ind w:left="2240"/>
              <w:spacing w:after="0"/>
              <w:rPr>
                <w:sz w:val="20"/>
                <w:szCs w:val="20"/>
                <w:color w:val="auto"/>
              </w:rPr>
            </w:pPr>
            <w:r>
              <w:rPr>
                <w:rFonts w:ascii="Arial" w:cs="Arial" w:eastAsia="Arial" w:hAnsi="Arial"/>
                <w:sz w:val="14"/>
                <w:szCs w:val="14"/>
                <w:b w:val="1"/>
                <w:bCs w:val="1"/>
                <w:color w:val="auto"/>
              </w:rPr>
              <w:t>Unobservable Input</w:t>
            </w:r>
          </w:p>
        </w:tc>
        <w:tc>
          <w:tcPr>
            <w:tcW w:w="1800" w:type="dxa"/>
            <w:vAlign w:val="bottom"/>
            <w:gridSpan w:val="2"/>
          </w:tcPr>
          <w:p>
            <w:pPr>
              <w:ind w:left="520"/>
              <w:spacing w:after="0"/>
              <w:rPr>
                <w:sz w:val="20"/>
                <w:szCs w:val="20"/>
                <w:color w:val="auto"/>
              </w:rPr>
            </w:pPr>
            <w:r>
              <w:rPr>
                <w:rFonts w:ascii="Arial" w:cs="Arial" w:eastAsia="Arial" w:hAnsi="Arial"/>
                <w:sz w:val="14"/>
                <w:szCs w:val="14"/>
                <w:b w:val="1"/>
                <w:bCs w:val="1"/>
                <w:color w:val="auto"/>
              </w:rPr>
              <w:t>Input Range</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Fair value of Series A-1 convertible preferred stock (per share)</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$0.81</w:t>
            </w: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 $0.82</w:t>
            </w:r>
          </w:p>
        </w:tc>
        <w:tc>
          <w:tcPr>
            <w:tcW w:w="0" w:type="dxa"/>
            <w:vAlign w:val="bottom"/>
          </w:tcPr>
          <w:p>
            <w:pPr>
              <w:spacing w:after="0"/>
              <w:rPr>
                <w:sz w:val="1"/>
                <w:szCs w:val="1"/>
                <w:color w:val="auto"/>
              </w:rPr>
            </w:pPr>
          </w:p>
        </w:tc>
      </w:tr>
      <w:tr>
        <w:trPr>
          <w:trHeight w:val="216"/>
        </w:trPr>
        <w:tc>
          <w:tcPr>
            <w:tcW w:w="1060" w:type="dxa"/>
            <w:vAlign w:val="bottom"/>
            <w:gridSpan w:val="3"/>
            <w:vMerge w:val="restart"/>
          </w:tcPr>
          <w:p>
            <w:pPr>
              <w:jc w:val="center"/>
              <w:ind w:right="260"/>
              <w:spacing w:after="0"/>
              <w:rPr>
                <w:sz w:val="20"/>
                <w:szCs w:val="20"/>
                <w:color w:val="auto"/>
              </w:rPr>
            </w:pPr>
            <w:r>
              <w:rPr>
                <w:rFonts w:ascii="Arial" w:cs="Arial" w:eastAsia="Arial" w:hAnsi="Arial"/>
                <w:sz w:val="18"/>
                <w:szCs w:val="18"/>
                <w:color w:val="auto"/>
                <w:w w:val="88"/>
              </w:rPr>
              <w:t>$0.1 – $0.5</w:t>
            </w:r>
          </w:p>
        </w:tc>
        <w:tc>
          <w:tcPr>
            <w:tcW w:w="22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Black-Scholes option</w:t>
            </w:r>
          </w:p>
        </w:tc>
        <w:tc>
          <w:tcPr>
            <w:tcW w:w="58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tcPr>
          <w:p>
            <w:pPr>
              <w:jc w:val="right"/>
              <w:spacing w:after="0"/>
              <w:rPr>
                <w:sz w:val="20"/>
                <w:szCs w:val="20"/>
                <w:color w:val="auto"/>
              </w:rPr>
            </w:pPr>
            <w:r>
              <w:rPr>
                <w:rFonts w:ascii="Arial" w:cs="Arial" w:eastAsia="Arial" w:hAnsi="Arial"/>
                <w:sz w:val="18"/>
                <w:szCs w:val="18"/>
                <w:color w:val="auto"/>
              </w:rPr>
              <w:t>112.8%</w:t>
            </w:r>
          </w:p>
        </w:tc>
        <w:tc>
          <w:tcPr>
            <w:tcW w:w="960" w:type="dxa"/>
            <w:vAlign w:val="bottom"/>
          </w:tcPr>
          <w:p>
            <w:pPr>
              <w:ind w:left="20"/>
              <w:spacing w:after="0"/>
              <w:rPr>
                <w:sz w:val="20"/>
                <w:szCs w:val="20"/>
                <w:color w:val="auto"/>
              </w:rPr>
            </w:pPr>
            <w:r>
              <w:rPr>
                <w:rFonts w:ascii="Arial" w:cs="Arial" w:eastAsia="Arial" w:hAnsi="Arial"/>
                <w:sz w:val="18"/>
                <w:szCs w:val="18"/>
                <w:color w:val="auto"/>
              </w:rPr>
              <w:t>– 123.4%</w:t>
            </w:r>
          </w:p>
        </w:tc>
        <w:tc>
          <w:tcPr>
            <w:tcW w:w="0" w:type="dxa"/>
            <w:vAlign w:val="bottom"/>
          </w:tcPr>
          <w:p>
            <w:pPr>
              <w:spacing w:after="0"/>
              <w:rPr>
                <w:sz w:val="1"/>
                <w:szCs w:val="1"/>
                <w:color w:val="auto"/>
              </w:rPr>
            </w:pPr>
          </w:p>
        </w:tc>
      </w:tr>
      <w:tr>
        <w:trPr>
          <w:trHeight w:val="109"/>
        </w:trPr>
        <w:tc>
          <w:tcPr>
            <w:tcW w:w="1060" w:type="dxa"/>
            <w:vAlign w:val="bottom"/>
            <w:gridSpan w:val="3"/>
            <w:vMerge w:val="continue"/>
          </w:tcPr>
          <w:p>
            <w:pPr>
              <w:spacing w:after="0"/>
              <w:rPr>
                <w:sz w:val="9"/>
                <w:szCs w:val="9"/>
                <w:color w:val="auto"/>
              </w:rPr>
            </w:pPr>
          </w:p>
        </w:tc>
        <w:tc>
          <w:tcPr>
            <w:tcW w:w="22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pricing model</w:t>
            </w:r>
          </w:p>
        </w:tc>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Expected term (years)</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 0.8</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582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960" w:type="dxa"/>
            <w:vAlign w:val="bottom"/>
          </w:tcPr>
          <w:p>
            <w:pPr>
              <w:ind w:left="20"/>
              <w:spacing w:after="0"/>
              <w:rPr>
                <w:sz w:val="20"/>
                <w:szCs w:val="20"/>
                <w:color w:val="auto"/>
              </w:rPr>
            </w:pPr>
            <w:r>
              <w:rPr>
                <w:rFonts w:ascii="Arial" w:cs="Arial" w:eastAsia="Arial" w:hAnsi="Arial"/>
                <w:sz w:val="18"/>
                <w:szCs w:val="18"/>
                <w:color w:val="auto"/>
              </w:rPr>
              <w:t>– 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Bridge Notes</w:t>
      </w:r>
    </w:p>
    <w:p>
      <w:pPr>
        <w:spacing w:after="0" w:line="117"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During 2020, the Company issued $55.9 million in convertible promissory notes (the 2020 Bridge Notes or Notes) and in September 2020, the Notes were settled with shares of the Company’s Series A-2 convertible preferred stock (see Note 6) such that as of December 31, 2020 and September 30, 2021, the Notes were no longer outstanding. The Company elected the fair value option to account for its Notes issued in 2020.</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significant unobservable inputs used in the fair value measurement of the Notes during the nine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2020:</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Fair Value</w:t>
            </w: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Range</w:t>
            </w: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Valuation Technique</w:t>
            </w:r>
          </w:p>
        </w:tc>
        <w:tc>
          <w:tcPr>
            <w:tcW w:w="5940" w:type="dxa"/>
            <w:vAlign w:val="bottom"/>
            <w:gridSpan w:val="2"/>
          </w:tcPr>
          <w:p>
            <w:pPr>
              <w:ind w:left="2300"/>
              <w:spacing w:after="0"/>
              <w:rPr>
                <w:sz w:val="20"/>
                <w:szCs w:val="20"/>
                <w:color w:val="auto"/>
              </w:rPr>
            </w:pPr>
            <w:r>
              <w:rPr>
                <w:rFonts w:ascii="Arial" w:cs="Arial" w:eastAsia="Arial" w:hAnsi="Arial"/>
                <w:sz w:val="14"/>
                <w:szCs w:val="14"/>
                <w:b w:val="1"/>
                <w:bCs w:val="1"/>
                <w:color w:val="auto"/>
              </w:rPr>
              <w:t>Unobservable Input</w:t>
            </w:r>
          </w:p>
        </w:tc>
        <w:tc>
          <w:tcPr>
            <w:tcW w:w="1760" w:type="dxa"/>
            <w:vAlign w:val="bottom"/>
            <w:gridSpan w:val="2"/>
          </w:tcPr>
          <w:p>
            <w:pPr>
              <w:ind w:left="480"/>
              <w:spacing w:after="0"/>
              <w:rPr>
                <w:sz w:val="20"/>
                <w:szCs w:val="20"/>
                <w:color w:val="auto"/>
              </w:rPr>
            </w:pPr>
            <w:r>
              <w:rPr>
                <w:rFonts w:ascii="Arial" w:cs="Arial" w:eastAsia="Arial" w:hAnsi="Arial"/>
                <w:sz w:val="14"/>
                <w:szCs w:val="14"/>
                <w:b w:val="1"/>
                <w:bCs w:val="1"/>
                <w:color w:val="auto"/>
              </w:rPr>
              <w:t>Input Range</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Discount rate</w:t>
            </w:r>
          </w:p>
        </w:tc>
        <w:tc>
          <w:tcPr>
            <w:tcW w:w="12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11.9%</w:t>
            </w: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 13.3%</w:t>
            </w:r>
          </w:p>
        </w:tc>
        <w:tc>
          <w:tcPr>
            <w:tcW w:w="0" w:type="dxa"/>
            <w:vAlign w:val="bottom"/>
          </w:tcPr>
          <w:p>
            <w:pPr>
              <w:spacing w:after="0"/>
              <w:rPr>
                <w:sz w:val="1"/>
                <w:szCs w:val="1"/>
                <w:color w:val="auto"/>
              </w:rPr>
            </w:pPr>
          </w:p>
        </w:tc>
      </w:tr>
      <w:tr>
        <w:trPr>
          <w:trHeight w:val="216"/>
        </w:trPr>
        <w:tc>
          <w:tcPr>
            <w:tcW w:w="128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88"/>
              </w:rPr>
              <w:t>$55.9 – $58.8</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Scenario-based</w:t>
            </w:r>
          </w:p>
        </w:tc>
        <w:tc>
          <w:tcPr>
            <w:tcW w:w="5940" w:type="dxa"/>
            <w:vAlign w:val="bottom"/>
            <w:gridSpan w:val="2"/>
          </w:tcPr>
          <w:p>
            <w:pPr>
              <w:spacing w:after="0"/>
              <w:rPr>
                <w:sz w:val="20"/>
                <w:szCs w:val="20"/>
                <w:color w:val="auto"/>
              </w:rPr>
            </w:pPr>
            <w:r>
              <w:rPr>
                <w:rFonts w:ascii="Arial" w:cs="Arial" w:eastAsia="Arial" w:hAnsi="Arial"/>
                <w:sz w:val="18"/>
                <w:szCs w:val="18"/>
                <w:color w:val="auto"/>
              </w:rPr>
              <w:t>Timing of the scenarios (years)</w:t>
            </w: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960" w:type="dxa"/>
            <w:vAlign w:val="bottom"/>
          </w:tcPr>
          <w:p>
            <w:pPr>
              <w:ind w:left="20"/>
              <w:spacing w:after="0"/>
              <w:rPr>
                <w:sz w:val="20"/>
                <w:szCs w:val="20"/>
                <w:color w:val="auto"/>
              </w:rPr>
            </w:pPr>
            <w:r>
              <w:rPr>
                <w:rFonts w:ascii="Arial" w:cs="Arial" w:eastAsia="Arial" w:hAnsi="Arial"/>
                <w:sz w:val="18"/>
                <w:szCs w:val="18"/>
                <w:color w:val="auto"/>
              </w:rPr>
              <w:t>– 1.0</w:t>
            </w:r>
          </w:p>
        </w:tc>
        <w:tc>
          <w:tcPr>
            <w:tcW w:w="0" w:type="dxa"/>
            <w:vAlign w:val="bottom"/>
          </w:tcPr>
          <w:p>
            <w:pPr>
              <w:spacing w:after="0"/>
              <w:rPr>
                <w:sz w:val="1"/>
                <w:szCs w:val="1"/>
                <w:color w:val="auto"/>
              </w:rPr>
            </w:pPr>
          </w:p>
        </w:tc>
      </w:tr>
      <w:tr>
        <w:trPr>
          <w:trHeight w:val="109"/>
        </w:trPr>
        <w:tc>
          <w:tcPr>
            <w:tcW w:w="1280" w:type="dxa"/>
            <w:vAlign w:val="bottom"/>
            <w:gridSpan w:val="3"/>
            <w:vMerge w:val="continue"/>
          </w:tcPr>
          <w:p>
            <w:pPr>
              <w:spacing w:after="0"/>
              <w:rPr>
                <w:sz w:val="9"/>
                <w:szCs w:val="9"/>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9"/>
              </w:rPr>
              <w:t>analysis</w:t>
            </w:r>
          </w:p>
        </w:tc>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Probability of qualified financing</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87.4%</w:t>
            </w:r>
          </w:p>
        </w:tc>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59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Probability of default recover rate</w:t>
            </w: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960" w:type="dxa"/>
            <w:vAlign w:val="bottom"/>
          </w:tcPr>
          <w:p>
            <w:pPr>
              <w:ind w:left="20"/>
              <w:spacing w:after="0"/>
              <w:rPr>
                <w:sz w:val="20"/>
                <w:szCs w:val="20"/>
                <w:color w:val="auto"/>
              </w:rPr>
            </w:pPr>
            <w:r>
              <w:rPr>
                <w:rFonts w:ascii="Arial" w:cs="Arial" w:eastAsia="Arial" w:hAnsi="Arial"/>
                <w:sz w:val="18"/>
                <w:szCs w:val="18"/>
                <w:color w:val="auto"/>
              </w:rPr>
              <w:t>– 12.6%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following table provides a summary of the changes in the fair value of the Company’s liabilities measured using Level 3 inputs during the nine months ended September 30, 2020:</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4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Issuance of Preferred Stock Warrants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Notes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55,905</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Change in fair value of Notes immediately prior to settlement</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of Notes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(58,769)</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Balance as of September 30, 2020</w:t>
            </w:r>
          </w:p>
        </w:tc>
        <w:tc>
          <w:tcPr>
            <w:tcW w:w="1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20"/>
              <w:spacing w:after="0"/>
              <w:rPr>
                <w:sz w:val="20"/>
                <w:szCs w:val="20"/>
                <w:color w:val="auto"/>
              </w:rPr>
            </w:pPr>
            <w:r>
              <w:rPr>
                <w:rFonts w:ascii="Arial" w:cs="Arial" w:eastAsia="Arial" w:hAnsi="Arial"/>
                <w:sz w:val="18"/>
                <w:szCs w:val="18"/>
                <w:color w:val="auto"/>
              </w:rPr>
              <w:t>F-54</w:t>
            </w: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provides a summary of the changes in the fair value of the Company’s liabilities measured using Level 3 inputs during the nine months ended September 30,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6"/>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6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612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40" w:type="dxa"/>
            <w:vAlign w:val="bottom"/>
          </w:tcPr>
          <w:p>
            <w:pPr>
              <w:ind w:left="360"/>
              <w:spacing w:after="0"/>
              <w:rPr>
                <w:sz w:val="20"/>
                <w:szCs w:val="20"/>
                <w:color w:val="auto"/>
              </w:rPr>
            </w:pPr>
            <w:r>
              <w:rPr>
                <w:rFonts w:ascii="Arial" w:cs="Arial" w:eastAsia="Arial" w:hAnsi="Arial"/>
                <w:sz w:val="18"/>
                <w:szCs w:val="18"/>
                <w:color w:val="auto"/>
              </w:rPr>
              <w:t>Change in fair value of Preferred Stock Warrants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(475)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2021</w:t>
            </w:r>
          </w:p>
        </w:tc>
        <w:tc>
          <w:tcPr>
            <w:tcW w:w="6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137</w:t>
            </w:r>
          </w:p>
        </w:tc>
        <w:tc>
          <w:tcPr>
            <w:tcW w:w="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24"/>
                <w:szCs w:val="24"/>
                <w:color w:val="auto"/>
              </w:rPr>
            </w:pPr>
          </w:p>
        </w:tc>
        <w:tc>
          <w:tcPr>
            <w:tcW w:w="94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8"/>
          </w:tcPr>
          <w:p>
            <w:pPr>
              <w:jc w:val="right"/>
              <w:ind w:right="74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research and development costs</w:t>
            </w:r>
          </w:p>
        </w:tc>
        <w:tc>
          <w:tcPr>
            <w:tcW w:w="90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left="196"/>
              <w:spacing w:after="0"/>
              <w:rPr>
                <w:sz w:val="20"/>
                <w:szCs w:val="20"/>
                <w:color w:val="auto"/>
              </w:rPr>
            </w:pPr>
            <w:r>
              <w:rPr>
                <w:rFonts w:ascii="Arial" w:cs="Arial" w:eastAsia="Arial" w:hAnsi="Arial"/>
                <w:sz w:val="18"/>
                <w:szCs w:val="18"/>
                <w:color w:val="auto"/>
                <w:w w:val="86"/>
              </w:rPr>
              <w:t>813</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Prepaid other</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center"/>
              <w:ind w:left="196"/>
              <w:spacing w:after="0"/>
              <w:rPr>
                <w:sz w:val="20"/>
                <w:szCs w:val="20"/>
                <w:color w:val="auto"/>
              </w:rPr>
            </w:pPr>
            <w:r>
              <w:rPr>
                <w:rFonts w:ascii="Arial" w:cs="Arial" w:eastAsia="Arial" w:hAnsi="Arial"/>
                <w:sz w:val="18"/>
                <w:szCs w:val="18"/>
                <w:color w:val="auto"/>
                <w:w w:val="86"/>
              </w:rPr>
              <w:t>778</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center"/>
              <w:ind w:left="196"/>
              <w:spacing w:after="0"/>
              <w:rPr>
                <w:sz w:val="20"/>
                <w:szCs w:val="20"/>
                <w:color w:val="auto"/>
              </w:rPr>
            </w:pPr>
            <w:r>
              <w:rPr>
                <w:rFonts w:ascii="Arial" w:cs="Arial" w:eastAsia="Arial" w:hAnsi="Arial"/>
                <w:sz w:val="18"/>
                <w:szCs w:val="18"/>
                <w:color w:val="auto"/>
                <w:w w:val="86"/>
              </w:rPr>
              <w:t>148</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Total prepaid expenses and other current assets</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3,811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Assets</w:t>
            </w: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3"/>
          </w:tcPr>
          <w:p>
            <w:pPr>
              <w:spacing w:after="0"/>
              <w:rPr>
                <w:sz w:val="20"/>
                <w:szCs w:val="20"/>
                <w:color w:val="auto"/>
              </w:rPr>
            </w:pPr>
            <w:r>
              <w:rPr>
                <w:rFonts w:ascii="Arial" w:cs="Arial" w:eastAsia="Arial" w:hAnsi="Arial"/>
                <w:sz w:val="18"/>
                <w:szCs w:val="18"/>
                <w:color w:val="auto"/>
              </w:rPr>
              <w:t>Other assets consisted of the following:</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24"/>
                <w:szCs w:val="24"/>
                <w:color w:val="auto"/>
              </w:rPr>
            </w:pPr>
          </w:p>
        </w:tc>
        <w:tc>
          <w:tcPr>
            <w:tcW w:w="94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8"/>
          </w:tcPr>
          <w:p>
            <w:pPr>
              <w:jc w:val="right"/>
              <w:ind w:right="74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20" w:type="dxa"/>
            <w:vAlign w:val="bottom"/>
          </w:tcPr>
          <w:p>
            <w:pPr>
              <w:spacing w:after="0"/>
              <w:rPr>
                <w:sz w:val="17"/>
                <w:szCs w:val="17"/>
                <w:color w:val="auto"/>
              </w:rPr>
            </w:pPr>
          </w:p>
        </w:tc>
        <w:tc>
          <w:tcPr>
            <w:tcW w:w="5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Noncurrent prepaid research and</w:t>
            </w:r>
          </w:p>
        </w:tc>
        <w:tc>
          <w:tcPr>
            <w:tcW w:w="6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development costs</w:t>
            </w:r>
          </w:p>
        </w:tc>
        <w:tc>
          <w:tcPr>
            <w:tcW w:w="90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center"/>
              <w:ind w:left="196"/>
              <w:spacing w:after="0"/>
              <w:rPr>
                <w:sz w:val="20"/>
                <w:szCs w:val="20"/>
                <w:color w:val="auto"/>
              </w:rPr>
            </w:pPr>
            <w:r>
              <w:rPr>
                <w:rFonts w:ascii="Arial" w:cs="Arial" w:eastAsia="Arial" w:hAnsi="Arial"/>
                <w:sz w:val="18"/>
                <w:szCs w:val="18"/>
                <w:color w:val="auto"/>
                <w:w w:val="86"/>
              </w:rPr>
              <w:t>183</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90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left="196"/>
              <w:spacing w:after="0"/>
              <w:rPr>
                <w:sz w:val="20"/>
                <w:szCs w:val="20"/>
                <w:color w:val="auto"/>
              </w:rPr>
            </w:pPr>
            <w:r>
              <w:rPr>
                <w:rFonts w:ascii="Arial" w:cs="Arial" w:eastAsia="Arial" w:hAnsi="Arial"/>
                <w:sz w:val="18"/>
                <w:szCs w:val="18"/>
                <w:color w:val="auto"/>
                <w:w w:val="86"/>
              </w:rPr>
              <w:t>183</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Accrued Liabilities</w:t>
            </w: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3"/>
          </w:tcPr>
          <w:p>
            <w:pPr>
              <w:spacing w:after="0"/>
              <w:rPr>
                <w:sz w:val="20"/>
                <w:szCs w:val="20"/>
                <w:color w:val="auto"/>
              </w:rPr>
            </w:pPr>
            <w:r>
              <w:rPr>
                <w:rFonts w:ascii="Arial" w:cs="Arial" w:eastAsia="Arial" w:hAnsi="Arial"/>
                <w:sz w:val="18"/>
                <w:szCs w:val="18"/>
                <w:color w:val="auto"/>
              </w:rPr>
              <w:t>Accrued liabilities consisted of the following:</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December 31,</w:t>
            </w:r>
          </w:p>
        </w:tc>
        <w:tc>
          <w:tcPr>
            <w:tcW w:w="480" w:type="dxa"/>
            <w:vAlign w:val="bottom"/>
          </w:tcPr>
          <w:p>
            <w:pPr>
              <w:spacing w:after="0"/>
              <w:rPr>
                <w:sz w:val="24"/>
                <w:szCs w:val="24"/>
                <w:color w:val="auto"/>
              </w:rPr>
            </w:pPr>
          </w:p>
        </w:tc>
        <w:tc>
          <w:tcPr>
            <w:tcW w:w="94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8"/>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research and development services due to related party</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Compensation and benefits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jc w:val="center"/>
              <w:ind w:left="136"/>
              <w:spacing w:after="0"/>
              <w:rPr>
                <w:sz w:val="20"/>
                <w:szCs w:val="20"/>
                <w:color w:val="auto"/>
              </w:rPr>
            </w:pPr>
            <w:r>
              <w:rPr>
                <w:rFonts w:ascii="Arial" w:cs="Arial" w:eastAsia="Arial" w:hAnsi="Arial"/>
                <w:sz w:val="18"/>
                <w:szCs w:val="18"/>
                <w:color w:val="auto"/>
                <w:w w:val="93"/>
              </w:rPr>
              <w:t>3,515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clinical trial and pre-clinical costs</w:t>
            </w:r>
          </w:p>
        </w:tc>
        <w:tc>
          <w:tcPr>
            <w:tcW w:w="6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center"/>
              <w:ind w:left="136"/>
              <w:spacing w:after="0"/>
              <w:rPr>
                <w:sz w:val="20"/>
                <w:szCs w:val="20"/>
                <w:color w:val="auto"/>
              </w:rPr>
            </w:pPr>
            <w:r>
              <w:rPr>
                <w:rFonts w:ascii="Arial" w:cs="Arial" w:eastAsia="Arial" w:hAnsi="Arial"/>
                <w:sz w:val="18"/>
                <w:szCs w:val="18"/>
                <w:color w:val="auto"/>
                <w:w w:val="93"/>
              </w:rPr>
              <w:t>1,167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444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Total accrued liabilities</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tcPr>
          <w:p>
            <w:pPr>
              <w:jc w:val="center"/>
              <w:ind w:left="196"/>
              <w:spacing w:after="0"/>
              <w:rPr>
                <w:sz w:val="20"/>
                <w:szCs w:val="20"/>
                <w:color w:val="auto"/>
              </w:rPr>
            </w:pPr>
            <w:r>
              <w:rPr>
                <w:rFonts w:ascii="Arial" w:cs="Arial" w:eastAsia="Arial" w:hAnsi="Arial"/>
                <w:sz w:val="18"/>
                <w:szCs w:val="18"/>
                <w:color w:val="auto"/>
                <w:w w:val="93"/>
              </w:rPr>
              <w:t>5,596</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15,956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40" w:type="dxa"/>
            <w:vAlign w:val="bottom"/>
            <w:vMerge w:val="restart"/>
          </w:tcPr>
          <w:p>
            <w:pPr>
              <w:ind w:left="3580"/>
              <w:spacing w:after="0"/>
              <w:rPr>
                <w:sz w:val="20"/>
                <w:szCs w:val="20"/>
                <w:color w:val="auto"/>
              </w:rPr>
            </w:pPr>
            <w:r>
              <w:rPr>
                <w:rFonts w:ascii="Arial" w:cs="Arial" w:eastAsia="Arial" w:hAnsi="Arial"/>
                <w:sz w:val="18"/>
                <w:szCs w:val="18"/>
                <w:color w:val="auto"/>
              </w:rPr>
              <w:t>F-55</w:t>
            </w: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20" w:top="459" w:right="85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2" w:lineRule="exact"/>
        <w:rPr>
          <w:sz w:val="20"/>
          <w:szCs w:val="20"/>
          <w:color w:val="auto"/>
        </w:rPr>
      </w:pPr>
    </w:p>
    <w:p>
      <w:pPr>
        <w:ind w:left="120" w:right="8620" w:hanging="4"/>
        <w:spacing w:after="0" w:line="425" w:lineRule="auto"/>
        <w:tabs>
          <w:tab w:leader="none" w:pos="300"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of Assets BlackThorn Therapeutics, Inc.</w:t>
      </w:r>
    </w:p>
    <w:p>
      <w:pPr>
        <w:ind w:left="120" w:right="20"/>
        <w:spacing w:after="0" w:line="255" w:lineRule="auto"/>
        <w:rPr>
          <w:sz w:val="20"/>
          <w:szCs w:val="20"/>
          <w:color w:val="auto"/>
        </w:rPr>
      </w:pPr>
      <w:r>
        <w:rPr>
          <w:rFonts w:ascii="Arial" w:cs="Arial" w:eastAsia="Arial" w:hAnsi="Arial"/>
          <w:sz w:val="18"/>
          <w:szCs w:val="18"/>
          <w:color w:val="auto"/>
        </w:rPr>
        <w:t>In June 2020, the Company entered into an agreement and plan of merger (BlackThorn Merger Agreement) to acquire all of the equity interests of BlackThorn Therapeutics, Inc. (BlackThorn), a privately held company. The acquisition of BlackThorn allowed the Company to expand its program pipeline by adding two clinical-stage research and development programs, comprising NMRA-140 and NMRA-511, exclusively licensed to BlackThorn by The Scripps Research Institute (TSRI), as well as a cloud-based computational psychiatry and data platform being developed to support drug target identification, patient stratification and objective clinical trial endpoints (collectively, the BlackThorn IPR&amp;D). The BlackThorn Merger Agreement became effective on September 8, 2020 (the Closing Date).</w:t>
      </w:r>
    </w:p>
    <w:p>
      <w:pPr>
        <w:spacing w:after="0" w:line="1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transaction was accounted for as an acquisition of assets and as a result, the fair value of the upfront consideration transferred was allocated to the identifiable assets acquired and liabilities assumed based on their relative fair values as follows (in thousands):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IPR&amp;D assets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$ 48,253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Assembled workforce</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Other assets and liabilities, net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assets acquired</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$ 50,007</w:t>
            </w:r>
          </w:p>
        </w:tc>
      </w:tr>
      <w:tr>
        <w:trPr>
          <w:trHeight w:val="20"/>
        </w:trPr>
        <w:tc>
          <w:tcPr>
            <w:tcW w:w="6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The cost attributed to the IPR&amp;D assets were immediately recognized as acquired in-process research and development expense as the IPR&amp;D assets were related to programs associated with and/or predicated on ongoing clinical trials success that had no alternative future use as of the acquisition date.</w:t>
      </w:r>
    </w:p>
    <w:p>
      <w:pPr>
        <w:spacing w:after="0" w:line="124"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The BlackThorn Merger Agreement requires the Company to pay the former stockholders of BlackThorn contingent consideration (i) with respect to NMRA-140, in the form of development and regulatory approval milestones of up to an aggregate amount of $365.0 million, including the potential for a milestone payment of $75.0 million upon completion of the Phase 2a clinical trial of NMRA-140 if certain success criteria are achieved,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(the BlackThorn Milestones). At the Company’s sole discretion, the BlackThorn Milestone payments may be settled in cash or shares of the Company, or a combination of both, subject to the provisions of the BlackThorn Merger Agreement, other than one development milestone in the amount of</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$10.0 million, which must be settled in cash. None of the BlackThorn Milestones were subject to liability classification and/or derivative accounting and any such contingent consideration will be recognized when the contingency is resolved, and the consideration becomes payable. For the nine months ended September 30, 2020 and 2021, no such amounts were deemed due or payable.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BlackThorn Carveout Plan</w:t>
      </w:r>
    </w:p>
    <w:p>
      <w:pPr>
        <w:spacing w:after="0" w:line="117"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The BlackThorn Merger Agreement required that the Company establish a carveout plan (the BlackThorn Carveout Plan), pursuant to which each BlackThorn stock option holder as of immediately prior to the Closing Date was allocated a certain number of units (the BlackThorn Carveout Units) based on the number of shares underlying the outstanding options held by each participant at that time. Each BlackThorn Carveout Unit represents a right to receive a portion of the BlackThorn Milestone payment (the BlackThorn Carveout Payments) upon the later of (i) the achievement of a BlackThorn Milestone and (ii) the vesting of the BlackThorn Carveout Unit.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00"/>
          </w:cols>
          <w:pgMar w:left="320" w:top="459" w:right="47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The BlackThorn Carveout Units vest based on time-based schedules that mirror the vesting schedules for the original option awards held by each participant. As of the Closing Date, a portion of the BlackThorn Carveout Units corresponding to the pre-acquisition service periods were fully vested (Vested Carveout Units). The remainder of the BlackThorn Carveout Units vest subject to the continued service of the participants.</w:t>
      </w:r>
    </w:p>
    <w:p>
      <w:pPr>
        <w:spacing w:after="0" w:line="16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Vested Carveout Units represent contingent consideration for the acquisition as they are attributable to pre-acquisition services rendered by the participants and continuing service is not required for the participants to receive future payments upon a BlackThorn Milestone being achieved. The Company will recognize the contingent consideration obligation for the Vested Carveout Units when the contingency is resolved and the consideration becomes payable. The BlackThorn Carveout Units that were unvested as of the Closing Date are dependent on the continued service of participants and were deemed to be a compensation arrangement. The Company will recognize the compensation starting from the time payment becomes probable over each participant’s service period. As of September 30, 2021, none of the BlackThorn Milestones had been achieved or were probable of being achieved, and no contingent consideration obligation or compensation related to the BlackThorn Carveout Plan had been recorded.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Syllable Life Sciences, Inc.</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September 2020, the Company entered into an agreement and plan of merger (Syllable Merger Agreement) to acquire all of the outstanding equity of Syllable Life Sciences, Inc. (Syllable). The Company acquired Syllable to gain access the rights granted to Syllable under an exclusive license agreement (as amended, the Harvard License Agreement) with President and Fellows of Harvard College (Harvard) and an associated behavior analysis machine learning and computer vision software tool which Syllable was developing to identify and quantify behavior as an indicator of neurological conditions (collectively, the Syllable IPR&amp;D).</w:t>
      </w:r>
    </w:p>
    <w:p>
      <w:pPr>
        <w:spacing w:after="0" w:line="188"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transaction was accounted for as an acquisition of assets and as a result, the fair value of the upfront consideration transferred was allocated to the identifiable assets acquired and liabilities assumed based on their relative fair values, resulting in $5.9 million being assigned to the Syllable IPR&amp;D asset and $0.7 million for net liabilities assumed. The cost attributed to the Syllable IPR&amp;D asset was immediately recognized as acquired in-process research and development expense as it was determined to have no alternative future use as of the acquisition date.</w:t>
      </w:r>
    </w:p>
    <w:p>
      <w:pPr>
        <w:spacing w:after="0" w:line="15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former stockholders of Syllable are entitled to contingent consideration in the form of development milestones of up to an aggregate of $5.0 million (Syllable Milestones). At the Company’s sole discretion, the Syllable Milestone payments may be settled, in cash or shares equity of the Company, or a combination of both, subject to the provisions of the Syllable Merger Agreement and were not subject to liability classification and/or derivative accounting. Any such contingent consideration will be recognized when the contingency is resolved, and the consideration becomes payable. For the nine months ended September 30, 2020 and 2021, no such amounts were deemed due or payable.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Propellex Bio, Inc.</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September 2020, the Company entered into an agreement and plan of merger (Propellex Merger Agreement) to acquire all of the outstanding equity of Propellex Bio, Inc. (Propellex). The Company acquired Propellex to gain access to the rights granted to Propellex under an exclusive license with TSRI related to preclinical molecules that were indicated for the potential treatment of Parkinson’s disease and other neurodegenerative diseases (the Propellex IPR&amp;D).</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transaction was accounted for as an acquisition of assets and as a result, the fair value of the upfront consideration transferred was allocated to the identified assets acquired and liabilities assumed based on their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080"/>
          </w:cols>
          <w:pgMar w:left="320" w:top="459" w:right="49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relative fair values, resulting in $11.1 million being assigned to the Propellex IPR&amp;D asset and $0.6 million for net liabilities assumed. The cost attributed to the Propellex IPR&amp;D asset was immediately recognized as acquired in-process research and development expense as it was determined to have no alternative future use as of the acquisition date. In April 2021, the Company terminated all efforts related to the Propellex IPR&amp;D program.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Alairion, Inc.</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November 2020, the Company entered into an agreement and plan of merger (Alairion Merger Agreement) to acquire all of the outstanding equity of Alairion, Inc. (Alairion). The acquisition of Alairion allowed the Company to expand its program pipeline by gaining rights to two preclinical stage research and development programs focused on the treatment of sleep disorders, an H1 receptor antagonist program (the H1 Program) and a GABA receptor positive allosteric modulator program (the GABA Program). The acquisition also provided the Company with access to a license for software that records sleep and related drug discovery and optimization technology platform.</w:t>
      </w:r>
    </w:p>
    <w:p>
      <w:pPr>
        <w:spacing w:after="0" w:line="176"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transaction was accounted for as an acquisition of assets and as a result, the fair value of the upfront consideration transferred was allocated to the identified assets acquired and liabilities assumed based on their relative fair values, resulting in $4.3 million being assigned to the IPR&amp;D assets and $2.1 million for net liabilities assumed. The cost attributed to the IPR&amp;D assets were immediately recognized as acquired in-process research and development as these IPR&amp;D assets were determined to have no alternative future use as of the acquisition date.</w:t>
      </w:r>
    </w:p>
    <w:p>
      <w:pPr>
        <w:spacing w:after="0" w:line="17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holders of Alairion common stock outstanding as of immediately prior to the closing date received non-transferable rights to future milestone payments of up to $33.5 million upon the achievement of specified development events and $135.0 million upon the achievement of specified commercialization events related to the H1 Program and the GABA Program (the Alairion Milestones). The Alairion Milestone payments may be settled, at the Company’s sole discretion, in cash or shares of the Company, or a combination of both, subject to the provisions of the Alairion Merger Agreement. None of the Alairion Milestones were subject to liability classification and/or derivative accounting and any such contingent consideration will be recognized when the contingency is resolved, and the consideration becomes payable. For the nine months ended September 30, 2021, no such amounts were deemed due or payable.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Alairion Carveout Plan</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Alairion Merger Agreement also required the Company to establish a carveout plan (the Alairion Carveout Plan) pursuant to which a portion of the payments under the Alairion Milestones, up to $3.0 million (the Alairion Carveout Payments), are reserved for participants under the Alairion Carveout Plan. Participants in the Alairion Carveout Plan are comprised of former Alairion employees, several of whom were retained as employees or consultants of the Company post-acquisition. Under the Alairion Carveout Plan, the Company granted the participants retention units, each representing a right to receive future payments upon the completion of Phase 2 clinical studies with respect to either the H1 Program or the GABA Program and achievement of the related Alairion Milestone, subject to the continued service of the participant until such time and were deemed to be a compensation arrangement. The retention units are forfeited if a participant’s service is terminated prior to the receipt of results from the Phase 2 clinical studies associated with the H1 Program and GABA Program. The Company will recognize such compensation starting from the time payment becomes probable over each participant’s service period. During the nine months ended September 30, 2021, the Company did not recognize any compensation related to the Alairion Carveout Payments because it was not probable that Phase 2 clinical studies would be achieved.</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60"/>
          </w:cols>
          <w:pgMar w:left="320" w:top="459" w:right="51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Amgen Inc. Licenses</w:t>
      </w:r>
    </w:p>
    <w:p>
      <w:pPr>
        <w:spacing w:after="0" w:line="121"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In September 2021, the Company entered into two license agreements with Amgen Inc. (Amgen) pursuant to which it obtained exclusive, worldwide licenses to develop, manufacture, use, commercialize and distribute products containing compounds that are directed to, in one case, CK1d, and in the other case, glucocerebrocidase (GCase), both for the treatment of neurodegenerative diseases (the Amgen License Agreements) and related know-how and clinical material (collectively, the Amgen IPR&amp;D Assets). Concurrently, the Company also executed a research collaboration agreement (see Note</w:t>
      </w:r>
    </w:p>
    <w:p>
      <w:pPr>
        <w:spacing w:after="0" w:line="1" w:lineRule="exact"/>
        <w:rPr>
          <w:sz w:val="20"/>
          <w:szCs w:val="20"/>
          <w:color w:val="auto"/>
        </w:rPr>
      </w:pPr>
    </w:p>
    <w:p>
      <w:pPr>
        <w:ind w:left="120" w:hanging="4"/>
        <w:spacing w:after="0" w:line="255" w:lineRule="auto"/>
        <w:tabs>
          <w:tab w:leader="none" w:pos="31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 well as a stock purchase agreement (see Note 9) with Amgen. Both of these agreements were deemed to be separate transactions and not accounted for as part of the acquisition of assets. The acquisition of the Amgen IPR&amp;D Assets became effective on September 30, 2021, the date the Amgen License Agreements were executed.</w:t>
      </w:r>
    </w:p>
    <w:p>
      <w:pPr>
        <w:spacing w:after="0" w:line="190" w:lineRule="exact"/>
        <w:rPr>
          <w:sz w:val="20"/>
          <w:szCs w:val="20"/>
          <w:color w:val="auto"/>
        </w:rPr>
      </w:pPr>
    </w:p>
    <w:p>
      <w:pPr>
        <w:ind w:left="120" w:right="320"/>
        <w:spacing w:after="0" w:line="301" w:lineRule="auto"/>
        <w:rPr>
          <w:sz w:val="20"/>
          <w:szCs w:val="20"/>
          <w:color w:val="auto"/>
        </w:rPr>
      </w:pPr>
      <w:r>
        <w:rPr>
          <w:rFonts w:ascii="Arial" w:cs="Arial" w:eastAsia="Arial" w:hAnsi="Arial"/>
          <w:sz w:val="16"/>
          <w:szCs w:val="16"/>
          <w:color w:val="auto"/>
        </w:rPr>
        <w:t>The total upfront consideration transferred to Amgen of 157.0 million shares of the Company’s Series A-2 convertible preferred stock (Series A-2 Preferred), with an acquisition date fair value of $157.0 million, was allocated to the Amgen IPR&amp;D Assets as the fair value of the equity given was more readily determinable than the fair value of the assets received. The fair value of the Company’s Series A-2 Preferred of $1.00 was established using the price per share paid by third-party investors in the concurrent September 2021 closing of the Series A-2 Preferred financing.</w:t>
      </w:r>
    </w:p>
    <w:p>
      <w:pPr>
        <w:spacing w:after="0" w:line="15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Amgen License Agreements were determined to only be variable interest in specified assets of Amgen that did not represent more than half of the fair value of its assets. The Company accounted for these transactions as acquisitions of assets as a limited number of inputs, but no substantive processes were acquired and substantially all of the estimated fair value of the gross assets acquired was concentrated in two single identified in-process research assets. The Amgen IPR&amp;D Assets acquired in the transaction were measured based on the fair value of the Series A-2 Preferred issued to Amgen (Level 2 input), as the fair value of the equity given was more readily determinable than the fair value of the assets received.</w:t>
      </w:r>
    </w:p>
    <w:p>
      <w:pPr>
        <w:spacing w:after="0" w:line="161"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cost attributed to the Amgen IPR&amp;D Assets were immediately recognized as acquired in-process research and development expense in the Company’s condensed consolidated statement of operations and comprehensive loss as it was determined to have no alternative future use as of the acquisition date.</w:t>
      </w:r>
    </w:p>
    <w:p>
      <w:pPr>
        <w:spacing w:after="0" w:line="18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Under these two license agreements, Amgen is eligible to receive contingent consideration up to an aggregate of $360.0 million in commercial milestone payments per product payable in cash with a compound directed to CK1d and up to an aggregate of $360.0 million in commercial milestone payments per product payable in cash with a compound directed to GCase, in each case, upon the achievement of certain sales thresholds and single digit royalties on potential future net sales. Such contingent consideration was not subject to liability classification and/or derivative accounting and will be recognized when the contingency is resolved, and the consideration becomes payable. For the nine months ended September 30, 2021, no such amounts were deemed due or payable.</w:t>
      </w:r>
    </w:p>
    <w:p>
      <w:pPr>
        <w:spacing w:after="0" w:line="192"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In addition, until a specified period of time following the achievement of the first successful Phase 2 clinical trial for any licensed product, if the Company chooses to sell, transfer, sublicense or divest rights to a licensed product in certain major markets, Amgen has a 90 day exclusive right of first negotiation to enter into an agreement with the Company for such rights. The Company determined that these rights of first negotiation were not freestanding instruments from the Amgen License Agreements and did not meet definition of a derivative.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00"/>
          </w:cols>
          <w:pgMar w:left="320" w:top="459" w:right="47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Convertible Promissory Notes</w:t>
      </w:r>
    </w:p>
    <w:p>
      <w:pPr>
        <w:spacing w:after="0" w:line="12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Between February and September 2020, the Company issued the 2020 Bridge Notes with an aggregate principal amount of $55.9 million to various investors, one of which was a significant stockholder of the Company and a related party to the Company. The 2020 Bridge Notes bore interest rates of 3.0% or 5.0% and were repayable upon demand by the holders at any time after February 2021 or March 2021.</w:t>
      </w:r>
    </w:p>
    <w:p>
      <w:pPr>
        <w:spacing w:after="0" w:line="16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September 2020, the outstanding principal and accrued interest under the 2020 Bridge Notes with a fair value of $59.2 million were settled, pursuant to their original terms, by issuing 59,180,294 shares of the Company’s Series A-2 Preferred to the holders. As the Company elected the fair value option to account for the 2020 Bridge Notes, no gain or loss was recognized upon settlement.</w:t>
      </w:r>
    </w:p>
    <w:p>
      <w:pPr>
        <w:spacing w:after="0" w:line="184"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Concurrent with the issuance of the 2020 Bridge Notes, the Company issued an aggregate of 51,508,327 shares of its common stock to certain of the holders in return for commitments to participate in the Company’s Series A-2 Preferred financing. Such shares of common stock were subject to the investors’ right of forfeiture that lapsed upon fulfillment of their respective commitments to the Company in one or more subsequent closings of the Company’s Series A-2 Preferred financing. The funding commitments, together with the embedded shares of common stock, were determined to be freestanding instruments apart from the 2020 Bridge Notes (the funding commitment asset or FCA). The Company determined that the FCA (i) did not meet the criteria to be classified as a liability on its condensed consolidated balance sheets, (ii) qualified for a scope exception from derivative accounting, and (iii) was not required to be measured at fair valued at inception (or subsequently). Accordingly, the proceeds received from the 2020 Bridge Notes were allocated to the FCA on a residual basis, and such residual value was determined to be insignificant at inception.</w:t>
      </w:r>
    </w:p>
    <w:p>
      <w:pPr>
        <w:spacing w:after="0" w:line="165"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Between March and September 2021, the deadline for fulfilling such commitment in one or more subsequent closings was extended to September 2021 (Note 9). The FCA held by one investor to purchase 10,000,000 shares in the Company’s Series A-2 Preferred was met in August 2021 pursuant to the final closing of the Company’s Series A-2 Preferred financing (see Note 9) and the related right of forfeiture lapsed as to 7,500,000 shares of common stock held by such investor.</w:t>
      </w:r>
    </w:p>
    <w:p>
      <w:pPr>
        <w:spacing w:after="0" w:line="291" w:lineRule="exact"/>
        <w:rPr>
          <w:sz w:val="20"/>
          <w:szCs w:val="20"/>
          <w:color w:val="auto"/>
        </w:rPr>
      </w:pPr>
    </w:p>
    <w:p>
      <w:pPr>
        <w:ind w:left="120" w:right="8240" w:hanging="4"/>
        <w:spacing w:after="0" w:line="378" w:lineRule="auto"/>
        <w:tabs>
          <w:tab w:leader="none" w:pos="3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jc w:val="both"/>
        <w:ind w:left="120" w:right="100"/>
        <w:spacing w:after="0" w:line="311" w:lineRule="auto"/>
        <w:rPr>
          <w:sz w:val="20"/>
          <w:szCs w:val="20"/>
          <w:color w:val="auto"/>
        </w:rPr>
      </w:pPr>
      <w:r>
        <w:rPr>
          <w:rFonts w:ascii="Arial" w:cs="Arial" w:eastAsia="Arial" w:hAnsi="Arial"/>
          <w:sz w:val="16"/>
          <w:szCs w:val="16"/>
          <w:color w:val="auto"/>
        </w:rPr>
        <w:t>The Company has certain operating lease arrangements for office and laboratory spaces located in Massachusetts and California, including a new lease agreement that was entered into in March 2021 for a 14,688 square feet office facility in South San Francisco, California (SSF Lease). The SSF Lease commenced in April 2021 and expires in December 2023, with total future payments under the noncancelable lease term of $1.3 million.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not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80"/>
          </w:cols>
          <w:pgMar w:left="320" w:top="459" w:right="49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Commitments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has various manufacturing, clinical, research and other contracts with vendors in the conduct of the normal course of its business. Such contracts are generally terminable with advanced written notice and payment for any products or services received by the Company through the effective time of termination and any non-cancelable and non-refundable obligations incurred by the vendor at the effective time of the termination. In the case of terminating a clinical trial agreement at a particular site, the Company would also be obligated to provide continued support for appropriate medical procedures at that site until completion or termination.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Strategic License and Research and Collaboration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2015 TSRI License Agreement</w:t>
      </w:r>
    </w:p>
    <w:p>
      <w:pPr>
        <w:spacing w:after="0" w:line="117"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In connection with the acquisition of BlackThorn (see Note 5), the Company gained exclusive rights to intellectual property related to Kappa Opioid Receptor and V1aR Receptor Antagonist programs as well as an oxytocin receptors positive allosteric modulator program (collectively, the TSRI Programs) under a license agreement between BlackThorn and TSRI originally entered into in November 2015 (as amended, the 2015 TSRI License Agreement). The technology licensed under the 2015 TSRI License Agreement is used in the Company’s NMRA-140 and NMRA-511 research and development programs.</w:t>
      </w:r>
    </w:p>
    <w:p>
      <w:pPr>
        <w:spacing w:after="0" w:line="188"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color w:val="auto"/>
        </w:rPr>
        <w:t>Pursuant to the 2015 TSRI License Agreement, the Company is obligated, among other things, to pay TSRI (i) a nominal annual license fee due and payable on the first day of each calendar year and after the fourth anniversary creditable against any royalties due for such calendar year,</w:t>
      </w:r>
    </w:p>
    <w:p>
      <w:pPr>
        <w:ind w:left="120" w:right="100" w:hanging="4"/>
        <w:spacing w:after="0" w:line="252" w:lineRule="auto"/>
        <w:tabs>
          <w:tab w:leader="none" w:pos="38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development and regulatory milestone payments of up to $1.5 million in aggregate for the first product from each TSRI Program, which are contingent upon achieving specific development and regulatory milestone events, (iii) commercial milestone payments of up to $3.5 million in aggregate for each occurrence, which are contingent upon achieving specified commercialization milestone events, (iv) tiered low-single digit royalties on future net sales of each royalty-bearing product and (v) a percentage ranging from the mid-single digits to sub teen double digits of any sublicensing revenues the Company receives. As of September 30, 2021, none of the milestones had been achieved and no royalties were due under the 2015 TSRI License Agreement.</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TSRI License Agreement</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In connection with the acquisition of Propellex (see Note 5), the Company gained rights under a license agreement between Propellex and TSRI (the 2020 TSRI License Agreement) originally entered into in June 2020. Pursuant to the 2020 TSRI License Agreement, Propellex obtained an exclusive, worldwide, royalty-bearing, sublicensable license under certain patent rights, know-how and licensed materials for the treatment of Parkinson’s disease and other neurodegenerative diseases and neurological pathologies, to develop, manufacture and commercialize products covered by the licensed patents, or that involve the use or incorporation of the licensed know-how or licensed materials.</w:t>
      </w:r>
    </w:p>
    <w:p>
      <w:pPr>
        <w:spacing w:after="0" w:line="176"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Under the 2020 TSRI License Agreement, the Company is obligated, among other things, to pay TSRI (i) milestone payments of up to an aggregate of $7.4 million, which are contingent upon achieving specific development and commercialization milestone events, (ii) tiered low-single digit royalties on future net sales of each royalty-bearing product, and (iii) a portion of any sub licensing revenues it receives. As of September 30, 2021, none of the milestones had been achieved and no royalties were due under the 2020 TSRI License Agreement.</w:t>
      </w:r>
    </w:p>
    <w:p>
      <w:pPr>
        <w:spacing w:after="0" w:line="171" w:lineRule="exact"/>
        <w:rPr>
          <w:sz w:val="20"/>
          <w:szCs w:val="20"/>
          <w:color w:val="auto"/>
        </w:rPr>
      </w:pPr>
    </w:p>
    <w:p>
      <w:pPr>
        <w:jc w:val="center"/>
        <w:ind w:right="400"/>
        <w:spacing w:after="0" w:line="449" w:lineRule="auto"/>
        <w:rPr>
          <w:sz w:val="20"/>
          <w:szCs w:val="20"/>
          <w:color w:val="auto"/>
        </w:rPr>
      </w:pPr>
      <w:r>
        <w:rPr>
          <w:rFonts w:ascii="Arial" w:cs="Arial" w:eastAsia="Arial" w:hAnsi="Arial"/>
          <w:sz w:val="18"/>
          <w:szCs w:val="18"/>
          <w:color w:val="auto"/>
        </w:rPr>
        <w:t>In April 2021, the Company terminated the Propellex IPR&amp;D program (see Note 5). The 2020 TSRI License Agreement has not been terminated. F-61</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Harvard License Agreement</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 connection with the acquisition of Syllable (see Note 5), the Company gained exclusive rights covering certain behavior imagining and behavioral tracking software under a license agreement between Syllable and Harvard originally entered into in June 2020. The Company uses the technology licensed under the Harvard License Agreement to advance its precision neuroscience platform.</w:t>
      </w:r>
    </w:p>
    <w:p>
      <w:pPr>
        <w:spacing w:after="0" w:line="184"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Under the Harvard License Agreement, the Company is obligated, among other things, to pay Harvard (i) nominal annual license maintenance fees that are creditable against any royalty amounts payable for licensed products sold in the same year, (ii) mid-single digit royalties on future net sales of each royalty-bearing product that utilizes the licensed technology, and (iii) a portion of any sub licensing revenues the Company receives ranging from the high teens to low-double digits. As of September 30, 2021, no royalties were due under the Harvard License Agreement.</w:t>
      </w:r>
    </w:p>
    <w:p>
      <w:pPr>
        <w:spacing w:after="0" w:line="15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 addition, the Harvard License Agreement, as amended in March 2021, provided for certain development milestones that the Company is required to meet between December 2021 and January 2024. Failure to meet such milestones constitutes a material breach of contract and would provide Harvard with the right to immediately terminate the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Collaboration Agreement with Amgen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September 2021, and concurrently with the Amgen License Agreements (see Note 5), the Company entered into a research collaboration agreement with Amgen (Amgen Collaboration Agreement) to collectively discover drug targets, biomarkers, Precision Phenotypes and other insights associated with central nervous system (CNS) diseases utilizing Amgen’s deCODE genetics and human data research capabilities. The Company received exclusive rights under intellectual property generated in the collaboration to exploit therapeutic compounds and diagnostics for use with therapeutics in the CNS field and Amgen received exclusive rights to exploit therapeutic compounds and diagnostics for use with therapeutics outside of the CNS field. The agreement is governed by the Joint Research Committee (JRC) which is made up of two representatives from each of the Company and Amgen to manage the progress and direction of research and development activities. All decisions made by the JRC shall be by consensus with each party having one vote, and if the JRC cannot reach a consensus, the dispute shall be referred to each company’s executive officers. If the executive officers fail to reach a consensus, the Company will have final decision-making authority provided that the matter does not relate to the approval of, or any material change to, a project, decisions to acquire rights from a third party, decisions or activities that are in conflict with Amgen’s database usage or data access rights, or the approval of external costs and expenses relating to certain new data generation activities or certain new dataset acquisitions, as such matters require mutual agreement.</w:t>
      </w:r>
    </w:p>
    <w:p>
      <w:pPr>
        <w:spacing w:after="0" w:line="179" w:lineRule="exact"/>
        <w:rPr>
          <w:sz w:val="20"/>
          <w:szCs w:val="20"/>
          <w:color w:val="auto"/>
        </w:rPr>
      </w:pPr>
    </w:p>
    <w:p>
      <w:pPr>
        <w:ind w:left="120" w:right="400"/>
        <w:spacing w:after="0" w:line="301" w:lineRule="auto"/>
        <w:rPr>
          <w:sz w:val="20"/>
          <w:szCs w:val="20"/>
          <w:color w:val="auto"/>
        </w:rPr>
      </w:pPr>
      <w:r>
        <w:rPr>
          <w:rFonts w:ascii="Arial" w:cs="Arial" w:eastAsia="Arial" w:hAnsi="Arial"/>
          <w:sz w:val="16"/>
          <w:szCs w:val="16"/>
          <w:color w:val="auto"/>
        </w:rPr>
        <w:t>In return for Amgen performing research and development activities under the agreement, the Company is committed to making non-refundable, non-creditable quarterly payments over the next two years totaling $50.0 million and for the third year between $12.5 million and $25.0 million depending on whether certain progress milestones are achieved. Additionally, the Company will reimburse Amgen for certain direct, out-of-pocket external costs and expenses that are incurred in the performance of the activities under the Amgen Collaboration Agreement.</w:t>
      </w:r>
    </w:p>
    <w:p>
      <w:pPr>
        <w:spacing w:after="0" w:line="157" w:lineRule="exact"/>
        <w:rPr>
          <w:sz w:val="20"/>
          <w:szCs w:val="20"/>
          <w:color w:val="auto"/>
        </w:rPr>
      </w:pPr>
    </w:p>
    <w:p>
      <w:pPr>
        <w:ind w:left="120" w:right="420"/>
        <w:spacing w:after="0" w:line="257" w:lineRule="auto"/>
        <w:rPr>
          <w:sz w:val="20"/>
          <w:szCs w:val="20"/>
          <w:color w:val="auto"/>
        </w:rPr>
      </w:pPr>
      <w:r>
        <w:rPr>
          <w:rFonts w:ascii="Arial" w:cs="Arial" w:eastAsia="Arial" w:hAnsi="Arial"/>
          <w:sz w:val="18"/>
          <w:szCs w:val="18"/>
          <w:color w:val="auto"/>
        </w:rPr>
        <w:t>The term of the agreement is up to five years, although it will terminate after three years if the Company and Amgen do not mutually agree upon a compensation structure for years four and five. If the parties do not reach an agreement at least 30 days prior to the end of year three, the Amgen Collaboration Agreement will automatically terminate upon its third anniversary. Further, either party can terminate the Amgen Collaboration Agreement upon material uncured breach or bankruptcy by the other party, in which case all amounts that have become due through the date of termination are non-refundable.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80"/>
          </w:cols>
          <w:pgMar w:left="320" w:top="459" w:right="49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Amgen also has an exclusive option to negotiate, and the right of first negotiation, to obtain exclusive, worldwide licenses to research, develop, commercialize and otherwise exploit up to two therapeutic compounds or any pharmaceutical product containing such therapeutic compound arising from the collaboration. That right exists with respect to each compound for up to 60 days following positive Phase 2 results for that compound. The Company determined that these rights were not freestanding instruments from the Amgen Collaboration Agreement and did not meet definition of a derivative. Upon execution of the Amgen Collaboration Agreement on September 30, 2021, the Company was obligated to pay Amgen the first quarter $6.3 million non-refundable payment which has been recorded within accrued liabilities, with a corresponding amount included within prepaid expenses and other current assets and other assets on the condensed consolidated balance sheet as of September 30, 2021.</w:t>
      </w:r>
    </w:p>
    <w:p>
      <w:pPr>
        <w:spacing w:after="0" w:line="270" w:lineRule="exact"/>
        <w:rPr>
          <w:sz w:val="20"/>
          <w:szCs w:val="20"/>
          <w:color w:val="auto"/>
        </w:rPr>
      </w:pPr>
    </w:p>
    <w:p>
      <w:pPr>
        <w:ind w:left="120" w:right="6640" w:hanging="4"/>
        <w:spacing w:after="0" w:line="378" w:lineRule="auto"/>
        <w:tabs>
          <w:tab w:leader="none" w:pos="30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and Stockholders’ Deficit Convertible Preferred Stock</w:t>
      </w:r>
    </w:p>
    <w:p>
      <w:pPr>
        <w:ind w:left="120" w:right="60"/>
        <w:spacing w:after="0" w:line="272" w:lineRule="auto"/>
        <w:rPr>
          <w:sz w:val="20"/>
          <w:szCs w:val="20"/>
          <w:color w:val="auto"/>
        </w:rPr>
      </w:pPr>
      <w:r>
        <w:rPr>
          <w:rFonts w:ascii="Arial" w:cs="Arial" w:eastAsia="Arial" w:hAnsi="Arial"/>
          <w:sz w:val="17"/>
          <w:szCs w:val="17"/>
          <w:color w:val="auto"/>
        </w:rPr>
        <w:t>In September 2020, the Company executed a preferred stock purchase agreement (the SPA) and issued 123,620,000 shares of its Series A-2 Preferred at $1.00 per share for aggregate proceeds of $123.6 million in the initial closing of its Series A-2 Preferred financing. Upon the initial closing, the right of forfeiture for 44,008,327 shares of the Company’s common stock issued with the 2020 Bridge Notes lapsed. Concurrent with the initial closing, the Company acquired a legal entity through the issuance of 40,000,000 shares of its Series A-2 Preferred and 10,000,000 shares of its common stock. The entity did not meet the definition of a business and its sole asset was cash. As a result, the shares of the Company’s Series A-2 Preferred and common stock were recognized at their relative fair values for $39.5 million of cash obtained in the transaction. The Company also issued 59,180,294 shares of its Series A-2 Preferred upon settlement of the 2020 Bridge Notes.</w:t>
      </w:r>
    </w:p>
    <w:p>
      <w:pPr>
        <w:spacing w:after="0" w:line="17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 addition, in September 2020, the Company issued an aggregate of 45,178,495 and 14,897,480 shares of its Series A-1 convertible preferred stock (Series A-1 Preferred) and Series A-2 Preferred, respectively, as consideration for various acquisitions of assets.</w:t>
      </w:r>
    </w:p>
    <w:p>
      <w:pPr>
        <w:spacing w:after="0" w:line="17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accordance with the terms of the SPA, the Company also committed to selling 40,000,000 additional shares of its Series A-2 Preferred to one investor who is a related party at a fixed price of $1.00 per share in one or more subsequent closings on or before March 8, 2021. The Company determined that its obligation to issue additional shares of Series A-2 Preferred in subsequent closings was a freestanding financial instrument that should be classified as a liability (the convertible preferred stock tranche liability) on the Company’s condensed consolidated balance sheets and remeasured to fair value during the reporting period with any changes in fair value being recognized as a component of other income (expense) in the condensed consolidated statements of operations and comprehensive loss. The fair value of convertible preferred stock tranche liability was determined to be de minimis on issuance and through the date of settlement in September 2021 because of (i) the original expected short-term nature of the obligation and (ii) the absence of significant business activities or events during the period from issuance in September 2020 settlement that could have significantly impacted the value of the Company.</w:t>
      </w:r>
    </w:p>
    <w:p>
      <w:pPr>
        <w:spacing w:after="0" w:line="18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Further, pursuant to the SPA, a forfeiture provision was added to the terms of 33,333,333 shares of the Company’s common stock previously issued in January 2020 to the same investor and related party that the Company committed to selling 40,000,000 additional shares of its Series A-2 Preferred, of which 13,333,333 remained subject to the forfeiture provision as of December 31, 2020. The Company determined there was no accounting impact because it did not result in a transfer of value from the Company’s common stockholders to its preferred stockholders.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00"/>
          </w:cols>
          <w:pgMar w:left="320" w:top="459" w:right="47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the acquisition of Alairion in November 2020, an existing stockholder of both Alairion and the Company purchased a total of</w:t>
      </w:r>
    </w:p>
    <w:p>
      <w:pPr>
        <w:spacing w:after="0" w:line="35" w:lineRule="exact"/>
        <w:rPr>
          <w:sz w:val="20"/>
          <w:szCs w:val="20"/>
          <w:color w:val="auto"/>
        </w:rPr>
      </w:pPr>
    </w:p>
    <w:p>
      <w:pPr>
        <w:jc w:val="both"/>
        <w:ind w:left="120" w:right="140"/>
        <w:spacing w:after="0" w:line="255" w:lineRule="auto"/>
        <w:rPr>
          <w:sz w:val="20"/>
          <w:szCs w:val="20"/>
          <w:color w:val="auto"/>
        </w:rPr>
      </w:pPr>
      <w:r>
        <w:rPr>
          <w:rFonts w:ascii="Arial" w:cs="Arial" w:eastAsia="Arial" w:hAnsi="Arial"/>
          <w:sz w:val="18"/>
          <w:szCs w:val="18"/>
          <w:color w:val="auto"/>
        </w:rPr>
        <w:t>$12.0 million of Alairion convertible notes immediately prior to the closing date that were settled with 12,000,000 shares of the Company’s Series A-2 Preferred upon closing (the Alairion Pre-Closing Financing). The Alairion Pre-Closing Financing was treated as a separate arrangement apart from the acquisition of assets.</w:t>
      </w:r>
    </w:p>
    <w:p>
      <w:pPr>
        <w:spacing w:after="0" w:line="190"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Between March and July 2021, the Company and certain of its investors entered into a series of amendments to the SPA to extend the deadline to complete subsequent closings of its Series A-2 Preferred from March 2021 to September 2021. The Company determined that such amendments to the Series A-2 Preferred represented modifications but that no incremental expense would be recorded as the difference between the fair value of the Series A-2 Preferred immediately before and after the amendments were insignificant. Concurrently, the lapse of right of forfeiture with respect to 13,333,333 shares of the Company’s common stock held by a related party investor was extended to September 2021.</w:t>
      </w:r>
    </w:p>
    <w:p>
      <w:pPr>
        <w:spacing w:after="0" w:line="16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Between August and September 2021, pursuant to the SPA, as amended, the Company issued 191,250,000 shares of its Series A-2 Preferred, including 141,250,000 shares to new investors and 50,000,000 shares to two existing investors, one of whom was a related party, at a price of $1.00 per share for aggregate proceeds of $191.3 million (the Final Closing). Upon the Final Closing, the right of forfeiture for 13,333,333 shares of the Company’s common stock held by one related party investor lapsed and the convertible preferred stock tranche liability was settled. Immediately prior to settlement, the convertible preferred stock tranche liability was remeasured to fair value and was determined to be de minimis because the fixed price of $1.00 per share at which the Company was obligated to issue additional shares of its Series A-2 Preferred represented fair value as it was the same price per share paid by third-party investors who participated in the Final Closing.</w:t>
      </w:r>
    </w:p>
    <w:p>
      <w:pPr>
        <w:spacing w:after="0" w:line="17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Concurrent with the Final Closing, the Company entered into side letter agreements with three new investors, whereby the Company, amongst other things, granted such investors rights to access certain information and notices, concurrently with and in the same manner as the members of the board of directors or a major investor.</w:t>
      </w:r>
    </w:p>
    <w:p>
      <w:pPr>
        <w:spacing w:after="0" w:line="18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In September 2021, Amgen purchased 100.0 million shares of the Company’s Series A-2 Preferred at a purchase price of $1.00 per share, for aggregate proceeds of $100.0 million. Concurrent with the sale of the shares, Amgen and the Company entered into an agreement that limits Amgen’s right to vote as it relates to all matters presented to the Company’s stockholders under its Amended and Restated Certificate of Incorporation, By-Laws, SPA and related agreements governing investors’ rights, except for matters pertaining to the amendment, waiver, and termination of such agreements (the Amgen Voting Rights Letter Agreement). Such voting limitations apply when Amgen’s ownership interest in the Company’s outstanding voting securities exceeds 19.9% of the Company’s total outstanding voting securities or voting power of outstanding single classes or series of the Company’s stock (the Voting Threshold) and remain in effect until an the first to occur of an IPO, the Company becomes subject to period reporting under the Securities Exchange Act, a deemed liquidation event, or a transaction with a special purpose acquisition company (SPAC).</w:t>
      </w:r>
    </w:p>
    <w:p>
      <w:pPr>
        <w:spacing w:after="0" w:line="165" w:lineRule="exact"/>
        <w:rPr>
          <w:sz w:val="20"/>
          <w:szCs w:val="20"/>
          <w:color w:val="auto"/>
        </w:rPr>
      </w:pPr>
    </w:p>
    <w:p>
      <w:pPr>
        <w:ind w:left="120" w:right="300"/>
        <w:spacing w:after="0" w:line="293" w:lineRule="auto"/>
        <w:rPr>
          <w:sz w:val="20"/>
          <w:szCs w:val="20"/>
          <w:color w:val="auto"/>
        </w:rPr>
      </w:pPr>
      <w:r>
        <w:rPr>
          <w:rFonts w:ascii="Arial" w:cs="Arial" w:eastAsia="Arial" w:hAnsi="Arial"/>
          <w:sz w:val="16"/>
          <w:szCs w:val="16"/>
          <w:color w:val="auto"/>
        </w:rPr>
        <w:t>Subject to certain conditions, and only upon the Company’s commencement of a Phase 2 clinical study of a Company controlled molecule or the in-licensing or acquisition of a Phase 2 ready or later-stage molecule, Amgen is also obligated to provide the Company additional financing of up to $100.0 million by either (i) participating in up to two future financings of the Company, in each case by purchasing up $50.0 million in equity (or equity-linked) securities on the same terms and conditions of at least a matching dollar equivalent by one or more third party, or (ii) purchasing up to $40.0 million of shares in an IPO of the Company, in no case greater than 20% of the total gross proceeds of the IPO or (iii) purchasing up to $40.0 million of shares in an SPAC of the Company, in no case greater than 20% of the shares of capital stock of the SPAC (together,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Future Financing). The Future Financing is a freestanding financial instrument and is not subject to liability classification and/or derivative accounting. The Future Financing was determined to be de minimis at issuance and as of September 30, 2021 as it would be settled based on the same terms and conditions other third parties will receive.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 Company’s convertible preferred stock consisted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Carrying</w:t>
            </w:r>
          </w:p>
        </w:tc>
        <w:tc>
          <w:tcPr>
            <w:tcW w:w="9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Authorized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6"/>
          </w:tcPr>
          <w:p>
            <w:pPr>
              <w:jc w:val="right"/>
              <w:ind w:right="10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Series A-1 Preferred</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45,178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Series A-2 Preferred</w:t>
            </w:r>
          </w:p>
        </w:tc>
        <w:tc>
          <w:tcPr>
            <w:tcW w:w="760" w:type="dxa"/>
            <w:vAlign w:val="bottom"/>
          </w:tcPr>
          <w:p>
            <w:pPr>
              <w:jc w:val="right"/>
              <w:spacing w:after="0"/>
              <w:rPr>
                <w:sz w:val="20"/>
                <w:szCs w:val="20"/>
                <w:color w:val="auto"/>
              </w:rPr>
            </w:pPr>
            <w:r>
              <w:rPr>
                <w:rFonts w:ascii="Arial" w:cs="Arial" w:eastAsia="Arial" w:hAnsi="Arial"/>
                <w:sz w:val="18"/>
                <w:szCs w:val="18"/>
                <w:color w:val="auto"/>
              </w:rPr>
              <w:t>290,000</w:t>
            </w:r>
          </w:p>
        </w:tc>
        <w:tc>
          <w:tcPr>
            <w:tcW w:w="4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249,698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245,084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249,698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convertible 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340,000</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294,876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281,679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2021, the Company’s convertible preferred stock consisted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Carrying</w:t>
            </w:r>
          </w:p>
        </w:tc>
        <w:tc>
          <w:tcPr>
            <w:tcW w:w="9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Authorized</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6"/>
          </w:tcPr>
          <w:p>
            <w:pPr>
              <w:jc w:val="right"/>
              <w:ind w:right="10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Series A-1 Preferred</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45,178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Series A-2 Preferred</w:t>
            </w:r>
          </w:p>
        </w:tc>
        <w:tc>
          <w:tcPr>
            <w:tcW w:w="760" w:type="dxa"/>
            <w:vAlign w:val="bottom"/>
          </w:tcPr>
          <w:p>
            <w:pPr>
              <w:jc w:val="right"/>
              <w:spacing w:after="0"/>
              <w:rPr>
                <w:sz w:val="20"/>
                <w:szCs w:val="20"/>
                <w:color w:val="auto"/>
              </w:rPr>
            </w:pPr>
            <w:r>
              <w:rPr>
                <w:rFonts w:ascii="Arial" w:cs="Arial" w:eastAsia="Arial" w:hAnsi="Arial"/>
                <w:sz w:val="18"/>
                <w:szCs w:val="18"/>
                <w:color w:val="auto"/>
              </w:rPr>
              <w:t>707,000</w:t>
            </w:r>
          </w:p>
        </w:tc>
        <w:tc>
          <w:tcPr>
            <w:tcW w:w="4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697,948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693,271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697,948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convertible 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743,126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729,866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the Company’s convertible preferred stock have the following rights, preferences and privileges: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560" w:right="160"/>
        <w:spacing w:after="0" w:line="273" w:lineRule="auto"/>
        <w:rPr>
          <w:sz w:val="20"/>
          <w:szCs w:val="20"/>
          <w:color w:val="auto"/>
        </w:rPr>
      </w:pPr>
      <w:r>
        <w:rPr>
          <w:rFonts w:ascii="Arial" w:cs="Arial" w:eastAsia="Arial" w:hAnsi="Arial"/>
          <w:sz w:val="17"/>
          <w:szCs w:val="17"/>
          <w:color w:val="auto"/>
        </w:rPr>
        <w:t>The holders of each series of convertible preferred stock are entitled to non-cumulative dividends at an annual rate of 6.0% of the original issue price when and if declared by the Company’s board of directors. The dividend rate is subject to adjustment if the Company undertakes any stock splits, stock dividends, combinations, subdivisions, or recapitalization events. Holders of Series A-2 Preferred are entitled to dividends prior and in preference to any declaration or payment of any dividend to holders of Series A-1 Preferred and common stock. Holders of the Series A-1 Preferred are entitled to dividends prior and in preference to any declaration or payment of any dividend to holders of common stock. No dividends have been declared or paid as of September 30, 2021.</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Liquidation distributions</w:t>
      </w:r>
    </w:p>
    <w:p>
      <w:pPr>
        <w:spacing w:after="0" w:line="117"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In the event of any liquidation, dissolution, or winding up of the Company, either voluntary or involuntary, the holders of the then outstanding Series A-2 Preferred shall be entitled to receive, prior and in preference to any distribution of any of the assets of the Company to the holders of the Series A-1 Preferred and common stock, a liquidation preference in an amount per share equal to the original issue price (as adjusted for stock splits, stock dividends, and recapitalizations) plus all declared but unpaid dividends on such shares. The holders of the then outstanding Series A-1 Preferred shall be entitled to receive, prior and in preference to any distribution of any of the assets of the Company to the holders of the common stock, a liquidation preference in an amount per share equal to the original issue price (as adjusted for stock splits, stock</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560" w:right="200"/>
        <w:spacing w:after="0" w:line="257" w:lineRule="auto"/>
        <w:rPr>
          <w:sz w:val="20"/>
          <w:szCs w:val="20"/>
          <w:color w:val="auto"/>
        </w:rPr>
      </w:pPr>
      <w:r>
        <w:rPr>
          <w:rFonts w:ascii="Arial" w:cs="Arial" w:eastAsia="Arial" w:hAnsi="Arial"/>
          <w:sz w:val="18"/>
          <w:szCs w:val="18"/>
          <w:color w:val="auto"/>
        </w:rPr>
        <w:t>dividends, and recapitalizations) plus all declared but unpaid dividends on such shares. Thereafter, any remaining assets of the Company will be distributed, on a pari passu basis, among the holders of the common stock. If the assets and funds available to be distributed to the stockholders shall be insufficient to permit the payment, in full, of any of the liquidation preferences, then the entire assets and funds legally available for distribution to the convertible preferred stock shall be distributed ratably among the holders of convertible preferred stock based on the total number of shares held by each holder.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The holder of each share of convertible preferred stock is generally entitled to one vote for each share of common stock into which it would convert. Except as provided by law or other provisions in the Company’s Amended and Restated Certificate of Incorporation and the Amgen Voting Rights Letter Agreement, the holders of the convertible preferred stock shall vote together with the holders of the common stock as a single class on an as-converted basis. So long as 16,000,000 shares of Series A-2 Preferred remain outstanding, then (i) the holders of such convertible preferred stock, exclusively, are entitled to elect three directors of the Company, (ii) the holders of the Company’s common stock, exclusively, are entitled to elect one director of the Company, and (iii) the holders of the Series A-2 Preferred and common stock, voting together as a single class on an as-converted basis, are entitled to elect two directors of the Company. The holders of the Series A-1 Preferred are not entitled to elect directors of the Company.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The shares of convertible preferred stock are convertible into shares of common stock at the option of the holder, at any time after the date of issuance of such shares, determined by dividing the original issue price per share by the conversion price in effect at the time of conversion. As of September 30, 2021, the applicable conversion price was $1.00 per share for Series A-1 Preferred and $1.00 per share for Series A-2 Preferred. The conversion price shall be subject to adjustments for stock splits, stock dividends, combinations, subdivisions, or recapitalization events. In addition, if the Company should issue convertible preferred stock or common stock without consideration or for a consideration per share less than the conversion price for the convertible preferred stock, the conversion price for each series shall automatically be adjusted in accordance with anti-dilution provisions contained in the Company’s Amended and Restated Certificate of Incorporation.</w:t>
      </w:r>
    </w:p>
    <w:p>
      <w:pPr>
        <w:spacing w:after="0" w:line="166" w:lineRule="exact"/>
        <w:rPr>
          <w:sz w:val="20"/>
          <w:szCs w:val="20"/>
          <w:color w:val="auto"/>
        </w:rPr>
      </w:pPr>
    </w:p>
    <w:p>
      <w:pPr>
        <w:ind w:left="560" w:right="140"/>
        <w:spacing w:after="0" w:line="279" w:lineRule="auto"/>
        <w:rPr>
          <w:sz w:val="20"/>
          <w:szCs w:val="20"/>
          <w:color w:val="auto"/>
        </w:rPr>
      </w:pPr>
      <w:r>
        <w:rPr>
          <w:rFonts w:ascii="Arial" w:cs="Arial" w:eastAsia="Arial" w:hAnsi="Arial"/>
          <w:sz w:val="17"/>
          <w:szCs w:val="17"/>
          <w:color w:val="auto"/>
        </w:rPr>
        <w:t>Each share of convertible preferred stock shall automatically convert into common stock immediately upon (i) the closing of the sale of common stock in a firm-commitment underwritten public offering pursuant to an effective registration statement under the Securities Act of 1933, as amended, resulting in at least $30.0 million of gross proceeds to the Company (a Qualified IPO), or (ii) the occurrence of an event, specified by vote or written consent of the holders of a majority of the then-outstanding shares of Series A-2 Preferred.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Redemption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share of Series A-1 Preferred and A-2 Preferred are not mandatorily redeemable.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Under the Company’s investors’ rights agreement, certain holders of the Company’s convertible preferred stock and common stock have the right to demand that the Company file a registration statement or request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that their shares be covered by a registration statement that the Company is otherwise filing. Holders of the Company’s convertible preferred stock have the right to request the Company to file certain registration statements with the SEC for the registration of shares related to the convertible preferred stock.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 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In August 2021, the Company’s board of directors approved a certificate of amendment to the Company’s amended and restated certificate of incorporation which, among other things, (i) increased the authorized number of shares of the Company’s common stock to 1,125,000,000 shares and (ii) increased the authorized number of shares of the Company’s convertible preferred stock to 755,000,000 shares.</w:t>
      </w:r>
    </w:p>
    <w:p>
      <w:pPr>
        <w:spacing w:after="0" w:line="16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holders of the Company’s common stock are entitled to one vote per share on all matters to be voted on by the stockholders of the Company and are entitled to dividends, if and when declared by the Company’s board of directors, subject to the prior rights of the preferred stockholders. Common stock outstanding on the consolidated balance sheet and consolidated statement of convertible preferred stock and stockholders’ deficit as of September 30, 2021 includes 48,245,563 shares of unvested stock that vest based on service conditions and are subject to the Company’s right of repurchase upon termination of services and 7,000,000 shares of restricted stock that vest based on performance conditions and for which a grant date had not been established (see Note 11).</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reserved for future issuance as of the period indicated consisted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conversation of outstanding Series A-1 and Series A-2 Preferred</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743,126</w:t>
            </w: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Shares reserved for Series A-1 Preferred related to Preferred Stock Warrants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2,293</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options to purchase common stock under the Plans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48,981</w:t>
            </w: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Shares reserved for issuance under the Plans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797,360</w:t>
            </w: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 addition, the Company may be required to issue additional shares of its capital stock if certain milestone conditions are met pursuant to the contingent consideration and compensation arrangements associated with the Company’s acquisitions of assets (see Note 5). As of September 30, 2021, the milestone conditions are not probable of being met and no shares have been reserved for potential future issuances.</w:t>
      </w:r>
    </w:p>
    <w:p>
      <w:pPr>
        <w:spacing w:after="0" w:line="16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In March 2021, the Company sold 3,000,000 shares of its common stock to a co-founder for the benefit of an existing investor in the Company at a purchase price of $0.32 per share, or $1.0 million in the aggregate.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00"/>
          </w:cols>
          <w:pgMar w:left="320" w:top="459" w:right="47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Preferred Stock Warrants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September 2020, in connection with the BlackThorn acquisition, the Company issued Preferred Stock Warrants to purchase up to 2,292,672 shares of Series A-1 Preferred with an exercise price of $1.35 per share, all of which were outstanding as of September 30, 2021. The Preferred Stock Warrants expire on the earlier of (i) December 31, 2021, (ii) immediately prior to the consummation of an IPO of the Company’s common stock, and (iii) upon the closing of a deemed liquidation event. The Preferred Stock Warrants provide for cashless net exercise pursuant to which the holder may, in lieu of payment of the exercise price in cash, surrender the Preferred Stock Warrant and receive a net amount of shares based on the fair market value of the Company’s convertible preferred stock at the time of exercise after deduction of the aggregate exercise price. The Preferred Stock Warrants also provide for adjustments in the event of specified stock dividends, stock splits, reclassifications, and consolidations.</w:t>
      </w:r>
    </w:p>
    <w:p>
      <w:pPr>
        <w:spacing w:after="0" w:line="281" w:lineRule="exact"/>
        <w:rPr>
          <w:sz w:val="20"/>
          <w:szCs w:val="20"/>
          <w:color w:val="auto"/>
        </w:rPr>
      </w:pPr>
    </w:p>
    <w:p>
      <w:pPr>
        <w:ind w:left="120" w:right="8600" w:hanging="4"/>
        <w:spacing w:after="0" w:line="453" w:lineRule="auto"/>
        <w:tabs>
          <w:tab w:leader="none" w:pos="380" w:val="left"/>
        </w:tabs>
        <w:numPr>
          <w:ilvl w:val="0"/>
          <w:numId w:val="169"/>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2020 Equity Incentive Plan</w:t>
      </w:r>
    </w:p>
    <w:p>
      <w:pPr>
        <w:spacing w:after="0" w:line="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January 2020, the Company adopted the 2020 Equity Incentive Plan (the 2020 Plan) that provides for the issuance of incentive stock options, non-statutory stock options, restricted stock awards, restricted stock unit, and other stock-based awards to employees, directors and non-employee service providers of the Company. As of September 30, 2021, 64,093,550 shares of the Company’s common stock were reserved for issuance under the 2020 Plan, of which 2,428,513 shares remained available for future grants.</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For awards granted between March to July 2021 with an exercise price of $0.32 per share, a deemed fair market value ranging from $0.40 to $0.50 per share was used in calculating stock-based compensation, which was determined by the Company using hindsight.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2015 Equity Incentive Plan</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connection with the BlackThorn acquisition in September 2020, the Company assumed BlackThorn’s 2015 Equity Incentive Plan (the 2015 Plan, and collectively with the 2020 Plan, the Plans). The BlackThorn Replacement Stock Options previously granted under the 2015 Plan and that were outstanding and converted to options to purchase common stock of the Company upon closing of the acquisition remain subject to the terms and conditions of the 2015 Plan. As of September 30, 2021, 2,330,374 shares of the Company’s common stock were reserved for issuance under the 2015 Plan, of which 531,087 shares remained available for issuance although future grants will not be made from the 2020 Plan.</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080"/>
          </w:cols>
          <w:pgMar w:left="320" w:top="459" w:right="49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 Activity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under the Plans: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Weighted-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0" w:type="dxa"/>
            <w:vAlign w:val="bottom"/>
            <w:gridSpan w:val="3"/>
            <w:vMerge w:val="restart"/>
          </w:tcPr>
          <w:p>
            <w:pPr>
              <w:jc w:val="center"/>
              <w:ind w:left="13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Outstanding</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Price Per</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000" w:type="dxa"/>
            <w:vAlign w:val="bottom"/>
            <w:gridSpan w:val="3"/>
          </w:tcPr>
          <w:p>
            <w:pPr>
              <w:jc w:val="center"/>
              <w:ind w:left="136"/>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4"/>
                <w:szCs w:val="14"/>
                <w:color w:val="auto"/>
              </w:rPr>
            </w:pPr>
          </w:p>
        </w:tc>
        <w:tc>
          <w:tcPr>
            <w:tcW w:w="780" w:type="dxa"/>
            <w:vAlign w:val="bottom"/>
          </w:tcPr>
          <w:p>
            <w:pPr>
              <w:jc w:val="center"/>
              <w:ind w:right="292"/>
              <w:spacing w:after="0"/>
              <w:rPr>
                <w:sz w:val="20"/>
                <w:szCs w:val="20"/>
                <w:color w:val="auto"/>
              </w:rPr>
            </w:pPr>
            <w:r>
              <w:rPr>
                <w:rFonts w:ascii="Arial" w:cs="Arial" w:eastAsia="Arial" w:hAnsi="Arial"/>
                <w:sz w:val="14"/>
                <w:szCs w:val="14"/>
                <w:b w:val="1"/>
                <w:bCs w:val="1"/>
                <w:color w:val="auto"/>
                <w:w w:val="92"/>
              </w:rPr>
              <w:t>Share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(years)</w:t>
            </w:r>
          </w:p>
        </w:tc>
        <w:tc>
          <w:tcPr>
            <w:tcW w:w="40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920" w:type="dxa"/>
            <w:vAlign w:val="bottom"/>
            <w:tcBorders>
              <w:top w:val="single" w:sz="8" w:color="auto"/>
            </w:tcBorders>
            <w:gridSpan w:val="6"/>
          </w:tcPr>
          <w:p>
            <w:pPr>
              <w:jc w:val="right"/>
              <w:ind w:right="36"/>
              <w:spacing w:after="0" w:line="142" w:lineRule="exact"/>
              <w:rPr>
                <w:sz w:val="20"/>
                <w:szCs w:val="20"/>
                <w:color w:val="auto"/>
              </w:rPr>
            </w:pPr>
            <w:r>
              <w:rPr>
                <w:rFonts w:ascii="Arial" w:cs="Arial" w:eastAsia="Arial" w:hAnsi="Arial"/>
                <w:sz w:val="14"/>
                <w:szCs w:val="14"/>
                <w:b w:val="1"/>
                <w:bCs w:val="1"/>
                <w:color w:val="auto"/>
              </w:rPr>
              <w:t>(in thousands, except per share amounts and years)</w:t>
            </w: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26,775</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0.38</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24,570</w:t>
            </w:r>
          </w:p>
        </w:tc>
        <w:tc>
          <w:tcPr>
            <w:tcW w:w="38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0.36</w:t>
            </w: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0.44</w:t>
            </w: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Canceled and forfeited</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(880)</w:t>
            </w:r>
          </w:p>
        </w:tc>
        <w:tc>
          <w:tcPr>
            <w:tcW w:w="38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0.42</w:t>
            </w: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2021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49,897</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0.37</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9.3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Vested as of September 30, 2021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vMerge w:val="restart"/>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72"/>
              <w:spacing w:after="0"/>
              <w:rPr>
                <w:sz w:val="20"/>
                <w:szCs w:val="20"/>
                <w:color w:val="auto"/>
              </w:rPr>
            </w:pPr>
            <w:r>
              <w:rPr>
                <w:rFonts w:ascii="Arial" w:cs="Arial" w:eastAsia="Arial" w:hAnsi="Arial"/>
                <w:sz w:val="18"/>
                <w:szCs w:val="18"/>
                <w:color w:val="auto"/>
              </w:rPr>
              <w:t>0.52</w:t>
            </w:r>
          </w:p>
        </w:tc>
        <w:tc>
          <w:tcPr>
            <w:tcW w:w="1280" w:type="dxa"/>
            <w:vAlign w:val="bottom"/>
            <w:vMerge w:val="restart"/>
          </w:tcPr>
          <w:p>
            <w:pPr>
              <w:jc w:val="right"/>
              <w:ind w:right="181"/>
              <w:spacing w:after="0"/>
              <w:rPr>
                <w:sz w:val="20"/>
                <w:szCs w:val="20"/>
                <w:color w:val="auto"/>
              </w:rPr>
            </w:pPr>
            <w:r>
              <w:rPr>
                <w:rFonts w:ascii="Arial" w:cs="Arial" w:eastAsia="Arial" w:hAnsi="Arial"/>
                <w:sz w:val="18"/>
                <w:szCs w:val="18"/>
                <w:color w:val="auto"/>
              </w:rPr>
              <w:t>9.0</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line="20" w:lineRule="exact"/>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5,389</w:t>
            </w:r>
          </w:p>
        </w:tc>
        <w:tc>
          <w:tcPr>
            <w:tcW w:w="3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September 30, 2021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6,911</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0.48</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stock option activity table above excludes options to purchase 5,500,000 shares of the Company’s common stock issued to the Company’s scientific advisors which vest based on the achievement of certain performance conditions to be separately defined and approved by the Company’s board of directors (Performance Stock Options). As the performance conditions had not been determined as of September 30, 2021, the criteria for establishing a grant date, and accordingly a measurement date, were not met as of that date.</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stock option activity table above also excludes stock options to purchase 3,500,000 shares of common stock which have market conditions and the 4,415,000 shares underlying stock options which were early exercised.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Stock Options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fair value of stock options granted for employee and non-employee awards was estimated at the grant date using the Black-Scholes option pricing model based on the following assumptions: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5"/>
              </w:rPr>
              <w:t>Nine Months Ended September 30,</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2040" w:type="dxa"/>
            <w:vAlign w:val="bottom"/>
            <w:tcBorders>
              <w:bottom w:val="single" w:sz="8" w:color="auto"/>
            </w:tcBorders>
            <w:gridSpan w:val="2"/>
          </w:tcPr>
          <w:p>
            <w:pPr>
              <w:ind w:left="88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gridSpan w:val="3"/>
          </w:tcPr>
          <w:p>
            <w:pPr>
              <w:jc w:val="right"/>
              <w:ind w:right="710"/>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100.4%</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96.5%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Expected term (years)</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 6.1</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20"/>
              <w:spacing w:after="0"/>
              <w:rPr>
                <w:sz w:val="20"/>
                <w:szCs w:val="20"/>
                <w:color w:val="auto"/>
              </w:rPr>
            </w:pPr>
            <w:r>
              <w:rPr>
                <w:rFonts w:ascii="Arial" w:cs="Arial" w:eastAsia="Arial" w:hAnsi="Arial"/>
                <w:sz w:val="18"/>
                <w:szCs w:val="18"/>
                <w:color w:val="auto"/>
              </w:rPr>
              <w:t>7.1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Early Exercise of Employee Stock Options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Company’s 2020 Plan allows certain employees to exercise their stock options prior to vesting into shares of restricted common stock. The unvested shares are subject to repurchase by the Company at the original exercise price upon termination of the holder’s continuous provision of services to the Company. The proceeds from early exercised stock options are recorded in other liabilities in the condensed consolidated balance sheets at the time of exercise and reclassified to common stock and additional paid-in capital as the underlying stock options vest and the Company’s repurchase right lapses. During the nine months ended September 30, 2021, the Company issued 4,415,000 shares of restricted common stock for cash proceeds of $1.4 million upon the exercise of unvested stock options with a weighted average exercise price of $0.32 per share.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Awards</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Company’s 2020 Plan allows for the grant of restricted common stock to certain employees, executives, non-employee scientific advisors, and third-party service providers (the restricted stock). The restrictions lapse over time primarily according to service-based vesting conditions of each award. In the event of a voluntary or involuntary termination of the holder’s continuous provision of services to the Company, any unvested portion of the restricted stock award are automatically forfeited.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Company’s restricted stock activity:</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780" w:type="dxa"/>
            <w:vAlign w:val="bottom"/>
            <w:gridSpan w:val="3"/>
          </w:tcPr>
          <w:p>
            <w:pPr>
              <w:ind w:left="640"/>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780" w:type="dxa"/>
            <w:vAlign w:val="bottom"/>
            <w:gridSpan w:val="3"/>
          </w:tcPr>
          <w:p>
            <w:pPr>
              <w:ind w:left="660"/>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230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(in thousands, except per share</w:t>
            </w:r>
          </w:p>
        </w:tc>
        <w:tc>
          <w:tcPr>
            <w:tcW w:w="3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622"/>
              <w:spacing w:after="0"/>
              <w:rPr>
                <w:sz w:val="20"/>
                <w:szCs w:val="20"/>
                <w:color w:val="auto"/>
              </w:rPr>
            </w:pPr>
            <w:r>
              <w:rPr>
                <w:rFonts w:ascii="Arial" w:cs="Arial" w:eastAsia="Arial" w:hAnsi="Arial"/>
                <w:sz w:val="14"/>
                <w:szCs w:val="14"/>
                <w:b w:val="1"/>
                <w:bCs w:val="1"/>
                <w:color w:val="auto"/>
              </w:rPr>
              <w:t>amounts)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as of 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86,897</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Issued</w:t>
            </w: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(43,226)</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Outstanding and unvested as of September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43,831</w:t>
            </w:r>
          </w:p>
        </w:tc>
        <w:tc>
          <w:tcPr>
            <w:tcW w:w="140" w:type="dxa"/>
            <w:vAlign w:val="bottom"/>
          </w:tcPr>
          <w:p>
            <w:pPr>
              <w:spacing w:after="0"/>
              <w:rPr>
                <w:sz w:val="19"/>
                <w:szCs w:val="19"/>
                <w:color w:val="auto"/>
              </w:rPr>
            </w:pPr>
          </w:p>
        </w:tc>
        <w:tc>
          <w:tcPr>
            <w:tcW w:w="1380" w:type="dxa"/>
            <w:vAlign w:val="bottom"/>
          </w:tcPr>
          <w:p>
            <w:pPr>
              <w:jc w:val="right"/>
              <w:ind w:right="64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restricted stock table above excludes 7,000,000 shares of restricted common stock issued to the Company’s scientific advisors and one employee which vest based on the achievement of certain performance conditions to be separately defined and approved by the Company’s board of directors (Performance Restricted Stock). As the performance conditions had not been determined as of September 30, 2021, the criteria for establishing a grant date, and accordingly a measurement date, were not met as of that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 with Market Conditions</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June 2021, the Company granted stock options to purchase 3,500,000 shares of its common stock to one of its executive officers with an exercise price of $0.32 per share that contain both market and service conditions (the Market Award). Subject to the holders continued service, the Market Award will vest in four equal tranches once the Company’s stock price exceeds certain thresholds. The grant-date fair value of the Market Award of</w:t>
      </w:r>
    </w:p>
    <w:p>
      <w:pPr>
        <w:spacing w:after="0" w:line="2"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$0.9 million was determined using a Monte Carlo simulation model using an expected volatility of 100.0% and risk-free rate of 1.6%. The Company recognizes compensation related to the Market Award using the accelerated attribution method for each tranche over the requisite service period, which was estimated based on the duration of the median path from the grant date to the first time each market condition is expected to be met. The requisite service period for each tranche varies between 6.3 years and 7.4 years. For the nine months ended September 30, 2021, the Company recognized $ 0.1 million of stock-based compensation related to the Market Award. As of September 30, 2021, the Company issued 875,000 shares of restricted common stock upon the exercise of unvested Market Awards and 2,625,000 shares of the Market Awards remained outstanding.</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00"/>
          </w:cols>
          <w:pgMar w:left="320" w:top="459" w:right="47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following table summarizes total stock-based compensation included in the Company’s consolidated statements of operations and comprehensive loss:</w:t>
      </w:r>
    </w:p>
    <w:p>
      <w:pPr>
        <w:spacing w:after="0" w:line="189"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Nine Months Ended</w:t>
      </w:r>
    </w:p>
    <w:p>
      <w:pPr>
        <w:jc w:val="center"/>
        <w:ind w:left="65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44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5"/>
          </w:tcPr>
          <w:p>
            <w:pPr>
              <w:jc w:val="right"/>
              <w:ind w:right="335"/>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1,246</w:t>
            </w:r>
          </w:p>
        </w:tc>
      </w:tr>
      <w:tr>
        <w:trPr>
          <w:trHeight w:val="27"/>
        </w:trPr>
        <w:tc>
          <w:tcPr>
            <w:tcW w:w="44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3,058</w:t>
            </w:r>
          </w:p>
        </w:tc>
      </w:tr>
      <w:tr>
        <w:trPr>
          <w:trHeight w:val="20"/>
        </w:trPr>
        <w:tc>
          <w:tcPr>
            <w:tcW w:w="4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of September 30, 2021, there was $12.9 million and $1.2 million of unrecognized stock-based compensation related to stock options and restricted stock awards outstanding, respectively, which were expected to be recognized over weighted-average remaining service periods of 2.9 years and 2.3 years,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 Agreements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May 2020, the Company entered into a service agreement with a vendor for assistance in evaluating assets and technologies in the field of neurodegeneration. As consideration, the Company issued 1,000,000 shares of its restricted common stock (included in the table summarizing the Company’s restricted stock activity above), subject to a right of forfeiture that lapses as to 50% of the shares on the one-year anniversary of the agreement and as to the remaining 50% of the shares on the second anniversary of the agreement. The restricted common shares had an aggregate grant-date fair value of $0.4 million. While services are being provided, the Company agreed to issue the vendor additional shares of its common stock representing a value of $1.0 million upon the achievement of certain milestones tied to the successful in-license or acquisition of assets (the Milestone Shares). The Company concluded the Milestone Shares are stock settled debt that are required to be classified as a liability and recognized at such time the milestones are probable of being met. As of September 30, 2021, the milestones were not probable of being met.</w:t>
      </w:r>
    </w:p>
    <w:p>
      <w:pPr>
        <w:spacing w:after="0" w:line="165"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In May 2020, the Company entered into a letter arrangement with a strategic party to continue to collaborate in their strategic relationship to advance mutual goals in the treatment of brain disorders. In consideration of the continued relationship, the Company issued 1,000,000 shares of its common stock and recognized stock-based compensation of $0.3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computation of basic and diluted net loss per share:</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left="46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40" w:type="dxa"/>
            <w:vAlign w:val="bottom"/>
            <w:gridSpan w:val="5"/>
          </w:tcPr>
          <w:p>
            <w:pPr>
              <w:jc w:val="center"/>
              <w:ind w:right="55"/>
              <w:spacing w:after="0" w:line="119" w:lineRule="exact"/>
              <w:rPr>
                <w:sz w:val="20"/>
                <w:szCs w:val="20"/>
                <w:color w:val="auto"/>
              </w:rPr>
            </w:pPr>
            <w:r>
              <w:rPr>
                <w:rFonts w:ascii="Arial" w:cs="Arial" w:eastAsia="Arial" w:hAnsi="Arial"/>
                <w:sz w:val="13"/>
                <w:szCs w:val="13"/>
                <w:b w:val="1"/>
                <w:bCs w:val="1"/>
                <w:color w:val="auto"/>
                <w:w w:val="97"/>
              </w:rPr>
              <w:t>(in thousands, except 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amounts)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(79,274)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(210,343)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94,192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163,353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20"/>
              <w:spacing w:after="0"/>
              <w:rPr>
                <w:sz w:val="20"/>
                <w:szCs w:val="20"/>
                <w:color w:val="auto"/>
              </w:rPr>
            </w:pPr>
            <w:r>
              <w:rPr>
                <w:rFonts w:ascii="Arial" w:cs="Arial" w:eastAsia="Arial" w:hAnsi="Arial"/>
                <w:sz w:val="18"/>
                <w:szCs w:val="18"/>
                <w:color w:val="auto"/>
              </w:rPr>
              <w:t>F-71</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following outstanding potentially dilutive common stock equivalents were excluded from the computation of diluted net loss per share for the periods presented because including them would have been antidilutive:</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6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3"/>
              </w:rPr>
              <w:t>September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104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1660" w:type="dxa"/>
            <w:vAlign w:val="bottom"/>
            <w:gridSpan w:val="3"/>
          </w:tcPr>
          <w:p>
            <w:pPr>
              <w:ind w:left="7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282,876</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743,126</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2,293</w:t>
            </w:r>
          </w:p>
        </w:tc>
        <w:tc>
          <w:tcPr>
            <w:tcW w:w="3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2,293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16,277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48,981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Performance stock options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3,500</w:t>
            </w:r>
          </w:p>
        </w:tc>
        <w:tc>
          <w:tcPr>
            <w:tcW w:w="3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5,500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Early exercised stock options subject to future vesting</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4,415</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Unvested restricted stock subject to repurchase</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86,800</w:t>
            </w:r>
          </w:p>
        </w:tc>
        <w:tc>
          <w:tcPr>
            <w:tcW w:w="3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43,831</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Performance restricted stock</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Common stock subject to right of forfeiture</w:t>
            </w:r>
          </w:p>
        </w:tc>
        <w:tc>
          <w:tcPr>
            <w:tcW w:w="1040" w:type="dxa"/>
            <w:vAlign w:val="bottom"/>
          </w:tcPr>
          <w:p>
            <w:pPr>
              <w:jc w:val="right"/>
              <w:spacing w:after="0"/>
              <w:rPr>
                <w:sz w:val="20"/>
                <w:szCs w:val="20"/>
                <w:color w:val="auto"/>
              </w:rPr>
            </w:pPr>
            <w:r>
              <w:rPr>
                <w:rFonts w:ascii="Arial" w:cs="Arial" w:eastAsia="Arial" w:hAnsi="Arial"/>
                <w:sz w:val="18"/>
                <w:szCs w:val="18"/>
                <w:color w:val="auto"/>
              </w:rPr>
              <w:t>20,833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59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419,979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855,146</w:t>
            </w:r>
          </w:p>
        </w:tc>
      </w:tr>
      <w:tr>
        <w:trPr>
          <w:trHeight w:val="20"/>
        </w:trPr>
        <w:tc>
          <w:tcPr>
            <w:tcW w:w="5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August 2020, the Company repurchased 16,666,667 shares of common stock from an investor who is a related party, at the original purchase price of $0.0001. The repurchased shares of common stock were cancelled and retired. The Company determined there was no accounting impact of this repurchase as at that time, there was only one class of the Company’s equity outstanding.</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During the year ended December 31, 2020, the Company issued 13,531,561 shares of its Series A-1 Preferred as consideration for an acquisition of assets and 65,700,828 shares of its Series A-2 Preferred for total cash proceeds of $30.0 million and settlement of convertible promissory notes amounting to $30.3 million to a significant stockholder that has designated members of the Company’s board of directors and who is considered to be a related party.</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One of BlackThorn’s investors and two of its board members at the time of the acquisition by the Company were related parties of the Company. A stockholder of Alairion at the time of the merger with the Company was a related party of the Company.</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During 2020, the Company also issued 2020 Bridge Notes and Series A-2 Preferred to investors who were considered to be related parties (see Note 6 and Note 9).</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August 2021, the Company issued 40,000,000 shares of its Series A-2 Preferred for total cash proceeds of $40.0 million to a significant stockholder that has designated members on the Company’s board of directors and who is considered to be a related party.</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of September 30, 2021, the Company was obligated to pay Amgen $6.3 million under the Amgen Collaboration Agreement, which is included within accrued liabilities and a corresponding amount within prepaid expenses and other current assets and other assets on the condensed consolidated balance sheet (see Note 8). Subject to certain conditions, Amgen is also obligated to provide the Company additional financing of up to $100.0 million (see Note 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NEUMORA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Interim Condensed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evaluated subsequent events through December 22, 2021, the date these condensed consolidated financial statements were available to be issued.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to Preferred Stock Warrants</w:t>
      </w:r>
    </w:p>
    <w:p>
      <w:pPr>
        <w:spacing w:after="0" w:line="11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In December 2021, the Company amended the expiration of the Preferred Stock Warrants to purchase up to 2,292,672 shares of Series A-1 Preferred to the earlier of the following: (i) December 31, 2022, (ii) immediately prior to the consummation of an IPO of the Company’s common stock, and</w:t>
      </w:r>
    </w:p>
    <w:p>
      <w:pPr>
        <w:jc w:val="center"/>
        <w:ind w:left="5460" w:right="560" w:hanging="5344"/>
        <w:spacing w:after="0" w:line="433" w:lineRule="auto"/>
        <w:tabs>
          <w:tab w:leader="none" w:pos="43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upon the closing of a deemed liquidation event. Of the total of Preferred Stock Warrants, 820,434 shares are held by a related party investor. F-73</w:t>
      </w:r>
    </w:p>
    <w:p>
      <w:pPr>
        <w:sectPr>
          <w:pgSz w:w="11900" w:h="16838" w:orient="portrait"/>
          <w:cols w:equalWidth="0" w:num="1">
            <w:col w:w="11080"/>
          </w:cols>
          <w:pgMar w:left="320" w:top="459" w:right="49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3" w:lineRule="exact"/>
        <w:rPr>
          <w:sz w:val="20"/>
          <w:szCs w:val="20"/>
          <w:color w:val="auto"/>
        </w:rPr>
      </w:pPr>
    </w:p>
    <w:p>
      <w:pPr>
        <w:ind w:left="622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24130</wp:posOffset>
            </wp:positionV>
            <wp:extent cx="2554605" cy="5657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546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974725</wp:posOffset>
            </wp:positionV>
            <wp:extent cx="18173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168910</wp:posOffset>
            </wp:positionV>
            <wp:extent cx="18173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399"/>
        <w:spacing w:after="0"/>
        <w:tabs>
          <w:tab w:leader="none" w:pos="6600" w:val="left"/>
          <w:tab w:leader="none" w:pos="4680" w:val="left"/>
          <w:tab w:leader="none" w:pos="3020" w:val="left"/>
          <w:tab w:leader="none" w:pos="212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BofA Securities</w:t>
      </w:r>
      <w:r>
        <w:rPr>
          <w:sz w:val="20"/>
          <w:szCs w:val="20"/>
          <w:color w:val="auto"/>
        </w:rPr>
        <w:tab/>
      </w:r>
      <w:r>
        <w:rPr>
          <w:rFonts w:ascii="Arial" w:cs="Arial" w:eastAsia="Arial" w:hAnsi="Arial"/>
          <w:sz w:val="22"/>
          <w:szCs w:val="22"/>
          <w:b w:val="1"/>
          <w:bCs w:val="1"/>
          <w:color w:val="auto"/>
        </w:rPr>
        <w:t>Credit Suisse</w:t>
      </w:r>
      <w:r>
        <w:rPr>
          <w:sz w:val="20"/>
          <w:szCs w:val="20"/>
          <w:color w:val="auto"/>
        </w:rPr>
        <w:tab/>
      </w:r>
      <w:r>
        <w:rPr>
          <w:rFonts w:ascii="Arial" w:cs="Arial" w:eastAsia="Arial" w:hAnsi="Arial"/>
          <w:sz w:val="22"/>
          <w:szCs w:val="22"/>
          <w:b w:val="1"/>
          <w:bCs w:val="1"/>
          <w:color w:val="auto"/>
        </w:rPr>
        <w:t>Stifel</w:t>
      </w:r>
      <w:r>
        <w:rPr>
          <w:sz w:val="20"/>
          <w:szCs w:val="20"/>
          <w:color w:val="auto"/>
        </w:rPr>
        <w:tab/>
      </w:r>
      <w:r>
        <w:rPr>
          <w:rFonts w:ascii="Arial" w:cs="Arial" w:eastAsia="Arial" w:hAnsi="Arial"/>
          <w:sz w:val="19"/>
          <w:szCs w:val="19"/>
          <w:b w:val="1"/>
          <w:b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 2022</w:t>
      </w:r>
    </w:p>
    <w:p>
      <w:pPr>
        <w:sectPr>
          <w:pgSz w:w="11900" w:h="16838" w:orient="portrait"/>
          <w:cols w:equalWidth="0" w:num="1">
            <w:col w:w="10139"/>
          </w:cols>
          <w:pgMar w:left="320" w:top="459" w:right="1440"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The following table sets forth the costs and expenses, other than underwriting discounts and commissions, payable by us in connection with the sale of the common stock being registered. All amounts are estimates except for the Securities and Exchange Commission (SEC) registration fee, the Financial Industry Regulatory Authority (FINRA) filing fee and the Nasdaq Global Market (Nasdaq) listing fee.</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Amount Paid or</w:t>
            </w:r>
          </w:p>
        </w:tc>
      </w:tr>
      <w:tr>
        <w:trPr>
          <w:trHeight w:val="171"/>
        </w:trPr>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to Be Paid</w:t>
            </w:r>
          </w:p>
        </w:tc>
      </w:tr>
      <w:tr>
        <w:trPr>
          <w:trHeight w:val="209"/>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FINRA filing fee</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Transfer agent’s fees and expenses</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1220" w:type="dxa"/>
            <w:vAlign w:val="bottom"/>
            <w:tcBorders>
              <w:bottom w:val="single" w:sz="8" w:color="auto"/>
            </w:tcBorders>
          </w:tcPr>
          <w:p>
            <w:pPr>
              <w:spacing w:after="0"/>
              <w:rPr>
                <w:sz w:val="12"/>
                <w:szCs w:val="12"/>
                <w:color w:val="auto"/>
              </w:rPr>
            </w:pPr>
          </w:p>
        </w:tc>
        <w:tc>
          <w:tcPr>
            <w:tcW w:w="64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50"/>
        </w:trPr>
        <w:tc>
          <w:tcPr>
            <w:tcW w:w="7660" w:type="dxa"/>
            <w:vAlign w:val="bottom"/>
            <w:gridSpan w:val="3"/>
          </w:tcPr>
          <w:p>
            <w:pPr>
              <w:spacing w:after="0"/>
              <w:rPr>
                <w:sz w:val="20"/>
                <w:szCs w:val="20"/>
                <w:color w:val="auto"/>
              </w:rPr>
            </w:pPr>
            <w:r>
              <w:rPr>
                <w:rFonts w:ascii="Arial" w:cs="Arial" w:eastAsia="Arial" w:hAnsi="Arial"/>
                <w:sz w:val="18"/>
                <w:szCs w:val="18"/>
                <w:color w:val="auto"/>
              </w:rPr>
              <w:t>*  To be completed by amendment.</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9 of the registrant’s amended and restated certificate of incorporation provides for indemnification by the registrant of its directors, officers, and employees to the fullest extent permitted by the Delaware General Corporation Law. The registrant has entered into indemnification agreements with each of its current directors, executive officers, and certain other officers to provide these directors and officers additional contractual assurances regarding the scope of the indemnification set forth in the registrant’s amended and restated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17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amended and restated certificate of incorporation provides for such limitation of liability.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9" w:right="49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that may be made by the registrant to such officers and directors pursuant to the above indemnification provision or otherwise as a matter of law.</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of directors and officers of the registrant by the underwriters against certain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Since its inception in November 2019, the registrant has sold the following securities without registration under the Securities Act of 1933:</w:t>
      </w:r>
    </w:p>
    <w:p>
      <w:pPr>
        <w:spacing w:after="0" w:line="142" w:lineRule="exact"/>
        <w:rPr>
          <w:sz w:val="20"/>
          <w:szCs w:val="20"/>
          <w:color w:val="auto"/>
        </w:rPr>
      </w:pPr>
    </w:p>
    <w:p>
      <w:pPr>
        <w:ind w:left="1080" w:hanging="532"/>
        <w:spacing w:after="0"/>
        <w:tabs>
          <w:tab w:leader="none" w:pos="10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From January 2020 to October 2021, the registrant issued 186,843,334 shares of its common stock for proceeds of approximately $49,553.</w:t>
      </w:r>
    </w:p>
    <w:p>
      <w:pPr>
        <w:spacing w:after="0" w:line="153"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From May 2020 to September 2020, the registrant issued 52,508,326 shares of its common stock in connection with its issuance and sale of its Series A-2 convertible preferred stock for no additional consideration.</w:t>
      </w:r>
    </w:p>
    <w:p>
      <w:pPr>
        <w:spacing w:after="0" w:line="75"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September 2020, the registrant issued 45,178,495 shares of its Series A-1 convertible preferred stock at $1.00 per share for gross proceeds of approximately $45.2 million, in connection with its acquisition of BlackThorn.</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September 2020, the registrant issued 2,292,672 shares of its Series A-1 convertible preferred stock upon exercise of warrants for proceeds of approximately $3.1 million.</w:t>
      </w:r>
    </w:p>
    <w:p>
      <w:pPr>
        <w:spacing w:after="0" w:line="75"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September 2020, the registrant issued 237,697,774 shares of its Series A-2 convertible preferred stock at $1.00 per share for gross proceeds of approximately $ 237.7 million, including conversion of the convertible promissory notes of an aggregate principal amount of approximately $55.9 million issued from February 2020 to September 2020.</w:t>
      </w:r>
    </w:p>
    <w:p>
      <w:pPr>
        <w:spacing w:after="0" w:line="89"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November 2020, the registrant issued 12,000,000 shares of its Series A-2 convertible preferred stock at $1.00 per share for gross proceeds of $12.0 million, in connection with its acquisition of Alairion.</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From August 2021 to September 2021, the registrant issued 191,250,000 shares of its Series A-2 convertible preferred stock at $1.00 per share for gross proceeds of approximately $191.3 million.</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September 2021, the registrant issued 100,000,000 shares of its Series A-2 convertible preferred stock at $1.00 per share for gross proceeds of approximately $100.0 million.</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September 2021, the registrant issued 157,000,000 shares of its Series A-2 convertible preferred stock in connection with the entry into an intellectual property license arrangements.</w:t>
      </w:r>
    </w:p>
    <w:p>
      <w:pPr>
        <w:spacing w:after="0" w:line="75" w:lineRule="exact"/>
        <w:rPr>
          <w:rFonts w:ascii="Arial" w:cs="Arial" w:eastAsia="Arial" w:hAnsi="Arial"/>
          <w:sz w:val="18"/>
          <w:szCs w:val="18"/>
          <w:color w:val="auto"/>
        </w:rPr>
      </w:pPr>
    </w:p>
    <w:p>
      <w:pPr>
        <w:jc w:val="both"/>
        <w:ind w:left="1080" w:right="100" w:hanging="532"/>
        <w:spacing w:after="0" w:line="263"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 has granted equity awards under the 2015 Plan to its directors, officers, employees, and consultants, which awards consisted of 2,330,374 options to purchase an aggregate of 2,330,374 shares of its common stock at exercise prices ranging from $0.32 to $1.38 per share.</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 has issued an aggregate of 97,677 shares of its common stock upon the exercise of options under our 2015 Plan for aggregate proceeds of approximately $107,707.</w:t>
      </w:r>
    </w:p>
    <w:p>
      <w:pPr>
        <w:spacing w:after="0" w:line="75" w:lineRule="exact"/>
        <w:rPr>
          <w:rFonts w:ascii="Arial" w:cs="Arial" w:eastAsia="Arial" w:hAnsi="Arial"/>
          <w:sz w:val="18"/>
          <w:szCs w:val="18"/>
          <w:color w:val="auto"/>
        </w:rPr>
      </w:pPr>
    </w:p>
    <w:p>
      <w:pPr>
        <w:jc w:val="both"/>
        <w:ind w:left="1080" w:right="100" w:hanging="532"/>
        <w:spacing w:after="0" w:line="263"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 has granted equity awards under the 2020 Plan its directors, officers, employees, and consultants, which awards consisted of 66,016,900 options to purchase an aggregate of 66,016,900 shares of its common stock at exercise prices ranging from $0.32 to $0.54 per share and 4,000,000 restricted stock awards issued at $0.32 per share.</w:t>
      </w:r>
    </w:p>
    <w:p>
      <w:pPr>
        <w:spacing w:after="0" w:line="89"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 has issued an aggregate of 7,873,461 shares of its common stock upon the exercise of options under our 2020 Plan for aggregate proceeds of approximately $2.5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 offers, sales and issuances of the securities described in Item 15(a) through 15(m) were exempt from registration under the Securities Act in reliance upon Section 4(a)(2)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our company.</w:t>
      </w:r>
    </w:p>
    <w:p>
      <w:pPr>
        <w:spacing w:after="0" w:line="16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offers, sales, and issuances of the securities described in Item 15(j) through 15(m) were exempt from registration under the Securities Act under either Rule 701, in that the transaction were under compensatory benefit plans and contracts relating to compensation, or under Section 4(a)(2) of the Securities Act in that the transactions were between an issuer and members of its senior executive management and did not involve any public offering within the meaning of Section 4(a)(2). The recipients of such securities were our employees, directors or consultants. Appropriate legends were affixed to the securities issued in these transactions.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Exhibit Index attached to this registration statement, which Exhibit Index is incorporated herein by reference.</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1080" w:hanging="532"/>
        <w:spacing w:after="0" w:line="253"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01" w:lineRule="exact"/>
        <w:rPr>
          <w:rFonts w:ascii="Arial" w:cs="Arial" w:eastAsia="Arial" w:hAnsi="Arial"/>
          <w:sz w:val="18"/>
          <w:szCs w:val="18"/>
          <w:color w:val="auto"/>
        </w:rPr>
      </w:pPr>
    </w:p>
    <w:p>
      <w:pPr>
        <w:ind w:left="1080" w:hanging="532"/>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30" w:lineRule="exact"/>
        <w:rPr>
          <w:rFonts w:ascii="Arial" w:cs="Arial" w:eastAsia="Arial" w:hAnsi="Arial"/>
          <w:sz w:val="18"/>
          <w:szCs w:val="18"/>
          <w:color w:val="auto"/>
        </w:rPr>
      </w:pPr>
    </w:p>
    <w:p>
      <w:pPr>
        <w:ind w:left="1540" w:right="40" w:hanging="439"/>
        <w:spacing w:after="0" w:line="259" w:lineRule="auto"/>
        <w:tabs>
          <w:tab w:leader="none" w:pos="1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540" w:right="460" w:hanging="439"/>
        <w:spacing w:after="0" w:line="263" w:lineRule="auto"/>
        <w:tabs>
          <w:tab w:leader="none" w:pos="1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60" w:type="dxa"/>
            <w:vAlign w:val="bottom"/>
          </w:tcPr>
          <w:p>
            <w:pPr>
              <w:ind w:left="260"/>
              <w:spacing w:after="0"/>
              <w:rPr>
                <w:sz w:val="20"/>
                <w:szCs w:val="20"/>
                <w:color w:val="auto"/>
              </w:rPr>
            </w:pPr>
            <w:r>
              <w:rPr>
                <w:rFonts w:ascii="Arial" w:cs="Arial" w:eastAsia="Arial" w:hAnsi="Arial"/>
                <w:sz w:val="18"/>
                <w:szCs w:val="18"/>
                <w:b w:val="1"/>
                <w:bCs w:val="1"/>
                <w:color w:val="auto"/>
              </w:rPr>
              <w:t>EXHIBIT INDEX</w:t>
            </w:r>
          </w:p>
        </w:tc>
      </w:tr>
      <w:tr>
        <w:trPr>
          <w:trHeight w:val="400"/>
        </w:trPr>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67"/>
        </w:trPr>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Number</w:t>
            </w:r>
          </w:p>
        </w:tc>
        <w:tc>
          <w:tcPr>
            <w:tcW w:w="268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color w:val="auto"/>
              </w:rPr>
              <w:t>Exhibit Description</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720" w:type="dxa"/>
            <w:vAlign w:val="bottom"/>
            <w:gridSpan w:val="3"/>
          </w:tcPr>
          <w:p>
            <w:pPr>
              <w:spacing w:after="0"/>
              <w:rPr>
                <w:sz w:val="20"/>
                <w:szCs w:val="20"/>
                <w:color w:val="auto"/>
              </w:rPr>
            </w:pPr>
            <w:r>
              <w:rPr>
                <w:rFonts w:ascii="Arial" w:cs="Arial" w:eastAsia="Arial" w:hAnsi="Arial"/>
                <w:sz w:val="18"/>
                <w:szCs w:val="18"/>
                <w:color w:val="auto"/>
              </w:rPr>
              <w:t>2.1*†</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5"/>
              </w:rPr>
              <w:t>Agreement and Plan of Merger, dated June 1, 2020, by and among the Registrant,</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8"/>
              </w:rPr>
              <w:t>Berries Merger Sub, Inc, BlackThorn Therapeutics, Inc. and Fortis Advisors LLC</w:t>
            </w:r>
          </w:p>
        </w:tc>
      </w:tr>
      <w:tr>
        <w:trPr>
          <w:trHeight w:val="310"/>
        </w:trPr>
        <w:tc>
          <w:tcPr>
            <w:tcW w:w="720" w:type="dxa"/>
            <w:vAlign w:val="bottom"/>
            <w:gridSpan w:val="3"/>
          </w:tcPr>
          <w:p>
            <w:pPr>
              <w:spacing w:after="0"/>
              <w:rPr>
                <w:sz w:val="20"/>
                <w:szCs w:val="20"/>
                <w:color w:val="auto"/>
              </w:rPr>
            </w:pPr>
            <w:r>
              <w:rPr>
                <w:rFonts w:ascii="Arial" w:cs="Arial" w:eastAsia="Arial" w:hAnsi="Arial"/>
                <w:sz w:val="18"/>
                <w:szCs w:val="18"/>
                <w:color w:val="auto"/>
              </w:rPr>
              <w:t>2.2*†</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Agreement and Plan of Merger, dated November 24, 2020, by and among the</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3"/>
              </w:rPr>
              <w:t>Registrant, Alairion Merger Sub I, Inc, Alairion Merger Sub II, LLC, Alairion, Inc. and</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John F. Lee</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4"/>
              </w:rPr>
              <w:t>Amended and Restated Certificate of Incorporation, as amended, currently in effect</w:t>
            </w: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Form of Amended and Restated Certificate of Incorporation, to be in effect</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immediately prior to the completion of this offering</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Bylaws, currently in effect</w:t>
            </w: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9"/>
              </w:rPr>
              <w:t>Form of Amended and Restated Bylaws, to be in effect immediately prior to the</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completion of this offering</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Reference is made to Exhibits 3.1 through 3.4</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Form of Common Stock Certificate</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4"/>
                <w:szCs w:val="24"/>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Opinion of Latham &amp; Watkins LLP</w:t>
            </w:r>
          </w:p>
        </w:tc>
      </w:tr>
      <w:tr>
        <w:trPr>
          <w:trHeight w:val="310"/>
        </w:trPr>
        <w:tc>
          <w:tcPr>
            <w:tcW w:w="54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2"/>
              </w:rPr>
              <w:t>Investors’ Rights Agreement, dated September 8, 2020, by and among the Registrant</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and the investors listed therein</w:t>
            </w:r>
          </w:p>
        </w:tc>
      </w:tr>
      <w:tr>
        <w:trPr>
          <w:trHeight w:val="310"/>
        </w:trPr>
        <w:tc>
          <w:tcPr>
            <w:tcW w:w="720" w:type="dxa"/>
            <w:vAlign w:val="bottom"/>
            <w:gridSpan w:val="3"/>
          </w:tcPr>
          <w:p>
            <w:pPr>
              <w:spacing w:after="0"/>
              <w:rPr>
                <w:sz w:val="20"/>
                <w:szCs w:val="20"/>
                <w:color w:val="auto"/>
              </w:rPr>
            </w:pPr>
            <w:r>
              <w:rPr>
                <w:rFonts w:ascii="Arial" w:cs="Arial" w:eastAsia="Arial" w:hAnsi="Arial"/>
                <w:sz w:val="18"/>
                <w:szCs w:val="18"/>
                <w:color w:val="auto"/>
              </w:rPr>
              <w:t>10.2†</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3"/>
              </w:rPr>
              <w:t>Research Collaboration and License Agreement, dated September 10, 2021, by and</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between the Registrant and Amgen Inc.</w:t>
            </w:r>
          </w:p>
        </w:tc>
      </w:tr>
      <w:tr>
        <w:trPr>
          <w:trHeight w:val="310"/>
        </w:trPr>
        <w:tc>
          <w:tcPr>
            <w:tcW w:w="720" w:type="dxa"/>
            <w:vAlign w:val="bottom"/>
            <w:gridSpan w:val="3"/>
          </w:tcPr>
          <w:p>
            <w:pPr>
              <w:spacing w:after="0"/>
              <w:rPr>
                <w:sz w:val="20"/>
                <w:szCs w:val="20"/>
                <w:color w:val="auto"/>
              </w:rPr>
            </w:pPr>
            <w:r>
              <w:rPr>
                <w:rFonts w:ascii="Arial" w:cs="Arial" w:eastAsia="Arial" w:hAnsi="Arial"/>
                <w:sz w:val="18"/>
                <w:szCs w:val="18"/>
                <w:color w:val="auto"/>
              </w:rPr>
              <w:t>10.3†</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3"/>
              </w:rPr>
              <w:t>Exclusive License Agreement for CK1d, dated September 10, 2021, by and between</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the Registrant and Amgen Inc.</w:t>
            </w:r>
          </w:p>
        </w:tc>
      </w:tr>
      <w:tr>
        <w:trPr>
          <w:trHeight w:val="310"/>
        </w:trPr>
        <w:tc>
          <w:tcPr>
            <w:tcW w:w="720" w:type="dxa"/>
            <w:vAlign w:val="bottom"/>
            <w:gridSpan w:val="3"/>
          </w:tcPr>
          <w:p>
            <w:pPr>
              <w:spacing w:after="0"/>
              <w:rPr>
                <w:sz w:val="20"/>
                <w:szCs w:val="20"/>
                <w:color w:val="auto"/>
              </w:rPr>
            </w:pPr>
            <w:r>
              <w:rPr>
                <w:rFonts w:ascii="Arial" w:cs="Arial" w:eastAsia="Arial" w:hAnsi="Arial"/>
                <w:sz w:val="18"/>
                <w:szCs w:val="18"/>
                <w:color w:val="auto"/>
              </w:rPr>
              <w:t>10.4†</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0"/>
              </w:rPr>
              <w:t>Exclusive License Agreement for GCASE, dated September 10, 2021, by and between</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the Registrant and Amgen Inc.</w:t>
            </w:r>
          </w:p>
        </w:tc>
      </w:tr>
      <w:tr>
        <w:trPr>
          <w:trHeight w:val="310"/>
        </w:trPr>
        <w:tc>
          <w:tcPr>
            <w:tcW w:w="720" w:type="dxa"/>
            <w:vAlign w:val="bottom"/>
            <w:gridSpan w:val="3"/>
          </w:tcPr>
          <w:p>
            <w:pPr>
              <w:spacing w:after="0"/>
              <w:rPr>
                <w:sz w:val="20"/>
                <w:szCs w:val="20"/>
                <w:color w:val="auto"/>
              </w:rPr>
            </w:pPr>
            <w:r>
              <w:rPr>
                <w:rFonts w:ascii="Arial" w:cs="Arial" w:eastAsia="Arial" w:hAnsi="Arial"/>
                <w:sz w:val="18"/>
                <w:szCs w:val="18"/>
                <w:color w:val="auto"/>
              </w:rPr>
              <w:t>10.5(a)†</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License Agreement, dated November 23, 2015, by and between BlackThorn</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Therapeutics, Inc. and Scripps Research Institute</w:t>
            </w:r>
          </w:p>
        </w:tc>
      </w:tr>
      <w:tr>
        <w:trPr>
          <w:trHeight w:val="310"/>
        </w:trPr>
        <w:tc>
          <w:tcPr>
            <w:tcW w:w="720" w:type="dxa"/>
            <w:vAlign w:val="bottom"/>
            <w:gridSpan w:val="3"/>
          </w:tcPr>
          <w:p>
            <w:pPr>
              <w:spacing w:after="0"/>
              <w:rPr>
                <w:sz w:val="20"/>
                <w:szCs w:val="20"/>
                <w:color w:val="auto"/>
              </w:rPr>
            </w:pPr>
            <w:r>
              <w:rPr>
                <w:rFonts w:ascii="Arial" w:cs="Arial" w:eastAsia="Arial" w:hAnsi="Arial"/>
                <w:sz w:val="18"/>
                <w:szCs w:val="18"/>
                <w:color w:val="auto"/>
              </w:rPr>
              <w:t>10.5(b)†</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3"/>
              </w:rPr>
              <w:t>First Amendment to License Agreement, dated November 13, 2017, by and between</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BlackThorn Therapeutics, Inc. and Scripps Research Institute</w:t>
            </w:r>
          </w:p>
        </w:tc>
      </w:tr>
      <w:tr>
        <w:trPr>
          <w:trHeight w:val="310"/>
        </w:trPr>
        <w:tc>
          <w:tcPr>
            <w:tcW w:w="720" w:type="dxa"/>
            <w:vAlign w:val="bottom"/>
            <w:gridSpan w:val="3"/>
          </w:tcPr>
          <w:p>
            <w:pPr>
              <w:spacing w:after="0"/>
              <w:rPr>
                <w:sz w:val="20"/>
                <w:szCs w:val="20"/>
                <w:color w:val="auto"/>
              </w:rPr>
            </w:pPr>
            <w:r>
              <w:rPr>
                <w:rFonts w:ascii="Arial" w:cs="Arial" w:eastAsia="Arial" w:hAnsi="Arial"/>
                <w:sz w:val="18"/>
                <w:szCs w:val="18"/>
                <w:color w:val="auto"/>
              </w:rPr>
              <w:t>10.5(c)†</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7"/>
              </w:rPr>
              <w:t>Second Amendment to License Agreement, dated April 9, 2019, by and between</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BlackThorn Therapeutics, Inc. and Scripps Research Institute</w:t>
            </w:r>
          </w:p>
        </w:tc>
      </w:tr>
      <w:tr>
        <w:trPr>
          <w:trHeight w:val="310"/>
        </w:trPr>
        <w:tc>
          <w:tcPr>
            <w:tcW w:w="720" w:type="dxa"/>
            <w:vAlign w:val="bottom"/>
            <w:gridSpan w:val="3"/>
          </w:tcPr>
          <w:p>
            <w:pPr>
              <w:spacing w:after="0"/>
              <w:rPr>
                <w:sz w:val="20"/>
                <w:szCs w:val="20"/>
                <w:color w:val="auto"/>
              </w:rPr>
            </w:pPr>
            <w:r>
              <w:rPr>
                <w:rFonts w:ascii="Arial" w:cs="Arial" w:eastAsia="Arial" w:hAnsi="Arial"/>
                <w:sz w:val="18"/>
                <w:szCs w:val="18"/>
                <w:color w:val="auto"/>
              </w:rPr>
              <w:t>10.6(a)†</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1"/>
              </w:rPr>
              <w:t>License Agreement, dated June 15, 2020, by and between Syllable Life Sciences, Inc.</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and the President and Fellows of Harvard College</w:t>
            </w:r>
          </w:p>
        </w:tc>
      </w:tr>
      <w:tr>
        <w:trPr>
          <w:trHeight w:val="310"/>
        </w:trPr>
        <w:tc>
          <w:tcPr>
            <w:tcW w:w="720" w:type="dxa"/>
            <w:vAlign w:val="bottom"/>
            <w:gridSpan w:val="3"/>
          </w:tcPr>
          <w:p>
            <w:pPr>
              <w:spacing w:after="0"/>
              <w:rPr>
                <w:sz w:val="20"/>
                <w:szCs w:val="20"/>
                <w:color w:val="auto"/>
              </w:rPr>
            </w:pPr>
            <w:r>
              <w:rPr>
                <w:rFonts w:ascii="Arial" w:cs="Arial" w:eastAsia="Arial" w:hAnsi="Arial"/>
                <w:sz w:val="18"/>
                <w:szCs w:val="18"/>
                <w:color w:val="auto"/>
              </w:rPr>
              <w:t>10.6(b)†</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6"/>
              </w:rPr>
              <w:t>Amendment No. 1 to License Agreement, dated March 31, 2021, by and between</w:t>
            </w:r>
          </w:p>
        </w:tc>
      </w:t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Syllable Life Sciences, Inc. and the President and Fellows of Harvard College</w:t>
            </w:r>
          </w:p>
        </w:tc>
      </w:tr>
    </w:tbl>
    <w:p>
      <w:pPr>
        <w:spacing w:after="0" w:line="13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6"/>
          </w:tcPr>
          <w:p>
            <w:pPr>
              <w:jc w:val="center"/>
              <w:ind w:right="880"/>
              <w:spacing w:after="0"/>
              <w:rPr>
                <w:sz w:val="20"/>
                <w:szCs w:val="20"/>
                <w:color w:val="auto"/>
              </w:rPr>
            </w:pPr>
            <w:r>
              <w:rPr>
                <w:rFonts w:ascii="Arial" w:cs="Arial" w:eastAsia="Arial" w:hAnsi="Arial"/>
                <w:sz w:val="14"/>
                <w:szCs w:val="14"/>
                <w:color w:val="auto"/>
                <w:w w:val="92"/>
              </w:rPr>
              <w:t>Incorporated by Reference</w:t>
            </w:r>
          </w:p>
        </w:tc>
        <w:tc>
          <w:tcPr>
            <w:tcW w:w="540" w:type="dxa"/>
            <w:vAlign w:val="bottom"/>
          </w:tcPr>
          <w:p>
            <w:pPr>
              <w:jc w:val="center"/>
              <w:spacing w:after="0"/>
              <w:rPr>
                <w:sz w:val="20"/>
                <w:szCs w:val="20"/>
                <w:color w:val="auto"/>
              </w:rPr>
            </w:pPr>
            <w:r>
              <w:rPr>
                <w:rFonts w:ascii="Arial" w:cs="Arial" w:eastAsia="Arial" w:hAnsi="Arial"/>
                <w:sz w:val="14"/>
                <w:szCs w:val="14"/>
                <w:color w:val="auto"/>
                <w:w w:val="98"/>
              </w:rPr>
              <w:t>Filed</w:t>
            </w:r>
          </w:p>
        </w:tc>
      </w:tr>
      <w:tr>
        <w:trPr>
          <w:trHeight w:val="142"/>
        </w:trPr>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1"/>
              </w:rPr>
              <w:t>Form</w:t>
            </w:r>
          </w:p>
        </w:tc>
        <w:tc>
          <w:tcPr>
            <w:tcW w:w="6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Date</w:t>
            </w:r>
          </w:p>
        </w:tc>
        <w:tc>
          <w:tcPr>
            <w:tcW w:w="1200" w:type="dxa"/>
            <w:vAlign w:val="bottom"/>
            <w:tcBorders>
              <w:top w:val="single" w:sz="8" w:color="auto"/>
            </w:tcBorders>
            <w:gridSpan w:val="3"/>
          </w:tcPr>
          <w:p>
            <w:pPr>
              <w:ind w:left="600"/>
              <w:spacing w:after="0" w:line="142" w:lineRule="exact"/>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color w:val="auto"/>
                <w:w w:val="97"/>
              </w:rPr>
              <w:t>Herewith</w:t>
            </w:r>
          </w:p>
        </w:tc>
      </w:tr>
      <w:tr>
        <w:trPr>
          <w:trHeight w:val="20"/>
        </w:trPr>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ectPr>
          <w:pgSz w:w="11900" w:h="16838" w:orient="portrait"/>
          <w:cols w:equalWidth="0" w:num="2">
            <w:col w:w="7220" w:space="220"/>
            <w:col w:w="3580"/>
          </w:cols>
          <w:pgMar w:left="320" w:top="459" w:right="55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6"/>
          </w:tcPr>
          <w:p>
            <w:pPr>
              <w:jc w:val="center"/>
              <w:ind w:right="860"/>
              <w:spacing w:after="0"/>
              <w:rPr>
                <w:sz w:val="20"/>
                <w:szCs w:val="20"/>
                <w:color w:val="auto"/>
              </w:rPr>
            </w:pPr>
            <w:r>
              <w:rPr>
                <w:rFonts w:ascii="Arial" w:cs="Arial" w:eastAsia="Arial" w:hAnsi="Arial"/>
                <w:sz w:val="14"/>
                <w:szCs w:val="14"/>
                <w:color w:val="auto"/>
                <w:w w:val="92"/>
              </w:rPr>
              <w:t>Incorporated by Reference</w:t>
            </w:r>
          </w:p>
        </w:tc>
        <w:tc>
          <w:tcPr>
            <w:tcW w:w="540" w:type="dxa"/>
            <w:vAlign w:val="bottom"/>
          </w:tcPr>
          <w:p>
            <w:pPr>
              <w:jc w:val="center"/>
              <w:spacing w:after="0"/>
              <w:rPr>
                <w:sz w:val="20"/>
                <w:szCs w:val="20"/>
                <w:color w:val="auto"/>
              </w:rPr>
            </w:pPr>
            <w:r>
              <w:rPr>
                <w:rFonts w:ascii="Arial" w:cs="Arial" w:eastAsia="Arial" w:hAnsi="Arial"/>
                <w:sz w:val="14"/>
                <w:szCs w:val="14"/>
                <w:color w:val="auto"/>
                <w:w w:val="98"/>
              </w:rPr>
              <w:t>Filed</w:t>
            </w:r>
          </w:p>
        </w:tc>
      </w:tr>
      <w:tr>
        <w:trPr>
          <w:trHeight w:val="142"/>
        </w:trPr>
        <w:tc>
          <w:tcPr>
            <w:tcW w:w="1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rPr>
              <w:t>Number</w:t>
            </w:r>
          </w:p>
        </w:tc>
        <w:tc>
          <w:tcPr>
            <w:tcW w:w="6540" w:type="dxa"/>
            <w:vAlign w:val="bottom"/>
            <w:gridSpan w:val="3"/>
          </w:tcPr>
          <w:p>
            <w:pPr>
              <w:ind w:left="2640"/>
              <w:spacing w:after="0" w:line="142" w:lineRule="exact"/>
              <w:rPr>
                <w:sz w:val="20"/>
                <w:szCs w:val="20"/>
                <w:color w:val="auto"/>
              </w:rPr>
            </w:pPr>
            <w:r>
              <w:rPr>
                <w:rFonts w:ascii="Arial" w:cs="Arial" w:eastAsia="Arial" w:hAnsi="Arial"/>
                <w:sz w:val="14"/>
                <w:szCs w:val="14"/>
                <w:color w:val="auto"/>
              </w:rPr>
              <w:t>Exhibit Description</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1"/>
              </w:rPr>
              <w:t>Form</w:t>
            </w:r>
          </w:p>
        </w:tc>
        <w:tc>
          <w:tcPr>
            <w:tcW w:w="960" w:type="dxa"/>
            <w:vAlign w:val="bottom"/>
            <w:tcBorders>
              <w:top w:val="single" w:sz="8" w:color="auto"/>
            </w:tcBorders>
            <w:gridSpan w:val="2"/>
          </w:tcPr>
          <w:p>
            <w:pPr>
              <w:jc w:val="center"/>
              <w:ind w:left="588"/>
              <w:spacing w:after="0" w:line="142" w:lineRule="exact"/>
              <w:rPr>
                <w:sz w:val="20"/>
                <w:szCs w:val="20"/>
                <w:color w:val="auto"/>
              </w:rPr>
            </w:pPr>
            <w:r>
              <w:rPr>
                <w:rFonts w:ascii="Arial" w:cs="Arial" w:eastAsia="Arial" w:hAnsi="Arial"/>
                <w:sz w:val="14"/>
                <w:szCs w:val="14"/>
                <w:color w:val="auto"/>
                <w:w w:val="87"/>
              </w:rPr>
              <w:t>Date</w:t>
            </w:r>
          </w:p>
        </w:tc>
        <w:tc>
          <w:tcPr>
            <w:tcW w:w="1200" w:type="dxa"/>
            <w:vAlign w:val="bottom"/>
            <w:tcBorders>
              <w:top w:val="single" w:sz="8" w:color="auto"/>
            </w:tcBorders>
            <w:gridSpan w:val="3"/>
          </w:tcPr>
          <w:p>
            <w:pPr>
              <w:ind w:left="580"/>
              <w:spacing w:after="0" w:line="142"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color w:val="auto"/>
                <w:w w:val="97"/>
              </w:rPr>
              <w:t>Herewith</w:t>
            </w: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303"/>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Lease, dated September 16, 2020, by and between the Registrant and BRE-BMR</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Grove LLC</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10.8(a)*#</w:t>
            </w: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2020 Equity Incentive Plan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10.8(b)*#</w:t>
            </w: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Form of Stock Option Agreement under the 2020 Equity Incentive Plan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10.8(c)*#</w:t>
            </w: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w w:val="98"/>
              </w:rPr>
              <w:t>Form of Restricted Stock Purchase Agreement under the 2020 Equity Incentive Plan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10.9(a)*#</w:t>
            </w: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2022 Incentive Award Plan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0"/>
        </w:trPr>
        <w:tc>
          <w:tcPr>
            <w:tcW w:w="800" w:type="dxa"/>
            <w:vAlign w:val="bottom"/>
            <w:gridSpan w:val="3"/>
          </w:tcPr>
          <w:p>
            <w:pPr>
              <w:spacing w:after="0"/>
              <w:rPr>
                <w:sz w:val="20"/>
                <w:szCs w:val="20"/>
                <w:color w:val="auto"/>
              </w:rPr>
            </w:pPr>
            <w:r>
              <w:rPr>
                <w:rFonts w:ascii="Arial" w:cs="Arial" w:eastAsia="Arial" w:hAnsi="Arial"/>
                <w:sz w:val="18"/>
                <w:szCs w:val="18"/>
                <w:color w:val="auto"/>
              </w:rPr>
              <w:t>10.9(b)*#</w:t>
            </w: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Form of Stock Option Grant Notice and Stock Option Agreement under the 2022</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Incentive Award Plan</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10"/>
        </w:trPr>
        <w:tc>
          <w:tcPr>
            <w:tcW w:w="800" w:type="dxa"/>
            <w:vAlign w:val="bottom"/>
            <w:gridSpan w:val="3"/>
          </w:tcPr>
          <w:p>
            <w:pPr>
              <w:spacing w:after="0"/>
              <w:rPr>
                <w:sz w:val="20"/>
                <w:szCs w:val="20"/>
                <w:color w:val="auto"/>
              </w:rPr>
            </w:pPr>
            <w:r>
              <w:rPr>
                <w:rFonts w:ascii="Arial" w:cs="Arial" w:eastAsia="Arial" w:hAnsi="Arial"/>
                <w:sz w:val="18"/>
                <w:szCs w:val="18"/>
                <w:color w:val="auto"/>
              </w:rPr>
              <w:t>10.9(c)*#</w:t>
            </w: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w w:val="97"/>
              </w:rPr>
              <w:t>Form of Restricted Stock Award Grant Notice and Restricted Stock Award Agreement</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under the 2022 Incentive Award Plan</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10"/>
        </w:trPr>
        <w:tc>
          <w:tcPr>
            <w:tcW w:w="800" w:type="dxa"/>
            <w:vAlign w:val="bottom"/>
            <w:gridSpan w:val="3"/>
          </w:tcPr>
          <w:p>
            <w:pPr>
              <w:spacing w:after="0"/>
              <w:rPr>
                <w:sz w:val="20"/>
                <w:szCs w:val="20"/>
                <w:color w:val="auto"/>
              </w:rPr>
            </w:pPr>
            <w:r>
              <w:rPr>
                <w:rFonts w:ascii="Arial" w:cs="Arial" w:eastAsia="Arial" w:hAnsi="Arial"/>
                <w:sz w:val="18"/>
                <w:szCs w:val="18"/>
                <w:color w:val="auto"/>
              </w:rPr>
              <w:t>10.9(d)*#</w:t>
            </w: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Form of Restricted Stock Unit Award Grant Notice and Restricted Stock Unit Award</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Agreement under the 2022 Incentive Award Plan</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10.10*#</w:t>
            </w:r>
          </w:p>
        </w:tc>
        <w:tc>
          <w:tcPr>
            <w:tcW w:w="220" w:type="dxa"/>
            <w:vAlign w:val="bottom"/>
          </w:tcPr>
          <w:p>
            <w:pPr>
              <w:spacing w:after="0"/>
              <w:rPr>
                <w:sz w:val="24"/>
                <w:szCs w:val="24"/>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Employee Stock Purchase Plan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10.11*#</w:t>
            </w:r>
          </w:p>
        </w:tc>
        <w:tc>
          <w:tcPr>
            <w:tcW w:w="220" w:type="dxa"/>
            <w:vAlign w:val="bottom"/>
          </w:tcPr>
          <w:p>
            <w:pPr>
              <w:spacing w:after="0"/>
              <w:rPr>
                <w:sz w:val="24"/>
                <w:szCs w:val="24"/>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Employment Agreement by and between the Registrant and Paul Berns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10.12*#</w:t>
            </w:r>
          </w:p>
        </w:tc>
        <w:tc>
          <w:tcPr>
            <w:tcW w:w="220" w:type="dxa"/>
            <w:vAlign w:val="bottom"/>
          </w:tcPr>
          <w:p>
            <w:pPr>
              <w:spacing w:after="0"/>
              <w:rPr>
                <w:sz w:val="24"/>
                <w:szCs w:val="24"/>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Employment Agreement by and between the Registrant and Lori Lyons-Williams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10.13*#</w:t>
            </w:r>
          </w:p>
        </w:tc>
        <w:tc>
          <w:tcPr>
            <w:tcW w:w="220" w:type="dxa"/>
            <w:vAlign w:val="bottom"/>
          </w:tcPr>
          <w:p>
            <w:pPr>
              <w:spacing w:after="0"/>
              <w:rPr>
                <w:sz w:val="24"/>
                <w:szCs w:val="24"/>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Employment Agreement by and between the Registrant and Joshua Pinto, Ph.D.</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10.19*#</w:t>
            </w:r>
          </w:p>
        </w:tc>
        <w:tc>
          <w:tcPr>
            <w:tcW w:w="220" w:type="dxa"/>
            <w:vAlign w:val="bottom"/>
          </w:tcPr>
          <w:p>
            <w:pPr>
              <w:spacing w:after="0"/>
              <w:rPr>
                <w:sz w:val="24"/>
                <w:szCs w:val="24"/>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Non-Employee Director Compensation Program</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4"/>
                <w:szCs w:val="24"/>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Form of Indemnification and Advancement Agreement for directors and officers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0"/>
        </w:trPr>
        <w:tc>
          <w:tcPr>
            <w:tcW w:w="800" w:type="dxa"/>
            <w:vAlign w:val="bottom"/>
            <w:gridSpan w:val="3"/>
          </w:tcPr>
          <w:p>
            <w:pPr>
              <w:spacing w:after="0"/>
              <w:rPr>
                <w:sz w:val="20"/>
                <w:szCs w:val="20"/>
                <w:color w:val="auto"/>
              </w:rPr>
            </w:pPr>
            <w:r>
              <w:rPr>
                <w:rFonts w:ascii="Arial" w:cs="Arial" w:eastAsia="Arial" w:hAnsi="Arial"/>
                <w:sz w:val="18"/>
                <w:szCs w:val="18"/>
                <w:color w:val="auto"/>
              </w:rPr>
              <w:t>10.21*†</w:t>
            </w: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License Agreement, dated February 10, 2022, by and between the Registrant and</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Vanderbilt University</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3"/>
        </w:trPr>
        <w:tc>
          <w:tcPr>
            <w:tcW w:w="800" w:type="dxa"/>
            <w:vAlign w:val="bottom"/>
            <w:gridSpan w:val="3"/>
          </w:tcPr>
          <w:p>
            <w:pPr>
              <w:spacing w:after="0"/>
              <w:rPr>
                <w:sz w:val="20"/>
                <w:szCs w:val="20"/>
                <w:color w:val="auto"/>
              </w:rPr>
            </w:pPr>
            <w:r>
              <w:rPr>
                <w:rFonts w:ascii="Arial" w:cs="Arial" w:eastAsia="Arial" w:hAnsi="Arial"/>
                <w:sz w:val="18"/>
                <w:szCs w:val="18"/>
                <w:color w:val="auto"/>
              </w:rPr>
              <w:t>10.22*†</w:t>
            </w: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Sponsored Research Agreement, dated February 10, 2022, by and between the</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Registrant and Vanderbilt University</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4"/>
                <w:szCs w:val="24"/>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List of subsidiaries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4"/>
                <w:szCs w:val="24"/>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Consent of Latham &amp; Watkins LLP (included in Exhibit 5.1)</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Power of Attorney (reference is made to the signature page to the Registration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Statement)</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6760" w:type="dxa"/>
            <w:vAlign w:val="bottom"/>
            <w:gridSpan w:val="4"/>
          </w:tcPr>
          <w:p>
            <w:pPr>
              <w:ind w:left="100"/>
              <w:spacing w:after="0"/>
              <w:rPr>
                <w:sz w:val="20"/>
                <w:szCs w:val="20"/>
                <w:color w:val="auto"/>
              </w:rPr>
            </w:pPr>
            <w:r>
              <w:rPr>
                <w:rFonts w:ascii="Arial" w:cs="Arial" w:eastAsia="Arial" w:hAnsi="Arial"/>
                <w:sz w:val="18"/>
                <w:szCs w:val="18"/>
                <w:color w:val="auto"/>
              </w:rPr>
              <w:t>Filing Fee Table</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29" w:lineRule="exact"/>
        <w:rPr>
          <w:sz w:val="20"/>
          <w:szCs w:val="20"/>
          <w:color w:val="auto"/>
        </w:rPr>
      </w:pPr>
    </w:p>
    <w:p>
      <w:pPr>
        <w:ind w:left="540" w:hanging="424"/>
        <w:spacing w:after="0"/>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540" w:hanging="424"/>
        <w:spacing w:after="0"/>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jc w:val="center"/>
        <w:ind w:left="5480" w:hanging="5364"/>
        <w:spacing w:after="0" w:line="433" w:lineRule="auto"/>
        <w:tabs>
          <w:tab w:leader="none" w:pos="53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Certain portions of this document that constitute confidential information have been redacted in accordance with Regulation S-K, Item 601(b)(10). II-5</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w w:val="95"/>
              </w:rPr>
              <w:t>the undersigned, thereunto duly authorized, in the City of Watertown, State of Massachusetts, on the  day of</w:t>
            </w:r>
          </w:p>
        </w:tc>
        <w:tc>
          <w:tcPr>
            <w:tcW w:w="880" w:type="dxa"/>
            <w:vAlign w:val="bottom"/>
          </w:tcPr>
          <w:p>
            <w:pPr>
              <w:jc w:val="right"/>
              <w:spacing w:after="0"/>
              <w:rPr>
                <w:sz w:val="20"/>
                <w:szCs w:val="20"/>
                <w:color w:val="auto"/>
              </w:rPr>
            </w:pPr>
            <w:r>
              <w:rPr>
                <w:rFonts w:ascii="Arial" w:cs="Arial" w:eastAsia="Arial" w:hAnsi="Arial"/>
                <w:sz w:val="18"/>
                <w:szCs w:val="18"/>
                <w:color w:val="auto"/>
              </w:rPr>
              <w:t>, 2022.</w:t>
            </w:r>
          </w:p>
        </w:tc>
      </w:tr>
    </w:tbl>
    <w:p>
      <w:pPr>
        <w:spacing w:after="0" w:line="21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NEUMORA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Paul Berns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Paul Berns and Joshua Pinto, Ph.D.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6"/>
                <w:szCs w:val="16"/>
                <w:color w:val="auto"/>
              </w:rPr>
            </w:pPr>
          </w:p>
        </w:tc>
        <w:tc>
          <w:tcPr>
            <w:tcW w:w="206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Date</w:t>
            </w:r>
          </w:p>
        </w:tc>
      </w:tr>
      <w:tr>
        <w:trPr>
          <w:trHeight w:val="304"/>
        </w:trPr>
        <w:tc>
          <w:tcPr>
            <w:tcW w:w="4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Executive Officer and Director</w:t>
            </w:r>
          </w:p>
        </w:tc>
        <w:tc>
          <w:tcPr>
            <w:tcW w:w="2060" w:type="dxa"/>
            <w:vAlign w:val="bottom"/>
          </w:tcPr>
          <w:p>
            <w:pPr>
              <w:jc w:val="right"/>
              <w:ind w:right="352"/>
              <w:spacing w:after="0"/>
              <w:rPr>
                <w:sz w:val="20"/>
                <w:szCs w:val="20"/>
                <w:color w:val="auto"/>
              </w:rPr>
            </w:pPr>
            <w:r>
              <w:rPr>
                <w:rFonts w:ascii="Arial" w:cs="Arial" w:eastAsia="Arial" w:hAnsi="Arial"/>
                <w:sz w:val="18"/>
                <w:szCs w:val="18"/>
                <w:color w:val="auto"/>
              </w:rPr>
              <w:t>, 2022</w:t>
            </w:r>
          </w:p>
        </w:tc>
      </w:tr>
      <w:tr>
        <w:trPr>
          <w:trHeight w:val="224"/>
        </w:trPr>
        <w:tc>
          <w:tcPr>
            <w:tcW w:w="4540" w:type="dxa"/>
            <w:vAlign w:val="bottom"/>
          </w:tcPr>
          <w:p>
            <w:pPr>
              <w:jc w:val="center"/>
              <w:spacing w:after="0"/>
              <w:rPr>
                <w:sz w:val="20"/>
                <w:szCs w:val="20"/>
                <w:color w:val="auto"/>
              </w:rPr>
            </w:pPr>
            <w:r>
              <w:rPr>
                <w:rFonts w:ascii="Arial" w:cs="Arial" w:eastAsia="Arial" w:hAnsi="Arial"/>
                <w:sz w:val="18"/>
                <w:szCs w:val="18"/>
                <w:color w:val="auto"/>
                <w:w w:val="88"/>
              </w:rPr>
              <w:t>Paul Berns</w:t>
            </w:r>
          </w:p>
        </w:tc>
        <w:tc>
          <w:tcPr>
            <w:tcW w:w="120" w:type="dxa"/>
            <w:vAlign w:val="bottom"/>
          </w:tcPr>
          <w:p>
            <w:pPr>
              <w:spacing w:after="0"/>
              <w:rPr>
                <w:sz w:val="19"/>
                <w:szCs w:val="19"/>
                <w:color w:val="auto"/>
              </w:rPr>
            </w:pPr>
          </w:p>
        </w:tc>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executive officer)</w:t>
            </w:r>
          </w:p>
        </w:tc>
        <w:tc>
          <w:tcPr>
            <w:tcW w:w="2060" w:type="dxa"/>
            <w:vAlign w:val="bottom"/>
          </w:tcPr>
          <w:p>
            <w:pPr>
              <w:spacing w:after="0"/>
              <w:rPr>
                <w:sz w:val="19"/>
                <w:szCs w:val="19"/>
                <w:color w:val="auto"/>
              </w:rPr>
            </w:pPr>
          </w:p>
        </w:tc>
      </w:tr>
      <w:tr>
        <w:trPr>
          <w:trHeight w:val="323"/>
        </w:trPr>
        <w:tc>
          <w:tcPr>
            <w:tcW w:w="4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 (principal</w:t>
            </w:r>
          </w:p>
        </w:tc>
        <w:tc>
          <w:tcPr>
            <w:tcW w:w="2060" w:type="dxa"/>
            <w:vAlign w:val="bottom"/>
          </w:tcPr>
          <w:p>
            <w:pPr>
              <w:jc w:val="right"/>
              <w:ind w:right="352"/>
              <w:spacing w:after="0"/>
              <w:rPr>
                <w:sz w:val="20"/>
                <w:szCs w:val="20"/>
                <w:color w:val="auto"/>
              </w:rPr>
            </w:pPr>
            <w:r>
              <w:rPr>
                <w:rFonts w:ascii="Arial" w:cs="Arial" w:eastAsia="Arial" w:hAnsi="Arial"/>
                <w:sz w:val="18"/>
                <w:szCs w:val="18"/>
                <w:color w:val="auto"/>
              </w:rPr>
              <w:t>, 2022</w:t>
            </w:r>
          </w:p>
        </w:tc>
      </w:tr>
      <w:tr>
        <w:trPr>
          <w:trHeight w:val="224"/>
        </w:trPr>
        <w:tc>
          <w:tcPr>
            <w:tcW w:w="4540" w:type="dxa"/>
            <w:vAlign w:val="bottom"/>
          </w:tcPr>
          <w:p>
            <w:pPr>
              <w:jc w:val="center"/>
              <w:spacing w:after="0"/>
              <w:rPr>
                <w:sz w:val="20"/>
                <w:szCs w:val="20"/>
                <w:color w:val="auto"/>
              </w:rPr>
            </w:pPr>
            <w:r>
              <w:rPr>
                <w:rFonts w:ascii="Arial" w:cs="Arial" w:eastAsia="Arial" w:hAnsi="Arial"/>
                <w:sz w:val="18"/>
                <w:szCs w:val="18"/>
                <w:color w:val="auto"/>
                <w:w w:val="89"/>
              </w:rPr>
              <w:t>Joshua Pinto, Ph.D.</w:t>
            </w:r>
          </w:p>
        </w:tc>
        <w:tc>
          <w:tcPr>
            <w:tcW w:w="120" w:type="dxa"/>
            <w:vAlign w:val="bottom"/>
          </w:tcPr>
          <w:p>
            <w:pPr>
              <w:spacing w:after="0"/>
              <w:rPr>
                <w:sz w:val="19"/>
                <w:szCs w:val="19"/>
                <w:color w:val="auto"/>
              </w:rPr>
            </w:pPr>
          </w:p>
        </w:tc>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financial officer)</w:t>
            </w:r>
          </w:p>
        </w:tc>
        <w:tc>
          <w:tcPr>
            <w:tcW w:w="2060" w:type="dxa"/>
            <w:vAlign w:val="bottom"/>
          </w:tcPr>
          <w:p>
            <w:pPr>
              <w:spacing w:after="0"/>
              <w:rPr>
                <w:sz w:val="19"/>
                <w:szCs w:val="19"/>
                <w:color w:val="auto"/>
              </w:rPr>
            </w:pPr>
          </w:p>
        </w:tc>
      </w:tr>
      <w:tr>
        <w:trPr>
          <w:trHeight w:val="323"/>
        </w:trPr>
        <w:tc>
          <w:tcPr>
            <w:tcW w:w="4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Accounting Officer</w:t>
            </w:r>
          </w:p>
        </w:tc>
        <w:tc>
          <w:tcPr>
            <w:tcW w:w="2060" w:type="dxa"/>
            <w:vAlign w:val="bottom"/>
          </w:tcPr>
          <w:p>
            <w:pPr>
              <w:jc w:val="right"/>
              <w:ind w:right="352"/>
              <w:spacing w:after="0"/>
              <w:rPr>
                <w:sz w:val="20"/>
                <w:szCs w:val="20"/>
                <w:color w:val="auto"/>
              </w:rPr>
            </w:pPr>
            <w:r>
              <w:rPr>
                <w:rFonts w:ascii="Arial" w:cs="Arial" w:eastAsia="Arial" w:hAnsi="Arial"/>
                <w:sz w:val="18"/>
                <w:szCs w:val="18"/>
                <w:color w:val="auto"/>
              </w:rPr>
              <w:t>, 2022</w:t>
            </w:r>
          </w:p>
        </w:tc>
      </w:tr>
      <w:tr>
        <w:trPr>
          <w:trHeight w:val="224"/>
        </w:trPr>
        <w:tc>
          <w:tcPr>
            <w:tcW w:w="4540" w:type="dxa"/>
            <w:vAlign w:val="bottom"/>
          </w:tcPr>
          <w:p>
            <w:pPr>
              <w:jc w:val="center"/>
              <w:spacing w:after="0"/>
              <w:rPr>
                <w:sz w:val="20"/>
                <w:szCs w:val="20"/>
                <w:color w:val="auto"/>
              </w:rPr>
            </w:pPr>
            <w:r>
              <w:rPr>
                <w:rFonts w:ascii="Arial" w:cs="Arial" w:eastAsia="Arial" w:hAnsi="Arial"/>
                <w:sz w:val="18"/>
                <w:szCs w:val="18"/>
                <w:color w:val="auto"/>
                <w:w w:val="98"/>
              </w:rPr>
              <w:t>Michael Milligan</w:t>
            </w: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4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right"/>
              <w:ind w:right="352"/>
              <w:spacing w:after="0"/>
              <w:rPr>
                <w:sz w:val="20"/>
                <w:szCs w:val="20"/>
                <w:color w:val="auto"/>
              </w:rPr>
            </w:pPr>
            <w:r>
              <w:rPr>
                <w:rFonts w:ascii="Arial" w:cs="Arial" w:eastAsia="Arial" w:hAnsi="Arial"/>
                <w:sz w:val="18"/>
                <w:szCs w:val="18"/>
                <w:color w:val="auto"/>
              </w:rPr>
              <w:t>, 2022</w:t>
            </w:r>
          </w:p>
        </w:tc>
      </w:tr>
      <w:tr>
        <w:trPr>
          <w:trHeight w:val="224"/>
        </w:trPr>
        <w:tc>
          <w:tcPr>
            <w:tcW w:w="4540" w:type="dxa"/>
            <w:vAlign w:val="bottom"/>
          </w:tcPr>
          <w:p>
            <w:pPr>
              <w:jc w:val="center"/>
              <w:spacing w:after="0"/>
              <w:rPr>
                <w:sz w:val="20"/>
                <w:szCs w:val="20"/>
                <w:color w:val="auto"/>
              </w:rPr>
            </w:pPr>
            <w:r>
              <w:rPr>
                <w:rFonts w:ascii="Arial" w:cs="Arial" w:eastAsia="Arial" w:hAnsi="Arial"/>
                <w:sz w:val="18"/>
                <w:szCs w:val="18"/>
                <w:color w:val="auto"/>
                <w:w w:val="97"/>
              </w:rPr>
              <w:t>Kristina M. Burow</w:t>
            </w: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4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right"/>
              <w:ind w:right="352"/>
              <w:spacing w:after="0"/>
              <w:rPr>
                <w:sz w:val="20"/>
                <w:szCs w:val="20"/>
                <w:color w:val="auto"/>
              </w:rPr>
            </w:pPr>
            <w:r>
              <w:rPr>
                <w:rFonts w:ascii="Arial" w:cs="Arial" w:eastAsia="Arial" w:hAnsi="Arial"/>
                <w:sz w:val="18"/>
                <w:szCs w:val="18"/>
                <w:color w:val="auto"/>
              </w:rPr>
              <w:t>, 2022</w:t>
            </w:r>
          </w:p>
        </w:tc>
      </w:tr>
      <w:tr>
        <w:trPr>
          <w:trHeight w:val="224"/>
        </w:trPr>
        <w:tc>
          <w:tcPr>
            <w:tcW w:w="4540" w:type="dxa"/>
            <w:vAlign w:val="bottom"/>
          </w:tcPr>
          <w:p>
            <w:pPr>
              <w:jc w:val="center"/>
              <w:spacing w:after="0"/>
              <w:rPr>
                <w:sz w:val="20"/>
                <w:szCs w:val="20"/>
                <w:color w:val="auto"/>
              </w:rPr>
            </w:pPr>
            <w:r>
              <w:rPr>
                <w:rFonts w:ascii="Arial" w:cs="Arial" w:eastAsia="Arial" w:hAnsi="Arial"/>
                <w:sz w:val="18"/>
                <w:szCs w:val="18"/>
                <w:color w:val="auto"/>
                <w:w w:val="90"/>
              </w:rPr>
              <w:t>Matthew Fust</w:t>
            </w: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4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right"/>
              <w:ind w:right="352"/>
              <w:spacing w:after="0"/>
              <w:rPr>
                <w:sz w:val="20"/>
                <w:szCs w:val="20"/>
                <w:color w:val="auto"/>
              </w:rPr>
            </w:pPr>
            <w:r>
              <w:rPr>
                <w:rFonts w:ascii="Arial" w:cs="Arial" w:eastAsia="Arial" w:hAnsi="Arial"/>
                <w:sz w:val="18"/>
                <w:szCs w:val="18"/>
                <w:color w:val="auto"/>
              </w:rPr>
              <w:t>, 2022</w:t>
            </w:r>
          </w:p>
        </w:tc>
      </w:tr>
      <w:tr>
        <w:trPr>
          <w:trHeight w:val="224"/>
        </w:trPr>
        <w:tc>
          <w:tcPr>
            <w:tcW w:w="4540" w:type="dxa"/>
            <w:vAlign w:val="bottom"/>
          </w:tcPr>
          <w:p>
            <w:pPr>
              <w:jc w:val="center"/>
              <w:spacing w:after="0"/>
              <w:rPr>
                <w:sz w:val="20"/>
                <w:szCs w:val="20"/>
                <w:color w:val="auto"/>
              </w:rPr>
            </w:pPr>
            <w:r>
              <w:rPr>
                <w:rFonts w:ascii="Arial" w:cs="Arial" w:eastAsia="Arial" w:hAnsi="Arial"/>
                <w:sz w:val="18"/>
                <w:szCs w:val="18"/>
                <w:color w:val="auto"/>
                <w:w w:val="95"/>
              </w:rPr>
              <w:t>Maykin Ho, Ph.D.</w:t>
            </w: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4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right"/>
              <w:ind w:right="352"/>
              <w:spacing w:after="0"/>
              <w:rPr>
                <w:sz w:val="20"/>
                <w:szCs w:val="20"/>
                <w:color w:val="auto"/>
              </w:rPr>
            </w:pPr>
            <w:r>
              <w:rPr>
                <w:rFonts w:ascii="Arial" w:cs="Arial" w:eastAsia="Arial" w:hAnsi="Arial"/>
                <w:sz w:val="18"/>
                <w:szCs w:val="18"/>
                <w:color w:val="auto"/>
              </w:rPr>
              <w:t>, 2022</w:t>
            </w:r>
          </w:p>
        </w:tc>
      </w:tr>
      <w:tr>
        <w:trPr>
          <w:trHeight w:val="224"/>
        </w:trPr>
        <w:tc>
          <w:tcPr>
            <w:tcW w:w="4540" w:type="dxa"/>
            <w:vAlign w:val="bottom"/>
          </w:tcPr>
          <w:p>
            <w:pPr>
              <w:jc w:val="center"/>
              <w:spacing w:after="0"/>
              <w:rPr>
                <w:sz w:val="20"/>
                <w:szCs w:val="20"/>
                <w:color w:val="auto"/>
              </w:rPr>
            </w:pPr>
            <w:r>
              <w:rPr>
                <w:rFonts w:ascii="Arial" w:cs="Arial" w:eastAsia="Arial" w:hAnsi="Arial"/>
                <w:sz w:val="18"/>
                <w:szCs w:val="18"/>
                <w:color w:val="auto"/>
                <w:w w:val="88"/>
              </w:rPr>
              <w:t>Robert Nelsen</w:t>
            </w: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4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right"/>
              <w:ind w:right="352"/>
              <w:spacing w:after="0"/>
              <w:rPr>
                <w:sz w:val="20"/>
                <w:szCs w:val="20"/>
                <w:color w:val="auto"/>
              </w:rPr>
            </w:pPr>
            <w:r>
              <w:rPr>
                <w:rFonts w:ascii="Arial" w:cs="Arial" w:eastAsia="Arial" w:hAnsi="Arial"/>
                <w:sz w:val="18"/>
                <w:szCs w:val="18"/>
                <w:color w:val="auto"/>
              </w:rPr>
              <w:t>, 2022</w:t>
            </w:r>
          </w:p>
        </w:tc>
      </w:tr>
      <w:tr>
        <w:trPr>
          <w:trHeight w:val="224"/>
        </w:trPr>
        <w:tc>
          <w:tcPr>
            <w:tcW w:w="4540" w:type="dxa"/>
            <w:vAlign w:val="bottom"/>
          </w:tcPr>
          <w:p>
            <w:pPr>
              <w:jc w:val="center"/>
              <w:spacing w:after="0"/>
              <w:rPr>
                <w:sz w:val="20"/>
                <w:szCs w:val="20"/>
                <w:color w:val="auto"/>
              </w:rPr>
            </w:pPr>
            <w:r>
              <w:rPr>
                <w:rFonts w:ascii="Arial" w:cs="Arial" w:eastAsia="Arial" w:hAnsi="Arial"/>
                <w:sz w:val="18"/>
                <w:szCs w:val="18"/>
                <w:color w:val="auto"/>
                <w:w w:val="92"/>
              </w:rPr>
              <w:t>Kári Stefánsson, M.D.</w:t>
            </w: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23"/>
        </w:trPr>
        <w:tc>
          <w:tcPr>
            <w:tcW w:w="4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right"/>
              <w:ind w:right="352"/>
              <w:spacing w:after="0"/>
              <w:rPr>
                <w:sz w:val="20"/>
                <w:szCs w:val="20"/>
                <w:color w:val="auto"/>
              </w:rPr>
            </w:pPr>
            <w:r>
              <w:rPr>
                <w:rFonts w:ascii="Arial" w:cs="Arial" w:eastAsia="Arial" w:hAnsi="Arial"/>
                <w:sz w:val="18"/>
                <w:szCs w:val="18"/>
                <w:color w:val="auto"/>
              </w:rPr>
              <w:t>, 2022</w:t>
            </w:r>
          </w:p>
        </w:tc>
      </w:tr>
      <w:tr>
        <w:trPr>
          <w:trHeight w:val="224"/>
        </w:trPr>
        <w:tc>
          <w:tcPr>
            <w:tcW w:w="4540" w:type="dxa"/>
            <w:vAlign w:val="bottom"/>
          </w:tcPr>
          <w:p>
            <w:pPr>
              <w:jc w:val="center"/>
              <w:spacing w:after="0"/>
              <w:rPr>
                <w:sz w:val="20"/>
                <w:szCs w:val="20"/>
                <w:color w:val="auto"/>
              </w:rPr>
            </w:pPr>
            <w:r>
              <w:rPr>
                <w:rFonts w:ascii="Arial" w:cs="Arial" w:eastAsia="Arial" w:hAnsi="Arial"/>
                <w:sz w:val="18"/>
                <w:szCs w:val="18"/>
                <w:color w:val="auto"/>
                <w:w w:val="88"/>
              </w:rPr>
              <w:t>Stacie Weninger, Ph.D.</w:t>
            </w:r>
          </w:p>
        </w:tc>
        <w:tc>
          <w:tcPr>
            <w:tcW w:w="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306" w:name="page307"/>
    <w:bookmarkEnd w:id="306"/>
    <w:p>
      <w:pPr>
        <w:ind w:left="4" w:right="200" w:hanging="4"/>
        <w:spacing w:after="0" w:line="282" w:lineRule="auto"/>
        <w:tabs>
          <w:tab w:leader="none" w:pos="439"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is treated by the Registrant as private or confidential.</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RESEARCH COLLABORATION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AMGEN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RBNC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Dated as of September 10, 2021</w:t>
      </w:r>
    </w:p>
    <w:p>
      <w:pPr>
        <w:sectPr>
          <w:pgSz w:w="11900" w:h="16838" w:orient="portrait"/>
          <w:cols w:equalWidth="0" w:num="1">
            <w:col w:w="11024"/>
          </w:cols>
          <w:pgMar w:left="436" w:top="121" w:right="439" w:bottom="1440" w:gutter="0" w:footer="0" w:header="0"/>
        </w:sectPr>
      </w:pPr>
    </w:p>
    <w:bookmarkStart w:id="307" w:name="page308"/>
    <w:bookmarkEnd w:id="3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COLLABORATION AND LICENSE AGREEMENT</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This RESEARCH COLLABORATION AND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September 10, 2021 (the</w:t>
      </w:r>
    </w:p>
    <w:p>
      <w:pPr>
        <w:spacing w:after="0" w:line="2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Execution Date</w:t>
      </w:r>
      <w:r>
        <w:rPr>
          <w:rFonts w:ascii="Arial" w:cs="Arial" w:eastAsia="Arial" w:hAnsi="Arial"/>
          <w:sz w:val="16"/>
          <w:szCs w:val="16"/>
          <w:color w:val="auto"/>
        </w:rPr>
        <w:t>”) is by and between Amgen Inc., a Delaware corporation having an address at One Amgen Center Drive, Thousand Oaks, California 91320, USA (“</w:t>
      </w:r>
      <w:r>
        <w:rPr>
          <w:rFonts w:ascii="Arial" w:cs="Arial" w:eastAsia="Arial" w:hAnsi="Arial"/>
          <w:sz w:val="16"/>
          <w:szCs w:val="16"/>
          <w:b w:val="1"/>
          <w:bCs w:val="1"/>
          <w:color w:val="auto"/>
        </w:rPr>
        <w:t>Amgen</w:t>
      </w:r>
      <w:r>
        <w:rPr>
          <w:rFonts w:ascii="Arial" w:cs="Arial" w:eastAsia="Arial" w:hAnsi="Arial"/>
          <w:sz w:val="16"/>
          <w:szCs w:val="16"/>
          <w:color w:val="auto"/>
        </w:rPr>
        <w:t>”) and RBNC Therapeutics, Inc., a Delaware corporation having an address at 1700 Owens Street, #535, San Francisco, California 94158, USA (“</w:t>
      </w:r>
      <w:r>
        <w:rPr>
          <w:rFonts w:ascii="Arial" w:cs="Arial" w:eastAsia="Arial" w:hAnsi="Arial"/>
          <w:sz w:val="16"/>
          <w:szCs w:val="16"/>
          <w:b w:val="1"/>
          <w:bCs w:val="1"/>
          <w:color w:val="auto"/>
        </w:rPr>
        <w:t>RBNC</w:t>
      </w:r>
      <w:r>
        <w:rPr>
          <w:rFonts w:ascii="Arial" w:cs="Arial" w:eastAsia="Arial" w:hAnsi="Arial"/>
          <w:sz w:val="16"/>
          <w:szCs w:val="16"/>
          <w:color w:val="auto"/>
        </w:rPr>
        <w:t>”). Amgen and RBNC are each hereafter referred to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together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51"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RBNC is intending to conduct research, development, manufacturing and commercialization of pharmaceutical products in the CNS</w:t>
      </w:r>
      <w:r>
        <w:rPr>
          <w:rFonts w:ascii="Arial" w:cs="Arial" w:eastAsia="Arial" w:hAnsi="Arial"/>
          <w:sz w:val="18"/>
          <w:szCs w:val="18"/>
          <w:b w:val="1"/>
          <w:bCs w:val="1"/>
          <w:color w:val="auto"/>
        </w:rPr>
        <w:t xml:space="preserve"> </w:t>
      </w:r>
      <w:r>
        <w:rPr>
          <w:rFonts w:ascii="Arial" w:cs="Arial" w:eastAsia="Arial" w:hAnsi="Arial"/>
          <w:sz w:val="18"/>
          <w:szCs w:val="18"/>
          <w:color w:val="auto"/>
        </w:rPr>
        <w:t>Field (as defined herein);</w:t>
      </w:r>
    </w:p>
    <w:p>
      <w:pPr>
        <w:spacing w:after="0" w:line="162"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Amgen, together with its Affiliates, has world-leading expertise in analyzing and understanding the human genome and proteome,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through the use of its proprietary bioinformatics technology, which can accelerate the research and development of pharmaceutical products in the CNS Field;</w:t>
      </w:r>
    </w:p>
    <w:p>
      <w:pPr>
        <w:spacing w:after="0" w:line="176"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want to collaborate in certain aspects of the research and development of therapeutics (and diagnostics intended for use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such therapeutics) in the CNS Field;</w:t>
      </w:r>
    </w:p>
    <w:p>
      <w:pPr>
        <w:spacing w:after="0" w:line="162"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simultaneously with the execution of this Agreement, the Parties are entering into the Exclusive License Agreement for Ck1d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Exclusive License Agreement for GCase, collectively, the “</w:t>
      </w:r>
      <w:r>
        <w:rPr>
          <w:rFonts w:ascii="Arial" w:cs="Arial" w:eastAsia="Arial" w:hAnsi="Arial"/>
          <w:sz w:val="18"/>
          <w:szCs w:val="18"/>
          <w:b w:val="1"/>
          <w:bCs w:val="1"/>
          <w:color w:val="auto"/>
        </w:rPr>
        <w:t>Exclusive License Agreements</w:t>
      </w:r>
      <w:r>
        <w:rPr>
          <w:rFonts w:ascii="Arial" w:cs="Arial" w:eastAsia="Arial" w:hAnsi="Arial"/>
          <w:sz w:val="18"/>
          <w:szCs w:val="18"/>
          <w:color w:val="auto"/>
        </w:rPr>
        <w:t>”; and</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simultaneously with the execution of this Agreement, the Parties are also entering into that certain Series A-2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xml:space="preserve">”), that certain Stock Issuance Agreement, that certain Voting Rights Letter Agreement, and that certain Letter Agreement (collectively, the </w:t>
      </w:r>
      <w:r>
        <w:rPr>
          <w:rFonts w:ascii="Arial" w:cs="Arial" w:eastAsia="Arial" w:hAnsi="Arial"/>
          <w:sz w:val="18"/>
          <w:szCs w:val="18"/>
          <w:b w:val="1"/>
          <w:bCs w:val="1"/>
          <w:color w:val="auto"/>
        </w:rPr>
        <w:t>“Equity Agreements”</w:t>
      </w:r>
      <w:r>
        <w:rPr>
          <w:rFonts w:ascii="Arial" w:cs="Arial" w:eastAsia="Arial" w:hAnsi="Arial"/>
          <w:sz w:val="18"/>
          <w:szCs w:val="18"/>
          <w:color w:val="auto"/>
        </w:rPr>
        <w:t>); and</w:t>
      </w:r>
    </w:p>
    <w:p>
      <w:pPr>
        <w:spacing w:after="0" w:line="176" w:lineRule="exact"/>
        <w:rPr>
          <w:sz w:val="20"/>
          <w:szCs w:val="20"/>
          <w:color w:val="auto"/>
        </w:rPr>
      </w:pPr>
    </w:p>
    <w:p>
      <w:pPr>
        <w:ind w:right="260" w:firstLine="440"/>
        <w:spacing w:after="0" w:line="31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in connection with the transactions contemplated hereby and by the Exclusive License Agreements, and pursuant to the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RBNC will issue to Amgen certain shares of Series A-2 Preferred Stock (as defined below) and Amgen shall purchase certain additional shares of Series A-2 Preferred Stock (such transactions, issuance of shares and purchase of shares, collectively the “</w:t>
      </w:r>
      <w:r>
        <w:rPr>
          <w:rFonts w:ascii="Arial" w:cs="Arial" w:eastAsia="Arial" w:hAnsi="Arial"/>
          <w:sz w:val="16"/>
          <w:szCs w:val="16"/>
          <w:b w:val="1"/>
          <w:bCs w:val="1"/>
          <w:color w:val="auto"/>
        </w:rPr>
        <w:t>Transaction</w:t>
      </w:r>
      <w:r>
        <w:rPr>
          <w:rFonts w:ascii="Arial" w:cs="Arial" w:eastAsia="Arial" w:hAnsi="Arial"/>
          <w:sz w:val="16"/>
          <w:szCs w:val="16"/>
          <w:color w:val="auto"/>
        </w:rPr>
        <w:t>”)</w:t>
      </w:r>
    </w:p>
    <w:p>
      <w:pPr>
        <w:spacing w:after="0" w:line="14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obligations contained herein,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agree as follows: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references to particular Exhibits, Articles or Sections mean the Exhibits to, and Articles and Sections of, this Agreement, unless otherwise specified.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this Agreement and the Exhibits and Appendices hereto, the following words and phrases have the following meanings: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color w:val="auto"/>
        </w:rPr>
        <w:t>“</w:t>
      </w:r>
      <w:r>
        <w:rPr>
          <w:rFonts w:ascii="Arial" w:cs="Arial" w:eastAsia="Arial" w:hAnsi="Arial"/>
          <w:sz w:val="18"/>
          <w:szCs w:val="18"/>
          <w:b w:val="1"/>
          <w:bCs w:val="1"/>
          <w:color w:val="auto"/>
        </w:rPr>
        <w:t>Abandoned Patent Right</w:t>
      </w:r>
      <w:r>
        <w:rPr>
          <w:rFonts w:ascii="Arial" w:cs="Arial" w:eastAsia="Arial" w:hAnsi="Arial"/>
          <w:sz w:val="18"/>
          <w:szCs w:val="18"/>
          <w:color w:val="auto"/>
        </w:rPr>
        <w:t>” has the meaning set forth in Section 7.1.4(c).</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color w:val="auto"/>
        </w:rPr>
        <w:t>“</w:t>
      </w:r>
      <w:r>
        <w:rPr>
          <w:rFonts w:ascii="Arial" w:cs="Arial" w:eastAsia="Arial" w:hAnsi="Arial"/>
          <w:sz w:val="18"/>
          <w:szCs w:val="18"/>
          <w:b w:val="1"/>
          <w:bCs w:val="1"/>
          <w:color w:val="auto"/>
        </w:rPr>
        <w:t>Active Program</w:t>
      </w:r>
      <w:r>
        <w:rPr>
          <w:rFonts w:ascii="Arial" w:cs="Arial" w:eastAsia="Arial" w:hAnsi="Arial"/>
          <w:sz w:val="18"/>
          <w:szCs w:val="18"/>
          <w:color w:val="auto"/>
        </w:rPr>
        <w:t>” means any research, development or commercialization activities by RBNC or its Affiliates intended to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obtain the regulatory approval of and commercialize a Collaboration Derived Product for the treatment of a CNS Disease in which [***]. For clarity, [***].</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270" w:right="439" w:bottom="1440" w:gutter="0" w:footer="0" w:header="0"/>
        </w:sectPr>
      </w:pPr>
    </w:p>
    <w:bookmarkStart w:id="308" w:name="page309"/>
    <w:bookmarkEnd w:id="308"/>
    <w:p>
      <w:pPr>
        <w:ind w:right="5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Arial" w:cs="Arial" w:eastAsia="Arial" w:hAnsi="Arial"/>
          <w:sz w:val="18"/>
          <w:szCs w:val="18"/>
          <w:color w:val="auto"/>
        </w:rPr>
        <w:t>“</w:t>
      </w:r>
      <w:r>
        <w:rPr>
          <w:rFonts w:ascii="Arial" w:cs="Arial" w:eastAsia="Arial" w:hAnsi="Arial"/>
          <w:sz w:val="18"/>
          <w:szCs w:val="18"/>
          <w:b w:val="1"/>
          <w:bCs w:val="1"/>
          <w:color w:val="auto"/>
        </w:rPr>
        <w:t>Active Target</w:t>
      </w:r>
      <w:r>
        <w:rPr>
          <w:rFonts w:ascii="Arial" w:cs="Arial" w:eastAsia="Arial" w:hAnsi="Arial"/>
          <w:sz w:val="18"/>
          <w:szCs w:val="18"/>
          <w:color w:val="auto"/>
        </w:rPr>
        <w:t>” means any target that is [***] a Collaboration Derived Product (for which RBNC or its Affiliate has an Active</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as such Collaboration Derived Product’s [***].</w:t>
      </w:r>
    </w:p>
    <w:p>
      <w:pPr>
        <w:spacing w:after="0" w:line="162"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Section 1.4 </w:t>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that, directly, or indirectly through one or more intermediaries,</w:t>
      </w:r>
      <w:r>
        <w:rPr>
          <w:rFonts w:ascii="Arial" w:cs="Arial" w:eastAsia="Arial" w:hAnsi="Arial"/>
          <w:sz w:val="17"/>
          <w:szCs w:val="17"/>
          <w:b w:val="1"/>
          <w:bCs w:val="1"/>
          <w:color w:val="auto"/>
        </w:rPr>
        <w:t xml:space="preserve"> </w:t>
      </w:r>
      <w:r>
        <w:rPr>
          <w:rFonts w:ascii="Arial" w:cs="Arial" w:eastAsia="Arial" w:hAnsi="Arial"/>
          <w:sz w:val="17"/>
          <w:szCs w:val="17"/>
          <w:color w:val="auto"/>
        </w:rPr>
        <w:t>controls, is controlled by or is under common control with such Person, for as long as such control exists. For purposes of this Section, “control” means the direct or indirect ownership of fifty percent (50%) or more of the voting or economic interest of a Person, or the power either directly or indirectly through one or more intermediaries, whether pursuant to contract, ownership of securities or otherwise, to direct the management and policies of a Person. For clarity, once a Person ceases to be an Affiliate of a Party, then, without any further action, such Person shall cease to have any rights, including license and sublicense rights, under this Agreement by reason of being an Affiliate of such Party.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color w:val="auto"/>
        </w:rPr>
        <w:t>“</w:t>
      </w:r>
      <w:r>
        <w:rPr>
          <w:rFonts w:ascii="Arial" w:cs="Arial" w:eastAsia="Arial" w:hAnsi="Arial"/>
          <w:sz w:val="18"/>
          <w:szCs w:val="18"/>
          <w:b w:val="1"/>
          <w:bCs w:val="1"/>
          <w:color w:val="auto"/>
        </w:rPr>
        <w:t>Amgen</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color w:val="auto"/>
        </w:rPr>
        <w:t>“</w:t>
      </w:r>
      <w:r>
        <w:rPr>
          <w:rFonts w:ascii="Arial" w:cs="Arial" w:eastAsia="Arial" w:hAnsi="Arial"/>
          <w:sz w:val="18"/>
          <w:szCs w:val="18"/>
          <w:b w:val="1"/>
          <w:bCs w:val="1"/>
          <w:color w:val="auto"/>
        </w:rPr>
        <w:t>Amgen Acquiree</w:t>
      </w:r>
      <w:r>
        <w:rPr>
          <w:rFonts w:ascii="Arial" w:cs="Arial" w:eastAsia="Arial" w:hAnsi="Arial"/>
          <w:sz w:val="18"/>
          <w:szCs w:val="18"/>
          <w:color w:val="auto"/>
        </w:rPr>
        <w:t>” has the meaning set forth in Section 13.9.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color w:val="auto"/>
        </w:rPr>
        <w:t>“</w:t>
      </w:r>
      <w:r>
        <w:rPr>
          <w:rFonts w:ascii="Arial" w:cs="Arial" w:eastAsia="Arial" w:hAnsi="Arial"/>
          <w:sz w:val="18"/>
          <w:szCs w:val="18"/>
          <w:b w:val="1"/>
          <w:bCs w:val="1"/>
          <w:color w:val="auto"/>
        </w:rPr>
        <w:t>Amgen Acquisition</w:t>
      </w:r>
      <w:r>
        <w:rPr>
          <w:rFonts w:ascii="Arial" w:cs="Arial" w:eastAsia="Arial" w:hAnsi="Arial"/>
          <w:sz w:val="18"/>
          <w:szCs w:val="18"/>
          <w:color w:val="auto"/>
        </w:rPr>
        <w:t>” has the meaning set forth in Section 13.9.</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color w:val="auto"/>
        </w:rPr>
        <w:t>“</w:t>
      </w:r>
      <w:r>
        <w:rPr>
          <w:rFonts w:ascii="Arial" w:cs="Arial" w:eastAsia="Arial" w:hAnsi="Arial"/>
          <w:sz w:val="18"/>
          <w:szCs w:val="18"/>
          <w:b w:val="1"/>
          <w:bCs w:val="1"/>
          <w:color w:val="auto"/>
        </w:rPr>
        <w:t>Amgen Collaboration IP</w:t>
      </w:r>
      <w:r>
        <w:rPr>
          <w:rFonts w:ascii="Arial" w:cs="Arial" w:eastAsia="Arial" w:hAnsi="Arial"/>
          <w:sz w:val="18"/>
          <w:szCs w:val="18"/>
          <w:color w:val="auto"/>
        </w:rPr>
        <w:t>” means (a) Amgen Collaboration Patents, (b) Amgen’s interest in the Joint Collaboration Patents and Joint</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and (c) the Amgen Collaboration Know-How.</w:t>
      </w:r>
    </w:p>
    <w:p>
      <w:pPr>
        <w:spacing w:after="0" w:line="162" w:lineRule="exact"/>
        <w:rPr>
          <w:sz w:val="20"/>
          <w:szCs w:val="20"/>
          <w:color w:val="auto"/>
        </w:rPr>
      </w:pPr>
    </w:p>
    <w:p>
      <w:pPr>
        <w:ind w:right="380" w:firstLine="440"/>
        <w:spacing w:after="0" w:line="266" w:lineRule="auto"/>
        <w:rPr>
          <w:sz w:val="20"/>
          <w:szCs w:val="20"/>
          <w:color w:val="auto"/>
        </w:rPr>
      </w:pPr>
      <w:r>
        <w:rPr>
          <w:rFonts w:ascii="Arial" w:cs="Arial" w:eastAsia="Arial" w:hAnsi="Arial"/>
          <w:sz w:val="18"/>
          <w:szCs w:val="18"/>
          <w:b w:val="1"/>
          <w:bCs w:val="1"/>
          <w:color w:val="auto"/>
        </w:rPr>
        <w:t xml:space="preserve">Section 1.10 </w:t>
      </w:r>
      <w:r>
        <w:rPr>
          <w:rFonts w:ascii="Arial" w:cs="Arial" w:eastAsia="Arial" w:hAnsi="Arial"/>
          <w:sz w:val="18"/>
          <w:szCs w:val="18"/>
          <w:color w:val="auto"/>
        </w:rPr>
        <w:t>“</w:t>
      </w:r>
      <w:r>
        <w:rPr>
          <w:rFonts w:ascii="Arial" w:cs="Arial" w:eastAsia="Arial" w:hAnsi="Arial"/>
          <w:sz w:val="18"/>
          <w:szCs w:val="18"/>
          <w:b w:val="1"/>
          <w:bCs w:val="1"/>
          <w:color w:val="auto"/>
        </w:rPr>
        <w:t>Amgen Collaboration Know-How</w:t>
      </w:r>
      <w:r>
        <w:rPr>
          <w:rFonts w:ascii="Arial" w:cs="Arial" w:eastAsia="Arial" w:hAnsi="Arial"/>
          <w:sz w:val="18"/>
          <w:szCs w:val="18"/>
          <w:color w:val="auto"/>
        </w:rPr>
        <w:t>” means any and all Know-How Controlled by Amgen or its Affiliates and generated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the Collaboration Activities but excluding (i) any Know-How that is a modification of or improvement to the Amgen Platform Technology, and (ii) any Joint Inventions.</w:t>
      </w:r>
    </w:p>
    <w:p>
      <w:pPr>
        <w:spacing w:after="0" w:line="176"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color w:val="auto"/>
        </w:rPr>
        <w:t>“</w:t>
      </w:r>
      <w:r>
        <w:rPr>
          <w:rFonts w:ascii="Arial" w:cs="Arial" w:eastAsia="Arial" w:hAnsi="Arial"/>
          <w:sz w:val="18"/>
          <w:szCs w:val="18"/>
          <w:b w:val="1"/>
          <w:bCs w:val="1"/>
          <w:color w:val="auto"/>
        </w:rPr>
        <w:t>Amgen Collaboration Patents</w:t>
      </w:r>
      <w:r>
        <w:rPr>
          <w:rFonts w:ascii="Arial" w:cs="Arial" w:eastAsia="Arial" w:hAnsi="Arial"/>
          <w:sz w:val="18"/>
          <w:szCs w:val="18"/>
          <w:color w:val="auto"/>
        </w:rPr>
        <w:t>” means the Patent Rights Controlled by Amgen or its Affiliates that claim Amgen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Know-How.</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color w:val="auto"/>
        </w:rPr>
        <w:t>“</w:t>
      </w:r>
      <w:r>
        <w:rPr>
          <w:rFonts w:ascii="Arial" w:cs="Arial" w:eastAsia="Arial" w:hAnsi="Arial"/>
          <w:sz w:val="18"/>
          <w:szCs w:val="18"/>
          <w:b w:val="1"/>
          <w:bCs w:val="1"/>
          <w:color w:val="auto"/>
        </w:rPr>
        <w:t>Amgen Option Exercise Notice</w:t>
      </w:r>
      <w:r>
        <w:rPr>
          <w:rFonts w:ascii="Arial" w:cs="Arial" w:eastAsia="Arial" w:hAnsi="Arial"/>
          <w:sz w:val="18"/>
          <w:szCs w:val="18"/>
          <w:color w:val="auto"/>
        </w:rPr>
        <w:t>” has the meaning set forth in Section 5.3.2.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color w:val="auto"/>
        </w:rPr>
        <w:t>“</w:t>
      </w:r>
      <w:r>
        <w:rPr>
          <w:rFonts w:ascii="Arial" w:cs="Arial" w:eastAsia="Arial" w:hAnsi="Arial"/>
          <w:sz w:val="18"/>
          <w:szCs w:val="18"/>
          <w:b w:val="1"/>
          <w:bCs w:val="1"/>
          <w:color w:val="auto"/>
        </w:rPr>
        <w:t>Amgen ROFN Election Notice</w:t>
      </w:r>
      <w:r>
        <w:rPr>
          <w:rFonts w:ascii="Arial" w:cs="Arial" w:eastAsia="Arial" w:hAnsi="Arial"/>
          <w:sz w:val="18"/>
          <w:szCs w:val="18"/>
          <w:color w:val="auto"/>
        </w:rPr>
        <w:t>” has the meaning set forth in Section 5.4.2.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color w:val="auto"/>
        </w:rPr>
        <w:t>“</w:t>
      </w:r>
      <w:r>
        <w:rPr>
          <w:rFonts w:ascii="Arial" w:cs="Arial" w:eastAsia="Arial" w:hAnsi="Arial"/>
          <w:sz w:val="18"/>
          <w:szCs w:val="18"/>
          <w:b w:val="1"/>
          <w:bCs w:val="1"/>
          <w:color w:val="auto"/>
        </w:rPr>
        <w:t>Amgen Exclusivity Period</w:t>
      </w:r>
      <w:r>
        <w:rPr>
          <w:rFonts w:ascii="Arial" w:cs="Arial" w:eastAsia="Arial" w:hAnsi="Arial"/>
          <w:sz w:val="18"/>
          <w:szCs w:val="18"/>
          <w:color w:val="auto"/>
        </w:rPr>
        <w:t>” has the meaning set forth in Section 4.1.2.</w:t>
      </w:r>
    </w:p>
    <w:p>
      <w:pPr>
        <w:spacing w:after="0" w:line="225"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color w:val="auto"/>
        </w:rPr>
        <w:t>“</w:t>
      </w:r>
      <w:r>
        <w:rPr>
          <w:rFonts w:ascii="Arial" w:cs="Arial" w:eastAsia="Arial" w:hAnsi="Arial"/>
          <w:sz w:val="18"/>
          <w:szCs w:val="18"/>
          <w:b w:val="1"/>
          <w:bCs w:val="1"/>
          <w:color w:val="auto"/>
        </w:rPr>
        <w:t>Amgen Incorporated Ideas</w:t>
      </w:r>
      <w:r>
        <w:rPr>
          <w:rFonts w:ascii="Arial" w:cs="Arial" w:eastAsia="Arial" w:hAnsi="Arial"/>
          <w:sz w:val="18"/>
          <w:szCs w:val="18"/>
          <w:color w:val="auto"/>
        </w:rPr>
        <w:t>” means any Ideas originating from Amgen included in a Project by the JRC after JRC review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color w:val="auto"/>
        </w:rPr>
        <w:t>“</w:t>
      </w:r>
      <w:r>
        <w:rPr>
          <w:rFonts w:ascii="Arial" w:cs="Arial" w:eastAsia="Arial" w:hAnsi="Arial"/>
          <w:sz w:val="18"/>
          <w:szCs w:val="18"/>
          <w:b w:val="1"/>
          <w:bCs w:val="1"/>
          <w:color w:val="auto"/>
        </w:rPr>
        <w:t>Amgen Indemnified Parties</w:t>
      </w:r>
      <w:r>
        <w:rPr>
          <w:rFonts w:ascii="Arial" w:cs="Arial" w:eastAsia="Arial" w:hAnsi="Arial"/>
          <w:sz w:val="18"/>
          <w:szCs w:val="18"/>
          <w:color w:val="auto"/>
        </w:rPr>
        <w:t>” has the meaning set forth in Section 9.1.1.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1.17 </w:t>
      </w:r>
      <w:r>
        <w:rPr>
          <w:rFonts w:ascii="Arial" w:cs="Arial" w:eastAsia="Arial" w:hAnsi="Arial"/>
          <w:sz w:val="18"/>
          <w:szCs w:val="18"/>
          <w:color w:val="auto"/>
        </w:rPr>
        <w:t>“</w:t>
      </w:r>
      <w:r>
        <w:rPr>
          <w:rFonts w:ascii="Arial" w:cs="Arial" w:eastAsia="Arial" w:hAnsi="Arial"/>
          <w:sz w:val="18"/>
          <w:szCs w:val="18"/>
          <w:b w:val="1"/>
          <w:bCs w:val="1"/>
          <w:color w:val="auto"/>
        </w:rPr>
        <w:t>Amgen Platform Technology</w:t>
      </w:r>
      <w:r>
        <w:rPr>
          <w:rFonts w:ascii="Arial" w:cs="Arial" w:eastAsia="Arial" w:hAnsi="Arial"/>
          <w:sz w:val="18"/>
          <w:szCs w:val="18"/>
          <w:color w:val="auto"/>
        </w:rPr>
        <w:t>” means (a) Amgen’s or any of its Affiliates [***] and (b)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has the meaning set forth in Section 8.3(b).</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0" w:right="459" w:bottom="1440" w:gutter="0" w:footer="0" w:header="0"/>
        </w:sectPr>
      </w:pPr>
    </w:p>
    <w:bookmarkStart w:id="309" w:name="page310"/>
    <w:bookmarkEnd w:id="309"/>
    <w:p>
      <w:pPr>
        <w:ind w:left="4" w:right="1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1.19 </w:t>
      </w:r>
      <w:r>
        <w:rPr>
          <w:rFonts w:ascii="Arial" w:cs="Arial" w:eastAsia="Arial" w:hAnsi="Arial"/>
          <w:sz w:val="18"/>
          <w:szCs w:val="18"/>
          <w:color w:val="auto"/>
        </w:rPr>
        <w:t>“</w:t>
      </w:r>
      <w:r>
        <w:rPr>
          <w:rFonts w:ascii="Arial" w:cs="Arial" w:eastAsia="Arial" w:hAnsi="Arial"/>
          <w:sz w:val="18"/>
          <w:szCs w:val="18"/>
          <w:b w:val="1"/>
          <w:bCs w:val="1"/>
          <w:color w:val="auto"/>
        </w:rPr>
        <w:t>Background IP</w:t>
      </w:r>
      <w:r>
        <w:rPr>
          <w:rFonts w:ascii="Arial" w:cs="Arial" w:eastAsia="Arial" w:hAnsi="Arial"/>
          <w:sz w:val="18"/>
          <w:szCs w:val="18"/>
          <w:color w:val="auto"/>
        </w:rPr>
        <w:t>” means the Background Know-How and Background Patents. For the avoidance of doubt, Background IP of</w:t>
      </w:r>
      <w:r>
        <w:rPr>
          <w:rFonts w:ascii="Arial" w:cs="Arial" w:eastAsia="Arial" w:hAnsi="Arial"/>
          <w:sz w:val="18"/>
          <w:szCs w:val="18"/>
          <w:b w:val="1"/>
          <w:bCs w:val="1"/>
          <w:color w:val="auto"/>
        </w:rPr>
        <w:t xml:space="preserve"> </w:t>
      </w:r>
      <w:r>
        <w:rPr>
          <w:rFonts w:ascii="Arial" w:cs="Arial" w:eastAsia="Arial" w:hAnsi="Arial"/>
          <w:sz w:val="18"/>
          <w:szCs w:val="18"/>
          <w:color w:val="auto"/>
        </w:rPr>
        <w:t>Amgen includes Patent Rights and Know-How claiming, covering or embodying Amgen Platform Technology, and Background IP of RBNC includes Patent Rights and Know-How claiming, covering or embodying RBNC Platform Technology.</w:t>
      </w:r>
    </w:p>
    <w:p>
      <w:pPr>
        <w:spacing w:after="0" w:line="176" w:lineRule="exact"/>
        <w:rPr>
          <w:sz w:val="20"/>
          <w:szCs w:val="20"/>
          <w:color w:val="auto"/>
        </w:rPr>
      </w:pPr>
    </w:p>
    <w:p>
      <w:pPr>
        <w:ind w:left="4" w:right="480" w:firstLine="440"/>
        <w:spacing w:after="0" w:line="282" w:lineRule="auto"/>
        <w:rPr>
          <w:sz w:val="20"/>
          <w:szCs w:val="20"/>
          <w:color w:val="auto"/>
        </w:rPr>
      </w:pPr>
      <w:r>
        <w:rPr>
          <w:rFonts w:ascii="Arial" w:cs="Arial" w:eastAsia="Arial" w:hAnsi="Arial"/>
          <w:sz w:val="18"/>
          <w:szCs w:val="18"/>
          <w:b w:val="1"/>
          <w:bCs w:val="1"/>
          <w:color w:val="auto"/>
        </w:rPr>
        <w:t xml:space="preserve">Section 1.20 </w:t>
      </w:r>
      <w:r>
        <w:rPr>
          <w:rFonts w:ascii="Arial" w:cs="Arial" w:eastAsia="Arial" w:hAnsi="Arial"/>
          <w:sz w:val="18"/>
          <w:szCs w:val="18"/>
          <w:color w:val="auto"/>
        </w:rPr>
        <w:t>“</w:t>
      </w:r>
      <w:r>
        <w:rPr>
          <w:rFonts w:ascii="Arial" w:cs="Arial" w:eastAsia="Arial" w:hAnsi="Arial"/>
          <w:sz w:val="18"/>
          <w:szCs w:val="18"/>
          <w:b w:val="1"/>
          <w:bCs w:val="1"/>
          <w:color w:val="auto"/>
        </w:rPr>
        <w:t>Background Know-How</w:t>
      </w:r>
      <w:r>
        <w:rPr>
          <w:rFonts w:ascii="Arial" w:cs="Arial" w:eastAsia="Arial" w:hAnsi="Arial"/>
          <w:sz w:val="18"/>
          <w:szCs w:val="18"/>
          <w:color w:val="auto"/>
        </w:rPr>
        <w:t>” means Know-How (a) owned or controlled by a Party prior to the Effective Date or (b) owned or</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such Party during the Term, but not generated in the performance of the Collaboration Activities.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Section 1.21 </w:t>
      </w:r>
      <w:r>
        <w:rPr>
          <w:rFonts w:ascii="Arial" w:cs="Arial" w:eastAsia="Arial" w:hAnsi="Arial"/>
          <w:sz w:val="16"/>
          <w:szCs w:val="16"/>
          <w:color w:val="auto"/>
        </w:rPr>
        <w:t>“</w:t>
      </w:r>
      <w:r>
        <w:rPr>
          <w:rFonts w:ascii="Arial" w:cs="Arial" w:eastAsia="Arial" w:hAnsi="Arial"/>
          <w:sz w:val="16"/>
          <w:szCs w:val="16"/>
          <w:b w:val="1"/>
          <w:bCs w:val="1"/>
          <w:color w:val="auto"/>
        </w:rPr>
        <w:t>Background Patents</w:t>
      </w:r>
      <w:r>
        <w:rPr>
          <w:rFonts w:ascii="Arial" w:cs="Arial" w:eastAsia="Arial" w:hAnsi="Arial"/>
          <w:sz w:val="16"/>
          <w:szCs w:val="16"/>
          <w:color w:val="auto"/>
        </w:rPr>
        <w:t>” means Patent Rights owned or Controlled by a Party that claim Background Know-How of such Party.</w:t>
      </w:r>
    </w:p>
    <w:p>
      <w:pPr>
        <w:spacing w:after="0" w:line="248"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Section 1.22 </w:t>
      </w: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a three-month period beginning on January 1</w:t>
      </w:r>
      <w:r>
        <w:rPr>
          <w:rFonts w:ascii="Arial" w:cs="Arial" w:eastAsia="Arial" w:hAnsi="Arial"/>
          <w:sz w:val="15"/>
          <w:szCs w:val="15"/>
          <w:color w:val="auto"/>
        </w:rPr>
        <w:t>st</w:t>
      </w:r>
      <w:r>
        <w:rPr>
          <w:rFonts w:ascii="Arial" w:cs="Arial" w:eastAsia="Arial" w:hAnsi="Arial"/>
          <w:sz w:val="18"/>
          <w:szCs w:val="18"/>
          <w:color w:val="auto"/>
        </w:rPr>
        <w:t>, April 1</w:t>
      </w:r>
      <w:r>
        <w:rPr>
          <w:rFonts w:ascii="Arial" w:cs="Arial" w:eastAsia="Arial" w:hAnsi="Arial"/>
          <w:sz w:val="15"/>
          <w:szCs w:val="15"/>
          <w:color w:val="auto"/>
        </w:rPr>
        <w:t>st</w:t>
      </w:r>
      <w:r>
        <w:rPr>
          <w:rFonts w:ascii="Arial" w:cs="Arial" w:eastAsia="Arial" w:hAnsi="Arial"/>
          <w:sz w:val="18"/>
          <w:szCs w:val="18"/>
          <w:color w:val="auto"/>
        </w:rPr>
        <w:t>, July 1</w:t>
      </w:r>
      <w:r>
        <w:rPr>
          <w:rFonts w:ascii="Arial" w:cs="Arial" w:eastAsia="Arial" w:hAnsi="Arial"/>
          <w:sz w:val="15"/>
          <w:szCs w:val="15"/>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or October 1</w:t>
      </w:r>
      <w:r>
        <w:rPr>
          <w:rFonts w:ascii="Arial" w:cs="Arial" w:eastAsia="Arial" w:hAnsi="Arial"/>
          <w:sz w:val="15"/>
          <w:szCs w:val="15"/>
          <w:color w:val="auto"/>
        </w:rPr>
        <w:t>st</w:t>
      </w:r>
      <w:r>
        <w:rPr>
          <w:rFonts w:ascii="Arial" w:cs="Arial" w:eastAsia="Arial" w:hAnsi="Arial"/>
          <w:sz w:val="18"/>
          <w:szCs w:val="18"/>
          <w:color w:val="auto"/>
        </w:rPr>
        <w:t>, except that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Quarter of the Term shall commence on the Effective Date and end on the day immediately prior to the first to occur of January, April, July or October 1</w:t>
      </w:r>
      <w:r>
        <w:rPr>
          <w:rFonts w:ascii="Arial" w:cs="Arial" w:eastAsia="Arial" w:hAnsi="Arial"/>
          <w:sz w:val="15"/>
          <w:szCs w:val="15"/>
          <w:color w:val="auto"/>
        </w:rPr>
        <w:t>st</w:t>
      </w:r>
      <w:r>
        <w:rPr>
          <w:rFonts w:ascii="Arial" w:cs="Arial" w:eastAsia="Arial" w:hAnsi="Arial"/>
          <w:sz w:val="18"/>
          <w:szCs w:val="18"/>
          <w:color w:val="auto"/>
        </w:rPr>
        <w:t xml:space="preserve"> after the Effective Date, and the last Calendar Quarter shall end on the last day of the Term.</w:t>
      </w:r>
    </w:p>
    <w:p>
      <w:pPr>
        <w:spacing w:after="0" w:line="176" w:lineRule="exact"/>
        <w:rPr>
          <w:sz w:val="20"/>
          <w:szCs w:val="20"/>
          <w:color w:val="auto"/>
        </w:rPr>
      </w:pPr>
    </w:p>
    <w:p>
      <w:pPr>
        <w:ind w:left="4" w:firstLine="440"/>
        <w:spacing w:after="0" w:line="289" w:lineRule="auto"/>
        <w:rPr>
          <w:sz w:val="20"/>
          <w:szCs w:val="20"/>
          <w:color w:val="auto"/>
        </w:rPr>
      </w:pPr>
      <w:r>
        <w:rPr>
          <w:rFonts w:ascii="Arial" w:cs="Arial" w:eastAsia="Arial" w:hAnsi="Arial"/>
          <w:sz w:val="17"/>
          <w:szCs w:val="17"/>
          <w:b w:val="1"/>
          <w:bCs w:val="1"/>
          <w:color w:val="auto"/>
        </w:rPr>
        <w:t xml:space="preserve">Section 1.23 </w:t>
      </w:r>
      <w:r>
        <w:rPr>
          <w:rFonts w:ascii="Arial" w:cs="Arial" w:eastAsia="Arial" w:hAnsi="Arial"/>
          <w:sz w:val="17"/>
          <w:szCs w:val="17"/>
          <w:color w:val="auto"/>
        </w:rPr>
        <w:t>“</w:t>
      </w:r>
      <w:r>
        <w:rPr>
          <w:rFonts w:ascii="Arial" w:cs="Arial" w:eastAsia="Arial" w:hAnsi="Arial"/>
          <w:sz w:val="17"/>
          <w:szCs w:val="17"/>
          <w:b w:val="1"/>
          <w:bCs w:val="1"/>
          <w:color w:val="auto"/>
        </w:rPr>
        <w:t>Calendar Year</w:t>
      </w:r>
      <w:r>
        <w:rPr>
          <w:rFonts w:ascii="Arial" w:cs="Arial" w:eastAsia="Arial" w:hAnsi="Arial"/>
          <w:sz w:val="17"/>
          <w:szCs w:val="17"/>
          <w:color w:val="auto"/>
        </w:rPr>
        <w:t>” means a one-year period beginning on January 1st and ending on December 31st, except that the first Calendar</w:t>
      </w:r>
      <w:r>
        <w:rPr>
          <w:rFonts w:ascii="Arial" w:cs="Arial" w:eastAsia="Arial" w:hAnsi="Arial"/>
          <w:sz w:val="17"/>
          <w:szCs w:val="17"/>
          <w:b w:val="1"/>
          <w:bCs w:val="1"/>
          <w:color w:val="auto"/>
        </w:rPr>
        <w:t xml:space="preserve"> </w:t>
      </w:r>
      <w:r>
        <w:rPr>
          <w:rFonts w:ascii="Arial" w:cs="Arial" w:eastAsia="Arial" w:hAnsi="Arial"/>
          <w:sz w:val="17"/>
          <w:szCs w:val="17"/>
          <w:color w:val="auto"/>
        </w:rPr>
        <w:t>Year of the Term shall commence on the Effective Date and end on December 31st of the year in which the Effective Date occurs, and the last Calendar Year of the Term shall commence on January 1st of the year in which the Term ends and end on the last day of the Term.</w:t>
      </w:r>
    </w:p>
    <w:p>
      <w:pPr>
        <w:spacing w:after="0" w:line="158"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b w:val="1"/>
          <w:bCs w:val="1"/>
          <w:color w:val="auto"/>
        </w:rPr>
        <w:t xml:space="preserve">Section 1.24 </w:t>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with respect to specified party: (a) the acquisition, directly or indirectly, by a Person or “group”</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in a single transaction or multiple transactions) of more than 50% of the voting power of such party or of beneficial ownership of (or the right to acquire such beneficial ownership) of more than 50% of the outstanding equity or convertible securities of such party (including by tender offer or exchange offer); (b) any merger, consolidation, share exchange, business combination, recapitalization, the sale of substantially all assets of, or similar corporate transaction involving such party (whether or not including one or more wholly owned subsidiaries of such party), other than: (i) transactions involving solely such party and one or more Affiliates, on the one hand, and one or more of such party’s Affiliates, on the other hand, and/or</w:t>
      </w:r>
    </w:p>
    <w:p>
      <w:pPr>
        <w:spacing w:after="0" w:line="3" w:lineRule="exact"/>
        <w:rPr>
          <w:sz w:val="20"/>
          <w:szCs w:val="20"/>
          <w:color w:val="auto"/>
        </w:rPr>
      </w:pPr>
    </w:p>
    <w:p>
      <w:pPr>
        <w:ind w:left="4" w:right="20" w:hanging="4"/>
        <w:spacing w:after="0" w:line="253" w:lineRule="auto"/>
        <w:tabs>
          <w:tab w:leader="none" w:pos="26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transactions in which the stockholders of such party immediately prior to such transaction hold at least 50% of the voting power of the surviving company or ultimate parent company of the surviving company; or (c) the adoption of a plan relating to the liquidation or dissolution of such party. For purposes of this definition, the terms “group” and “beneficial ownership” shall have the meaning accorded in the U.S. Securities Exchange Act of 1934 and the regulations promulgated thereunder in effect as of the Effective Date.</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1.25 “Closing Date” </w:t>
      </w:r>
      <w:r>
        <w:rPr>
          <w:rFonts w:ascii="Arial" w:cs="Arial" w:eastAsia="Arial" w:hAnsi="Arial"/>
          <w:sz w:val="18"/>
          <w:szCs w:val="18"/>
          <w:color w:val="auto"/>
        </w:rPr>
        <w:t>shall mean the date of the Closing as defined in the Purchase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1.26 “CNS</w:t>
      </w:r>
      <w:r>
        <w:rPr>
          <w:rFonts w:ascii="Arial" w:cs="Arial" w:eastAsia="Arial" w:hAnsi="Arial"/>
          <w:sz w:val="18"/>
          <w:szCs w:val="18"/>
          <w:color w:val="auto"/>
        </w:rPr>
        <w:t>” means the central nervous system.</w:t>
      </w:r>
    </w:p>
    <w:p>
      <w:pPr>
        <w:spacing w:after="0" w:line="225" w:lineRule="exact"/>
        <w:rPr>
          <w:sz w:val="20"/>
          <w:szCs w:val="20"/>
          <w:color w:val="auto"/>
        </w:rPr>
      </w:pPr>
    </w:p>
    <w:p>
      <w:pPr>
        <w:ind w:left="4" w:right="200" w:firstLine="440"/>
        <w:spacing w:after="0" w:line="266" w:lineRule="auto"/>
        <w:rPr>
          <w:sz w:val="20"/>
          <w:szCs w:val="20"/>
          <w:color w:val="auto"/>
        </w:rPr>
      </w:pPr>
      <w:r>
        <w:rPr>
          <w:rFonts w:ascii="Arial" w:cs="Arial" w:eastAsia="Arial" w:hAnsi="Arial"/>
          <w:sz w:val="18"/>
          <w:szCs w:val="18"/>
          <w:b w:val="1"/>
          <w:bCs w:val="1"/>
          <w:color w:val="auto"/>
        </w:rPr>
        <w:t xml:space="preserve">Section 1.27 </w:t>
      </w:r>
      <w:r>
        <w:rPr>
          <w:rFonts w:ascii="Arial" w:cs="Arial" w:eastAsia="Arial" w:hAnsi="Arial"/>
          <w:sz w:val="18"/>
          <w:szCs w:val="18"/>
          <w:color w:val="auto"/>
        </w:rPr>
        <w:t>“</w:t>
      </w:r>
      <w:r>
        <w:rPr>
          <w:rFonts w:ascii="Arial" w:cs="Arial" w:eastAsia="Arial" w:hAnsi="Arial"/>
          <w:sz w:val="18"/>
          <w:szCs w:val="18"/>
          <w:b w:val="1"/>
          <w:bCs w:val="1"/>
          <w:color w:val="auto"/>
        </w:rPr>
        <w:t>CNS Diseases</w:t>
      </w:r>
      <w:r>
        <w:rPr>
          <w:rFonts w:ascii="Arial" w:cs="Arial" w:eastAsia="Arial" w:hAnsi="Arial"/>
          <w:sz w:val="18"/>
          <w:szCs w:val="18"/>
          <w:color w:val="auto"/>
        </w:rPr>
        <w:t>” means all diseases, the effects of which manifest primarily in the CNS, regardless of whether the source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diseases is in the CNS, including, without limitation, [***] (including without limitation, [***], but excluding [***]. For clarity, as used herein, CNS Diseases do not include Non-CNS Diseases.</w:t>
      </w:r>
    </w:p>
    <w:p>
      <w:pPr>
        <w:spacing w:after="0" w:line="112"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24"/>
          </w:cols>
          <w:pgMar w:left="436" w:top="270" w:right="539" w:bottom="1440" w:gutter="0" w:footer="0" w:header="0"/>
        </w:sectPr>
      </w:pPr>
    </w:p>
    <w:bookmarkStart w:id="310" w:name="page311"/>
    <w:bookmarkEnd w:id="310"/>
    <w:p>
      <w:pPr>
        <w:ind w:left="4" w:right="8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1.28 </w:t>
      </w:r>
      <w:r>
        <w:rPr>
          <w:rFonts w:ascii="Arial" w:cs="Arial" w:eastAsia="Arial" w:hAnsi="Arial"/>
          <w:sz w:val="18"/>
          <w:szCs w:val="18"/>
          <w:color w:val="auto"/>
        </w:rPr>
        <w:t>“</w:t>
      </w:r>
      <w:r>
        <w:rPr>
          <w:rFonts w:ascii="Arial" w:cs="Arial" w:eastAsia="Arial" w:hAnsi="Arial"/>
          <w:sz w:val="18"/>
          <w:szCs w:val="18"/>
          <w:b w:val="1"/>
          <w:bCs w:val="1"/>
          <w:color w:val="auto"/>
        </w:rPr>
        <w:t>CNS Field</w:t>
      </w:r>
      <w:r>
        <w:rPr>
          <w:rFonts w:ascii="Arial" w:cs="Arial" w:eastAsia="Arial" w:hAnsi="Arial"/>
          <w:sz w:val="18"/>
          <w:szCs w:val="18"/>
          <w:color w:val="auto"/>
        </w:rPr>
        <w:t>” means the Exploitation of therapeutic compounds to treat, ameliorate or prevent CNS Diseases (and Diagnostics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intended for use in connection with such therapeutic compounds).</w:t>
      </w:r>
    </w:p>
    <w:p>
      <w:pPr>
        <w:spacing w:after="0" w:line="162" w:lineRule="exact"/>
        <w:rPr>
          <w:sz w:val="20"/>
          <w:szCs w:val="20"/>
          <w:color w:val="auto"/>
        </w:rPr>
      </w:pPr>
    </w:p>
    <w:p>
      <w:pPr>
        <w:ind w:left="4" w:right="140" w:firstLine="440"/>
        <w:spacing w:after="0" w:line="282" w:lineRule="auto"/>
        <w:rPr>
          <w:sz w:val="20"/>
          <w:szCs w:val="20"/>
          <w:color w:val="auto"/>
        </w:rPr>
      </w:pPr>
      <w:r>
        <w:rPr>
          <w:rFonts w:ascii="Arial" w:cs="Arial" w:eastAsia="Arial" w:hAnsi="Arial"/>
          <w:sz w:val="18"/>
          <w:szCs w:val="18"/>
          <w:b w:val="1"/>
          <w:bCs w:val="1"/>
          <w:color w:val="auto"/>
        </w:rPr>
        <w:t xml:space="preserve">Section 1.29 </w:t>
      </w:r>
      <w:r>
        <w:rPr>
          <w:rFonts w:ascii="Arial" w:cs="Arial" w:eastAsia="Arial" w:hAnsi="Arial"/>
          <w:sz w:val="18"/>
          <w:szCs w:val="18"/>
          <w:color w:val="auto"/>
        </w:rPr>
        <w:t>“</w:t>
      </w:r>
      <w:r>
        <w:rPr>
          <w:rFonts w:ascii="Arial" w:cs="Arial" w:eastAsia="Arial" w:hAnsi="Arial"/>
          <w:sz w:val="18"/>
          <w:szCs w:val="18"/>
          <w:b w:val="1"/>
          <w:bCs w:val="1"/>
          <w:color w:val="auto"/>
        </w:rPr>
        <w:t>Collaboration Activities</w:t>
      </w:r>
      <w:r>
        <w:rPr>
          <w:rFonts w:ascii="Arial" w:cs="Arial" w:eastAsia="Arial" w:hAnsi="Arial"/>
          <w:sz w:val="18"/>
          <w:szCs w:val="18"/>
          <w:color w:val="auto"/>
        </w:rPr>
        <w:t>” means those activities, whether collaborative or independent, conducted by a Party in performance of a</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after the Project is created by the JRC.</w:t>
      </w:r>
    </w:p>
    <w:p>
      <w:pPr>
        <w:spacing w:after="0" w:line="162"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b w:val="1"/>
          <w:bCs w:val="1"/>
          <w:color w:val="auto"/>
        </w:rPr>
        <w:t xml:space="preserve">Section 1.30 </w:t>
      </w:r>
      <w:r>
        <w:rPr>
          <w:rFonts w:ascii="Arial" w:cs="Arial" w:eastAsia="Arial" w:hAnsi="Arial"/>
          <w:sz w:val="18"/>
          <w:szCs w:val="18"/>
          <w:color w:val="auto"/>
        </w:rPr>
        <w:t>“</w:t>
      </w:r>
      <w:r>
        <w:rPr>
          <w:rFonts w:ascii="Arial" w:cs="Arial" w:eastAsia="Arial" w:hAnsi="Arial"/>
          <w:sz w:val="18"/>
          <w:szCs w:val="18"/>
          <w:b w:val="1"/>
          <w:bCs w:val="1"/>
          <w:color w:val="auto"/>
        </w:rPr>
        <w:t>Collaboration Derived Product</w:t>
      </w:r>
      <w:r>
        <w:rPr>
          <w:rFonts w:ascii="Arial" w:cs="Arial" w:eastAsia="Arial" w:hAnsi="Arial"/>
          <w:sz w:val="18"/>
          <w:szCs w:val="18"/>
          <w:color w:val="auto"/>
        </w:rPr>
        <w:t>” means any Therapeutic Compound or any pharmaceutical product containing such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 the discovery, research or development of which incorporates or uses any Collaboration IP.</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Section 1.31 </w:t>
      </w:r>
      <w:r>
        <w:rPr>
          <w:rFonts w:ascii="Arial" w:cs="Arial" w:eastAsia="Arial" w:hAnsi="Arial"/>
          <w:sz w:val="17"/>
          <w:szCs w:val="17"/>
          <w:color w:val="auto"/>
        </w:rPr>
        <w:t>“</w:t>
      </w:r>
      <w:r>
        <w:rPr>
          <w:rFonts w:ascii="Arial" w:cs="Arial" w:eastAsia="Arial" w:hAnsi="Arial"/>
          <w:sz w:val="17"/>
          <w:szCs w:val="17"/>
          <w:b w:val="1"/>
          <w:bCs w:val="1"/>
          <w:color w:val="auto"/>
        </w:rPr>
        <w:t>Collaboration IP</w:t>
      </w:r>
      <w:r>
        <w:rPr>
          <w:rFonts w:ascii="Arial" w:cs="Arial" w:eastAsia="Arial" w:hAnsi="Arial"/>
          <w:sz w:val="17"/>
          <w:szCs w:val="17"/>
          <w:color w:val="auto"/>
        </w:rPr>
        <w:t>” means (a) the Amgen Collaboration IP, (b) the RBNC Collaboration IP and (c) the Joint Collaboration IP.</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Section 1.32 </w:t>
      </w:r>
      <w:r>
        <w:rPr>
          <w:rFonts w:ascii="Arial" w:cs="Arial" w:eastAsia="Arial" w:hAnsi="Arial"/>
          <w:sz w:val="17"/>
          <w:szCs w:val="17"/>
          <w:color w:val="auto"/>
        </w:rPr>
        <w:t>“</w:t>
      </w:r>
      <w:r>
        <w:rPr>
          <w:rFonts w:ascii="Arial" w:cs="Arial" w:eastAsia="Arial" w:hAnsi="Arial"/>
          <w:sz w:val="17"/>
          <w:szCs w:val="17"/>
          <w:b w:val="1"/>
          <w:bCs w:val="1"/>
          <w:color w:val="auto"/>
        </w:rPr>
        <w:t>Collaboration Know-How</w:t>
      </w:r>
      <w:r>
        <w:rPr>
          <w:rFonts w:ascii="Arial" w:cs="Arial" w:eastAsia="Arial" w:hAnsi="Arial"/>
          <w:sz w:val="17"/>
          <w:szCs w:val="17"/>
          <w:color w:val="auto"/>
        </w:rPr>
        <w:t>” means any and all Know-How that is both (a) Controlled by a Party (or by the Parties jointly) and</w:t>
      </w:r>
    </w:p>
    <w:p>
      <w:pPr>
        <w:spacing w:after="0" w:line="39" w:lineRule="exact"/>
        <w:rPr>
          <w:sz w:val="20"/>
          <w:szCs w:val="20"/>
          <w:color w:val="auto"/>
        </w:rPr>
      </w:pPr>
    </w:p>
    <w:p>
      <w:pPr>
        <w:ind w:left="4" w:right="140" w:hanging="4"/>
        <w:spacing w:after="0" w:line="260" w:lineRule="auto"/>
        <w:tabs>
          <w:tab w:leader="none" w:pos="25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generated in the performance of the Collaboration Activities, but excluding any Know-How that is a modification of or improvement to the Amgen Platform Technology or RBNC Platform Technology.</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1.33 </w:t>
      </w:r>
      <w:r>
        <w:rPr>
          <w:rFonts w:ascii="Arial" w:cs="Arial" w:eastAsia="Arial" w:hAnsi="Arial"/>
          <w:sz w:val="18"/>
          <w:szCs w:val="18"/>
          <w:color w:val="auto"/>
        </w:rPr>
        <w:t>“</w:t>
      </w:r>
      <w:r>
        <w:rPr>
          <w:rFonts w:ascii="Arial" w:cs="Arial" w:eastAsia="Arial" w:hAnsi="Arial"/>
          <w:sz w:val="18"/>
          <w:szCs w:val="18"/>
          <w:b w:val="1"/>
          <w:bCs w:val="1"/>
          <w:color w:val="auto"/>
        </w:rPr>
        <w:t>Collaboration Milestones</w:t>
      </w:r>
      <w:r>
        <w:rPr>
          <w:rFonts w:ascii="Arial" w:cs="Arial" w:eastAsia="Arial" w:hAnsi="Arial"/>
          <w:sz w:val="18"/>
          <w:szCs w:val="18"/>
          <w:color w:val="auto"/>
        </w:rPr>
        <w:t>” has the meaning set forth in Section 6.1(b)(iii).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Section 1.34 </w:t>
      </w:r>
      <w:r>
        <w:rPr>
          <w:rFonts w:ascii="Arial" w:cs="Arial" w:eastAsia="Arial" w:hAnsi="Arial"/>
          <w:sz w:val="16"/>
          <w:szCs w:val="16"/>
          <w:color w:val="auto"/>
        </w:rPr>
        <w:t>“</w:t>
      </w:r>
      <w:r>
        <w:rPr>
          <w:rFonts w:ascii="Arial" w:cs="Arial" w:eastAsia="Arial" w:hAnsi="Arial"/>
          <w:sz w:val="16"/>
          <w:szCs w:val="16"/>
          <w:b w:val="1"/>
          <w:bCs w:val="1"/>
          <w:color w:val="auto"/>
        </w:rPr>
        <w:t>Collaboration Patents</w:t>
      </w:r>
      <w:r>
        <w:rPr>
          <w:rFonts w:ascii="Arial" w:cs="Arial" w:eastAsia="Arial" w:hAnsi="Arial"/>
          <w:sz w:val="16"/>
          <w:szCs w:val="16"/>
          <w:color w:val="auto"/>
        </w:rPr>
        <w:t>” means Patent Rights Controlled by a Party (or by the Parties jointly) that claim Collaboration Know-How.</w:t>
      </w:r>
    </w:p>
    <w:p>
      <w:pPr>
        <w:spacing w:after="0" w:line="248"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b w:val="1"/>
          <w:bCs w:val="1"/>
          <w:color w:val="auto"/>
        </w:rPr>
        <w:t xml:space="preserve">Section 1.35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those efforts and resources commensurate with those efforts [***]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Exploitation of pharmaceutical products that are of similar development stage and status, taking into account the proprietary position of the product (including intellectual property scope, subject matter and coverage), safety and efficacy, product profile, competitiveness of the marketplace, the regulatory status and approval process, anticipated or approved labeling, present and future market potential, the probable profitability of the applicable product (including pricing and reimbursement status achieved or likely to be achieved) and other relevant factors such as technical, legal, scientific or medical factors. In determining the level of efforts constituting “</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for a Party, the following shall not be taken into account: [***].</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1.36 </w:t>
      </w:r>
      <w:r>
        <w:rPr>
          <w:rFonts w:ascii="Arial" w:cs="Arial" w:eastAsia="Arial" w:hAnsi="Arial"/>
          <w:sz w:val="18"/>
          <w:szCs w:val="18"/>
          <w:color w:val="auto"/>
        </w:rPr>
        <w:t>“</w:t>
      </w:r>
      <w:r>
        <w:rPr>
          <w:rFonts w:ascii="Arial" w:cs="Arial" w:eastAsia="Arial" w:hAnsi="Arial"/>
          <w:sz w:val="18"/>
          <w:szCs w:val="18"/>
          <w:b w:val="1"/>
          <w:bCs w:val="1"/>
          <w:color w:val="auto"/>
        </w:rPr>
        <w:t>Competing Program</w:t>
      </w:r>
      <w:r>
        <w:rPr>
          <w:rFonts w:ascii="Arial" w:cs="Arial" w:eastAsia="Arial" w:hAnsi="Arial"/>
          <w:sz w:val="18"/>
          <w:szCs w:val="18"/>
          <w:color w:val="auto"/>
        </w:rPr>
        <w:t>” has the meaning set forth in Section 2.7.</w:t>
      </w:r>
    </w:p>
    <w:p>
      <w:pPr>
        <w:spacing w:after="0" w:line="225"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Section 1.37 </w:t>
      </w:r>
      <w:r>
        <w:rPr>
          <w:rFonts w:ascii="Arial" w:cs="Arial" w:eastAsia="Arial" w:hAnsi="Arial"/>
          <w:sz w:val="18"/>
          <w:szCs w:val="18"/>
          <w:color w:val="auto"/>
        </w:rPr>
        <w:t>“</w:t>
      </w:r>
      <w:r>
        <w:rPr>
          <w:rFonts w:ascii="Arial" w:cs="Arial" w:eastAsia="Arial" w:hAnsi="Arial"/>
          <w:sz w:val="18"/>
          <w:szCs w:val="18"/>
          <w:b w:val="1"/>
          <w:bCs w:val="1"/>
          <w:color w:val="auto"/>
        </w:rPr>
        <w:t>Confidential Disclosure Agreement</w:t>
      </w:r>
      <w:r>
        <w:rPr>
          <w:rFonts w:ascii="Arial" w:cs="Arial" w:eastAsia="Arial" w:hAnsi="Arial"/>
          <w:sz w:val="18"/>
          <w:szCs w:val="18"/>
          <w:color w:val="auto"/>
        </w:rPr>
        <w:t>” means that certain Confidential Disclosure Agreement entered into between the Parties as of</w:t>
      </w:r>
      <w:r>
        <w:rPr>
          <w:rFonts w:ascii="Arial" w:cs="Arial" w:eastAsia="Arial" w:hAnsi="Arial"/>
          <w:sz w:val="18"/>
          <w:szCs w:val="18"/>
          <w:b w:val="1"/>
          <w:bCs w:val="1"/>
          <w:color w:val="auto"/>
        </w:rPr>
        <w:t xml:space="preserve"> </w:t>
      </w:r>
      <w:r>
        <w:rPr>
          <w:rFonts w:ascii="Arial" w:cs="Arial" w:eastAsia="Arial" w:hAnsi="Arial"/>
          <w:sz w:val="18"/>
          <w:szCs w:val="18"/>
          <w:color w:val="auto"/>
        </w:rPr>
        <w:t>March 5, 2020, as may be amended from time to time.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1.38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11.1.1.</w:t>
      </w:r>
    </w:p>
    <w:p>
      <w:pPr>
        <w:spacing w:after="0" w:line="225" w:lineRule="exact"/>
        <w:rPr>
          <w:sz w:val="20"/>
          <w:szCs w:val="20"/>
          <w:color w:val="auto"/>
        </w:rPr>
      </w:pPr>
    </w:p>
    <w:p>
      <w:pPr>
        <w:ind w:left="4" w:firstLine="440"/>
        <w:spacing w:after="0" w:line="294" w:lineRule="auto"/>
        <w:rPr>
          <w:sz w:val="20"/>
          <w:szCs w:val="20"/>
          <w:color w:val="auto"/>
        </w:rPr>
      </w:pPr>
      <w:r>
        <w:rPr>
          <w:rFonts w:ascii="Arial" w:cs="Arial" w:eastAsia="Arial" w:hAnsi="Arial"/>
          <w:sz w:val="16"/>
          <w:szCs w:val="16"/>
          <w:b w:val="1"/>
          <w:bCs w:val="1"/>
          <w:color w:val="auto"/>
        </w:rPr>
        <w:t xml:space="preserve">Section 1.39 </w:t>
      </w: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or “</w:t>
      </w:r>
      <w:r>
        <w:rPr>
          <w:rFonts w:ascii="Arial" w:cs="Arial" w:eastAsia="Arial" w:hAnsi="Arial"/>
          <w:sz w:val="16"/>
          <w:szCs w:val="16"/>
          <w:b w:val="1"/>
          <w:bCs w:val="1"/>
          <w:color w:val="auto"/>
        </w:rPr>
        <w:t>Controlled</w:t>
      </w:r>
      <w:r>
        <w:rPr>
          <w:rFonts w:ascii="Arial" w:cs="Arial" w:eastAsia="Arial" w:hAnsi="Arial"/>
          <w:sz w:val="16"/>
          <w:szCs w:val="16"/>
          <w:color w:val="auto"/>
        </w:rPr>
        <w:t>” means, with respect to any Know-How, material, Patent Right, or other intellectual property right, the</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possession (whether by ownership or license) by a Party or its Affiliate of the ability to grant to the other Party a license, sublicense or access as provided herein to such Know-How, material, Patent Right, or other intellectual property right, without violating Laws or the terms of any agreement or other arrangement with any Third Party in existence as of the time such Party or its Affiliates would first be required hereunder to grant the other Party such license, sublicense or access, or being obligated to pay any additional royalties or other consideration in connection with such license, sublicense or access, unless the Party that would be receiving such license, sublicense or access agrees to reimburse the other Party for the relevant payments.</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4"/>
          </w:cols>
          <w:pgMar w:left="436" w:top="270" w:right="459" w:bottom="1440" w:gutter="0" w:footer="0" w:header="0"/>
        </w:sectPr>
      </w:pPr>
    </w:p>
    <w:bookmarkStart w:id="311" w:name="page312"/>
    <w:bookmarkEnd w:id="31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1.40 </w:t>
      </w:r>
      <w:r>
        <w:rPr>
          <w:rFonts w:ascii="Arial" w:cs="Arial" w:eastAsia="Arial" w:hAnsi="Arial"/>
          <w:sz w:val="18"/>
          <w:szCs w:val="18"/>
          <w:color w:val="auto"/>
        </w:rPr>
        <w:t>“</w:t>
      </w:r>
      <w:r>
        <w:rPr>
          <w:rFonts w:ascii="Arial" w:cs="Arial" w:eastAsia="Arial" w:hAnsi="Arial"/>
          <w:sz w:val="18"/>
          <w:szCs w:val="18"/>
          <w:b w:val="1"/>
          <w:bCs w:val="1"/>
          <w:color w:val="auto"/>
        </w:rPr>
        <w:t>Critical Matter</w:t>
      </w:r>
      <w:r>
        <w:rPr>
          <w:rFonts w:ascii="Arial" w:cs="Arial" w:eastAsia="Arial" w:hAnsi="Arial"/>
          <w:sz w:val="18"/>
          <w:szCs w:val="18"/>
          <w:color w:val="auto"/>
        </w:rPr>
        <w:t>” means all matters within the purview of the JRC that relate to: (a)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1.41 </w:t>
      </w:r>
      <w:r>
        <w:rPr>
          <w:rFonts w:ascii="Arial" w:cs="Arial" w:eastAsia="Arial" w:hAnsi="Arial"/>
          <w:sz w:val="18"/>
          <w:szCs w:val="18"/>
          <w:color w:val="auto"/>
        </w:rPr>
        <w:t>“</w:t>
      </w:r>
      <w:r>
        <w:rPr>
          <w:rFonts w:ascii="Arial" w:cs="Arial" w:eastAsia="Arial" w:hAnsi="Arial"/>
          <w:sz w:val="18"/>
          <w:szCs w:val="18"/>
          <w:b w:val="1"/>
          <w:bCs w:val="1"/>
          <w:color w:val="auto"/>
        </w:rPr>
        <w:t>deCODE</w:t>
      </w:r>
      <w:r>
        <w:rPr>
          <w:rFonts w:ascii="Arial" w:cs="Arial" w:eastAsia="Arial" w:hAnsi="Arial"/>
          <w:sz w:val="18"/>
          <w:szCs w:val="18"/>
          <w:color w:val="auto"/>
        </w:rPr>
        <w:t>” has the meaning set forth in Section 3.4.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1.42 </w:t>
      </w:r>
      <w:r>
        <w:rPr>
          <w:rFonts w:ascii="Arial" w:cs="Arial" w:eastAsia="Arial" w:hAnsi="Arial"/>
          <w:sz w:val="18"/>
          <w:szCs w:val="18"/>
          <w:color w:val="auto"/>
        </w:rPr>
        <w:t>“</w:t>
      </w:r>
      <w:r>
        <w:rPr>
          <w:rFonts w:ascii="Arial" w:cs="Arial" w:eastAsia="Arial" w:hAnsi="Arial"/>
          <w:sz w:val="18"/>
          <w:szCs w:val="18"/>
          <w:b w:val="1"/>
          <w:bCs w:val="1"/>
          <w:color w:val="auto"/>
        </w:rPr>
        <w:t>Defending Party</w:t>
      </w:r>
      <w:r>
        <w:rPr>
          <w:rFonts w:ascii="Arial" w:cs="Arial" w:eastAsia="Arial" w:hAnsi="Arial"/>
          <w:sz w:val="18"/>
          <w:szCs w:val="18"/>
          <w:color w:val="auto"/>
        </w:rPr>
        <w:t>” has the meaning set forth in Section 7.2(a).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1.43 </w:t>
      </w:r>
      <w:r>
        <w:rPr>
          <w:rFonts w:ascii="Arial" w:cs="Arial" w:eastAsia="Arial" w:hAnsi="Arial"/>
          <w:sz w:val="18"/>
          <w:szCs w:val="18"/>
          <w:color w:val="auto"/>
        </w:rPr>
        <w:t>“</w:t>
      </w:r>
      <w:r>
        <w:rPr>
          <w:rFonts w:ascii="Arial" w:cs="Arial" w:eastAsia="Arial" w:hAnsi="Arial"/>
          <w:sz w:val="18"/>
          <w:szCs w:val="18"/>
          <w:b w:val="1"/>
          <w:bCs w:val="1"/>
          <w:color w:val="auto"/>
        </w:rPr>
        <w:t>Diagnostic</w:t>
      </w:r>
      <w:r>
        <w:rPr>
          <w:rFonts w:ascii="Arial" w:cs="Arial" w:eastAsia="Arial" w:hAnsi="Arial"/>
          <w:sz w:val="18"/>
          <w:szCs w:val="18"/>
          <w:color w:val="auto"/>
        </w:rPr>
        <w:t>” means a diagnostic product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1.44 </w:t>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set forth in Section 11.1.1.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1.45 </w:t>
      </w: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w:t>
      </w:r>
      <w:r>
        <w:rPr>
          <w:rFonts w:ascii="Arial" w:cs="Arial" w:eastAsia="Arial" w:hAnsi="Arial"/>
          <w:sz w:val="18"/>
          <w:szCs w:val="18"/>
          <w:b w:val="1"/>
          <w:bCs w:val="1"/>
          <w:color w:val="auto"/>
        </w:rPr>
        <w:t xml:space="preserve"> “$” </w:t>
      </w:r>
      <w:r>
        <w:rPr>
          <w:rFonts w:ascii="Arial" w:cs="Arial" w:eastAsia="Arial" w:hAnsi="Arial"/>
          <w:sz w:val="18"/>
          <w:szCs w:val="18"/>
          <w:color w:val="auto"/>
        </w:rPr>
        <w:t>means U.S. Dollars.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1.46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Section 12.1.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1.47 </w:t>
      </w:r>
      <w:r>
        <w:rPr>
          <w:rFonts w:ascii="Arial" w:cs="Arial" w:eastAsia="Arial" w:hAnsi="Arial"/>
          <w:sz w:val="18"/>
          <w:szCs w:val="18"/>
          <w:color w:val="auto"/>
        </w:rPr>
        <w:t>“</w:t>
      </w:r>
      <w:r>
        <w:rPr>
          <w:rFonts w:ascii="Arial" w:cs="Arial" w:eastAsia="Arial" w:hAnsi="Arial"/>
          <w:sz w:val="18"/>
          <w:szCs w:val="18"/>
          <w:b w:val="1"/>
          <w:bCs w:val="1"/>
          <w:color w:val="auto"/>
        </w:rPr>
        <w:t>Enforcing Party</w:t>
      </w:r>
      <w:r>
        <w:rPr>
          <w:rFonts w:ascii="Arial" w:cs="Arial" w:eastAsia="Arial" w:hAnsi="Arial"/>
          <w:sz w:val="18"/>
          <w:szCs w:val="18"/>
          <w:color w:val="auto"/>
        </w:rPr>
        <w:t>” has the meaning set forth in Section 7.3.2(b).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1.48 “Equity Agreements” </w:t>
      </w:r>
      <w:r>
        <w:rPr>
          <w:rFonts w:ascii="Arial" w:cs="Arial" w:eastAsia="Arial" w:hAnsi="Arial"/>
          <w:sz w:val="18"/>
          <w:szCs w:val="18"/>
          <w:color w:val="auto"/>
        </w:rPr>
        <w:t>has the meaning set forth in the recitals hereto.</w:t>
      </w:r>
    </w:p>
    <w:p>
      <w:pPr>
        <w:spacing w:after="0" w:line="225" w:lineRule="exact"/>
        <w:rPr>
          <w:sz w:val="20"/>
          <w:szCs w:val="20"/>
          <w:color w:val="auto"/>
        </w:rPr>
      </w:pPr>
    </w:p>
    <w:p>
      <w:pPr>
        <w:ind w:right="60" w:firstLine="440"/>
        <w:spacing w:after="0" w:line="347" w:lineRule="auto"/>
        <w:rPr>
          <w:sz w:val="20"/>
          <w:szCs w:val="20"/>
          <w:color w:val="auto"/>
        </w:rPr>
      </w:pPr>
      <w:r>
        <w:rPr>
          <w:rFonts w:ascii="Arial" w:cs="Arial" w:eastAsia="Arial" w:hAnsi="Arial"/>
          <w:sz w:val="16"/>
          <w:szCs w:val="16"/>
          <w:b w:val="1"/>
          <w:bCs w:val="1"/>
          <w:color w:val="auto"/>
        </w:rPr>
        <w:t xml:space="preserve">Section 1.49 </w:t>
      </w:r>
      <w:r>
        <w:rPr>
          <w:rFonts w:ascii="Arial" w:cs="Arial" w:eastAsia="Arial" w:hAnsi="Arial"/>
          <w:sz w:val="16"/>
          <w:szCs w:val="16"/>
          <w:color w:val="auto"/>
        </w:rPr>
        <w:t>“</w:t>
      </w:r>
      <w:r>
        <w:rPr>
          <w:rFonts w:ascii="Arial" w:cs="Arial" w:eastAsia="Arial" w:hAnsi="Arial"/>
          <w:sz w:val="16"/>
          <w:szCs w:val="16"/>
          <w:b w:val="1"/>
          <w:bCs w:val="1"/>
          <w:color w:val="auto"/>
        </w:rPr>
        <w:t>Executive Officers</w:t>
      </w:r>
      <w:r>
        <w:rPr>
          <w:rFonts w:ascii="Arial" w:cs="Arial" w:eastAsia="Arial" w:hAnsi="Arial"/>
          <w:sz w:val="16"/>
          <w:szCs w:val="16"/>
          <w:color w:val="auto"/>
        </w:rPr>
        <w:t>” means (a) with respect to RBNC, the [***], and (b) with respect to Amgen, the [***], or in the case of both</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any other person that such officer designates who has the authority to make decisions on behalf of such respective company, from time to time.</w:t>
      </w:r>
    </w:p>
    <w:p>
      <w:pPr>
        <w:spacing w:after="0" w:line="11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 xml:space="preserve">Section 1.50 </w:t>
      </w:r>
      <w:r>
        <w:rPr>
          <w:rFonts w:ascii="Arial" w:cs="Arial" w:eastAsia="Arial" w:hAnsi="Arial"/>
          <w:sz w:val="18"/>
          <w:szCs w:val="18"/>
          <w:color w:val="auto"/>
        </w:rPr>
        <w:t>“</w:t>
      </w:r>
      <w:r>
        <w:rPr>
          <w:rFonts w:ascii="Arial" w:cs="Arial" w:eastAsia="Arial" w:hAnsi="Arial"/>
          <w:sz w:val="18"/>
          <w:szCs w:val="18"/>
          <w:b w:val="1"/>
          <w:bCs w:val="1"/>
          <w:color w:val="auto"/>
        </w:rPr>
        <w:t>Exploit</w:t>
      </w:r>
      <w:r>
        <w:rPr>
          <w:rFonts w:ascii="Arial" w:cs="Arial" w:eastAsia="Arial" w:hAnsi="Arial"/>
          <w:sz w:val="18"/>
          <w:szCs w:val="18"/>
          <w:color w:val="auto"/>
        </w:rPr>
        <w:t>” means to discover, research, develop, make, have made, use, offer for sale, sell, have sold, import, export,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exploit, or transfer possession of or title in. Cognates of the word “</w:t>
      </w:r>
      <w:r>
        <w:rPr>
          <w:rFonts w:ascii="Arial" w:cs="Arial" w:eastAsia="Arial" w:hAnsi="Arial"/>
          <w:sz w:val="18"/>
          <w:szCs w:val="18"/>
          <w:b w:val="1"/>
          <w:bCs w:val="1"/>
          <w:color w:val="auto"/>
        </w:rPr>
        <w:t>Exploit</w:t>
      </w:r>
      <w:r>
        <w:rPr>
          <w:rFonts w:ascii="Arial" w:cs="Arial" w:eastAsia="Arial" w:hAnsi="Arial"/>
          <w:sz w:val="18"/>
          <w:szCs w:val="18"/>
          <w:color w:val="auto"/>
        </w:rPr>
        <w:t>” shall have correlative meanings.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1.51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entity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1.52 </w:t>
      </w:r>
      <w:r>
        <w:rPr>
          <w:rFonts w:ascii="Arial" w:cs="Arial" w:eastAsia="Arial" w:hAnsi="Arial"/>
          <w:sz w:val="18"/>
          <w:szCs w:val="18"/>
          <w:color w:val="auto"/>
        </w:rPr>
        <w:t>“</w:t>
      </w:r>
      <w:r>
        <w:rPr>
          <w:rFonts w:ascii="Arial" w:cs="Arial" w:eastAsia="Arial" w:hAnsi="Arial"/>
          <w:sz w:val="18"/>
          <w:szCs w:val="18"/>
          <w:b w:val="1"/>
          <w:bCs w:val="1"/>
          <w:color w:val="auto"/>
        </w:rPr>
        <w:t>Feasible</w:t>
      </w:r>
      <w:r>
        <w:rPr>
          <w:rFonts w:ascii="Arial" w:cs="Arial" w:eastAsia="Arial" w:hAnsi="Arial"/>
          <w:sz w:val="18"/>
          <w:szCs w:val="18"/>
          <w:color w:val="auto"/>
        </w:rPr>
        <w:t>” means, with respect to a Novel Target, that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1.53 </w:t>
      </w:r>
      <w:r>
        <w:rPr>
          <w:rFonts w:ascii="Arial" w:cs="Arial" w:eastAsia="Arial" w:hAnsi="Arial"/>
          <w:sz w:val="18"/>
          <w:szCs w:val="18"/>
          <w:color w:val="auto"/>
        </w:rPr>
        <w:t>“</w:t>
      </w:r>
      <w:r>
        <w:rPr>
          <w:rFonts w:ascii="Arial" w:cs="Arial" w:eastAsia="Arial" w:hAnsi="Arial"/>
          <w:sz w:val="18"/>
          <w:szCs w:val="18"/>
          <w:b w:val="1"/>
          <w:bCs w:val="1"/>
          <w:color w:val="auto"/>
        </w:rPr>
        <w:t>Feasible for Further Biomarker Development</w:t>
      </w:r>
      <w:r>
        <w:rPr>
          <w:rFonts w:ascii="Arial" w:cs="Arial" w:eastAsia="Arial" w:hAnsi="Arial"/>
          <w:sz w:val="18"/>
          <w:szCs w:val="18"/>
          <w:color w:val="auto"/>
        </w:rPr>
        <w:t>” means, with respect to a Novel Biomarker, that [***].</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Section 1.54 </w:t>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court, agency, department, authority or other instrumentality of any national, state, county,</w:t>
      </w:r>
      <w:r>
        <w:rPr>
          <w:rFonts w:ascii="Arial" w:cs="Arial" w:eastAsia="Arial" w:hAnsi="Arial"/>
          <w:sz w:val="18"/>
          <w:szCs w:val="18"/>
          <w:b w:val="1"/>
          <w:bCs w:val="1"/>
          <w:color w:val="auto"/>
        </w:rPr>
        <w:t xml:space="preserve"> </w:t>
      </w:r>
      <w:r>
        <w:rPr>
          <w:rFonts w:ascii="Arial" w:cs="Arial" w:eastAsia="Arial" w:hAnsi="Arial"/>
          <w:sz w:val="18"/>
          <w:szCs w:val="18"/>
          <w:color w:val="auto"/>
        </w:rPr>
        <w:t>city or other political subdivision.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1.55 </w:t>
      </w: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(15 U.S.C. § 18a).</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Section 1.56 </w:t>
      </w:r>
      <w:r>
        <w:rPr>
          <w:rFonts w:ascii="Arial" w:cs="Arial" w:eastAsia="Arial" w:hAnsi="Arial"/>
          <w:sz w:val="18"/>
          <w:szCs w:val="18"/>
          <w:color w:val="auto"/>
        </w:rPr>
        <w:t>“</w:t>
      </w:r>
      <w:r>
        <w:rPr>
          <w:rFonts w:ascii="Arial" w:cs="Arial" w:eastAsia="Arial" w:hAnsi="Arial"/>
          <w:sz w:val="18"/>
          <w:szCs w:val="18"/>
          <w:b w:val="1"/>
          <w:bCs w:val="1"/>
          <w:color w:val="auto"/>
        </w:rPr>
        <w:t>HSR Filing</w:t>
      </w:r>
      <w:r>
        <w:rPr>
          <w:rFonts w:ascii="Arial" w:cs="Arial" w:eastAsia="Arial" w:hAnsi="Arial"/>
          <w:sz w:val="18"/>
          <w:szCs w:val="18"/>
          <w:color w:val="auto"/>
        </w:rPr>
        <w:t>” means a filing by each of Amgen and RBNC with the United States Federal Trade Commission and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Department of Justice of a Notification and Report Form for Certain Mergers and Acquisitions (as defined in the HSR Act) with respect to the Transaction together with all required documentary attachments thereto.</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20"/>
          </w:cols>
          <w:pgMar w:left="440" w:top="270" w:right="539" w:bottom="1440" w:gutter="0" w:footer="0" w:header="0"/>
        </w:sectPr>
      </w:pPr>
    </w:p>
    <w:bookmarkStart w:id="312" w:name="page313"/>
    <w:bookmarkEnd w:id="312"/>
    <w:p>
      <w:pPr>
        <w:ind w:left="4"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1.57 </w:t>
      </w:r>
      <w:r>
        <w:rPr>
          <w:rFonts w:ascii="Arial" w:cs="Arial" w:eastAsia="Arial" w:hAnsi="Arial"/>
          <w:sz w:val="18"/>
          <w:szCs w:val="18"/>
          <w:color w:val="auto"/>
        </w:rPr>
        <w:t>“</w:t>
      </w:r>
      <w:r>
        <w:rPr>
          <w:rFonts w:ascii="Arial" w:cs="Arial" w:eastAsia="Arial" w:hAnsi="Arial"/>
          <w:sz w:val="18"/>
          <w:szCs w:val="18"/>
          <w:b w:val="1"/>
          <w:bCs w:val="1"/>
          <w:color w:val="auto"/>
        </w:rPr>
        <w:t>Human Sample</w:t>
      </w:r>
      <w:r>
        <w:rPr>
          <w:rFonts w:ascii="Arial" w:cs="Arial" w:eastAsia="Arial" w:hAnsi="Arial"/>
          <w:sz w:val="18"/>
          <w:szCs w:val="18"/>
          <w:color w:val="auto"/>
        </w:rPr>
        <w:t>” means any biological material obtained from a natural person, including any tissue, whole blood, blood plasma,</w:t>
      </w:r>
      <w:r>
        <w:rPr>
          <w:rFonts w:ascii="Arial" w:cs="Arial" w:eastAsia="Arial" w:hAnsi="Arial"/>
          <w:sz w:val="18"/>
          <w:szCs w:val="18"/>
          <w:b w:val="1"/>
          <w:bCs w:val="1"/>
          <w:color w:val="auto"/>
        </w:rPr>
        <w:t xml:space="preserve"> </w:t>
      </w:r>
      <w:r>
        <w:rPr>
          <w:rFonts w:ascii="Arial" w:cs="Arial" w:eastAsia="Arial" w:hAnsi="Arial"/>
          <w:sz w:val="18"/>
          <w:szCs w:val="18"/>
          <w:color w:val="auto"/>
        </w:rPr>
        <w:t>blood serum, cerebrospinal fluid, cells, cell lines, bodily fluids, and urine, or any derivative or product of such biological material, collected or otherwise obtained and made available by or on behalf of a Party pursuant to this Agreement for use in a Project.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1.58 </w:t>
      </w: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 Section 9.1.3.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1.59 </w:t>
      </w:r>
      <w:r>
        <w:rPr>
          <w:rFonts w:ascii="Arial" w:cs="Arial" w:eastAsia="Arial" w:hAnsi="Arial"/>
          <w:sz w:val="18"/>
          <w:szCs w:val="18"/>
          <w:color w:val="auto"/>
        </w:rPr>
        <w:t>“</w:t>
      </w:r>
      <w:r>
        <w:rPr>
          <w:rFonts w:ascii="Arial" w:cs="Arial" w:eastAsia="Arial" w:hAnsi="Arial"/>
          <w:sz w:val="18"/>
          <w:szCs w:val="18"/>
          <w:b w:val="1"/>
          <w:bCs w:val="1"/>
          <w:color w:val="auto"/>
        </w:rPr>
        <w:t>Indemnitor</w:t>
      </w:r>
      <w:r>
        <w:rPr>
          <w:rFonts w:ascii="Arial" w:cs="Arial" w:eastAsia="Arial" w:hAnsi="Arial"/>
          <w:sz w:val="18"/>
          <w:szCs w:val="18"/>
          <w:color w:val="auto"/>
        </w:rPr>
        <w:t>” has the meaning set forth in Section 9.1.3.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1.60 </w:t>
      </w:r>
      <w:r>
        <w:rPr>
          <w:rFonts w:ascii="Arial" w:cs="Arial" w:eastAsia="Arial" w:hAnsi="Arial"/>
          <w:sz w:val="18"/>
          <w:szCs w:val="18"/>
          <w:color w:val="auto"/>
        </w:rPr>
        <w:t>“</w:t>
      </w:r>
      <w:r>
        <w:rPr>
          <w:rFonts w:ascii="Arial" w:cs="Arial" w:eastAsia="Arial" w:hAnsi="Arial"/>
          <w:sz w:val="18"/>
          <w:szCs w:val="18"/>
          <w:b w:val="1"/>
          <w:bCs w:val="1"/>
          <w:color w:val="auto"/>
        </w:rPr>
        <w:t>Ideas</w:t>
      </w:r>
      <w:r>
        <w:rPr>
          <w:rFonts w:ascii="Arial" w:cs="Arial" w:eastAsia="Arial" w:hAnsi="Arial"/>
          <w:sz w:val="18"/>
          <w:szCs w:val="18"/>
          <w:color w:val="auto"/>
        </w:rPr>
        <w:t>” means ideas, hypotheses, or potential or actual correlations between (i) [***], and (ii)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1.61 </w:t>
      </w:r>
      <w:r>
        <w:rPr>
          <w:rFonts w:ascii="Arial" w:cs="Arial" w:eastAsia="Arial" w:hAnsi="Arial"/>
          <w:sz w:val="18"/>
          <w:szCs w:val="18"/>
          <w:color w:val="auto"/>
        </w:rPr>
        <w:t>“</w:t>
      </w:r>
      <w:r>
        <w:rPr>
          <w:rFonts w:ascii="Arial" w:cs="Arial" w:eastAsia="Arial" w:hAnsi="Arial"/>
          <w:sz w:val="18"/>
          <w:szCs w:val="18"/>
          <w:b w:val="1"/>
          <w:bCs w:val="1"/>
          <w:color w:val="auto"/>
        </w:rPr>
        <w:t>Inventions</w:t>
      </w:r>
      <w:r>
        <w:rPr>
          <w:rFonts w:ascii="Arial" w:cs="Arial" w:eastAsia="Arial" w:hAnsi="Arial"/>
          <w:sz w:val="18"/>
          <w:szCs w:val="18"/>
          <w:color w:val="auto"/>
        </w:rPr>
        <w:t>” has the meaning set forth in Section 7.1.3.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Section 1.62 </w:t>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(1) RBNC’s first underwritten public offering of its common stock under the Securities Act of 1933, as amended or</w:t>
      </w:r>
    </w:p>
    <w:p>
      <w:pPr>
        <w:spacing w:after="0" w:line="50" w:lineRule="exact"/>
        <w:rPr>
          <w:sz w:val="20"/>
          <w:szCs w:val="20"/>
          <w:color w:val="auto"/>
        </w:rPr>
      </w:pPr>
    </w:p>
    <w:p>
      <w:pPr>
        <w:ind w:left="444" w:right="4420" w:hanging="444"/>
        <w:spacing w:after="0" w:line="551" w:lineRule="auto"/>
        <w:tabs>
          <w:tab w:leader="none" w:pos="25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RBNC’s closing of a merger with a publicly listed special purpose acquisition company. </w:t>
      </w:r>
      <w:r>
        <w:rPr>
          <w:rFonts w:ascii="Arial" w:cs="Arial" w:eastAsia="Arial" w:hAnsi="Arial"/>
          <w:sz w:val="16"/>
          <w:szCs w:val="16"/>
          <w:b w:val="1"/>
          <w:bCs w:val="1"/>
          <w:color w:val="auto"/>
        </w:rPr>
        <w:t xml:space="preserve">Section 1.63 </w:t>
      </w:r>
      <w:r>
        <w:rPr>
          <w:rFonts w:ascii="Arial" w:cs="Arial" w:eastAsia="Arial" w:hAnsi="Arial"/>
          <w:sz w:val="16"/>
          <w:szCs w:val="16"/>
          <w:color w:val="auto"/>
        </w:rPr>
        <w:t>“</w:t>
      </w:r>
      <w:r>
        <w:rPr>
          <w:rFonts w:ascii="Arial" w:cs="Arial" w:eastAsia="Arial" w:hAnsi="Arial"/>
          <w:sz w:val="16"/>
          <w:szCs w:val="16"/>
          <w:b w:val="1"/>
          <w:bCs w:val="1"/>
          <w:color w:val="auto"/>
        </w:rPr>
        <w:t>Issuing Party</w:t>
      </w:r>
      <w:r>
        <w:rPr>
          <w:rFonts w:ascii="Arial" w:cs="Arial" w:eastAsia="Arial" w:hAnsi="Arial"/>
          <w:sz w:val="16"/>
          <w:szCs w:val="16"/>
          <w:color w:val="auto"/>
        </w:rPr>
        <w:t>” has the meaning set forth in Section 11.2.2.</w:t>
      </w:r>
    </w:p>
    <w:p>
      <w:pPr>
        <w:ind w:left="444" w:right="2440"/>
        <w:spacing w:after="0" w:line="563" w:lineRule="auto"/>
        <w:rPr>
          <w:rFonts w:ascii="Arial" w:cs="Arial" w:eastAsia="Arial" w:hAnsi="Arial"/>
          <w:sz w:val="16"/>
          <w:szCs w:val="16"/>
          <w:color w:val="auto"/>
        </w:rPr>
      </w:pPr>
      <w:r>
        <w:rPr>
          <w:rFonts w:ascii="Arial" w:cs="Arial" w:eastAsia="Arial" w:hAnsi="Arial"/>
          <w:sz w:val="16"/>
          <w:szCs w:val="16"/>
          <w:b w:val="1"/>
          <w:bCs w:val="1"/>
          <w:color w:val="auto"/>
        </w:rPr>
        <w:t xml:space="preserve">Section 1.64 </w:t>
      </w:r>
      <w:r>
        <w:rPr>
          <w:rFonts w:ascii="Arial" w:cs="Arial" w:eastAsia="Arial" w:hAnsi="Arial"/>
          <w:sz w:val="16"/>
          <w:szCs w:val="16"/>
          <w:color w:val="auto"/>
        </w:rPr>
        <w:t>“</w:t>
      </w:r>
      <w:r>
        <w:rPr>
          <w:rFonts w:ascii="Arial" w:cs="Arial" w:eastAsia="Arial" w:hAnsi="Arial"/>
          <w:sz w:val="16"/>
          <w:szCs w:val="16"/>
          <w:b w:val="1"/>
          <w:bCs w:val="1"/>
          <w:color w:val="auto"/>
        </w:rPr>
        <w:t>Joint Collaboration IP</w:t>
      </w:r>
      <w:r>
        <w:rPr>
          <w:rFonts w:ascii="Arial" w:cs="Arial" w:eastAsia="Arial" w:hAnsi="Arial"/>
          <w:sz w:val="16"/>
          <w:szCs w:val="16"/>
          <w:color w:val="auto"/>
        </w:rPr>
        <w:t>” means the Joint Collaboration Patents together with the Joint Inventions.</w:t>
      </w:r>
      <w:r>
        <w:rPr>
          <w:rFonts w:ascii="Arial" w:cs="Arial" w:eastAsia="Arial" w:hAnsi="Arial"/>
          <w:sz w:val="16"/>
          <w:szCs w:val="16"/>
          <w:b w:val="1"/>
          <w:bCs w:val="1"/>
          <w:color w:val="auto"/>
        </w:rPr>
        <w:t xml:space="preserve"> Section 1.65 </w:t>
      </w:r>
      <w:r>
        <w:rPr>
          <w:rFonts w:ascii="Arial" w:cs="Arial" w:eastAsia="Arial" w:hAnsi="Arial"/>
          <w:sz w:val="16"/>
          <w:szCs w:val="16"/>
          <w:color w:val="auto"/>
        </w:rPr>
        <w:t>“</w:t>
      </w:r>
      <w:r>
        <w:rPr>
          <w:rFonts w:ascii="Arial" w:cs="Arial" w:eastAsia="Arial" w:hAnsi="Arial"/>
          <w:sz w:val="16"/>
          <w:szCs w:val="16"/>
          <w:b w:val="1"/>
          <w:bCs w:val="1"/>
          <w:color w:val="auto"/>
        </w:rPr>
        <w:t>Joint Collaboration Patents</w:t>
      </w:r>
      <w:r>
        <w:rPr>
          <w:rFonts w:ascii="Arial" w:cs="Arial" w:eastAsia="Arial" w:hAnsi="Arial"/>
          <w:sz w:val="16"/>
          <w:szCs w:val="16"/>
          <w:color w:val="auto"/>
        </w:rPr>
        <w:t>” has the meaning set forth in Section 7.1.3 (Collaboration IP).</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1.66 </w:t>
      </w:r>
      <w:r>
        <w:rPr>
          <w:rFonts w:ascii="Arial" w:cs="Arial" w:eastAsia="Arial" w:hAnsi="Arial"/>
          <w:sz w:val="18"/>
          <w:szCs w:val="18"/>
          <w:color w:val="auto"/>
        </w:rPr>
        <w:t>“</w:t>
      </w:r>
      <w:r>
        <w:rPr>
          <w:rFonts w:ascii="Arial" w:cs="Arial" w:eastAsia="Arial" w:hAnsi="Arial"/>
          <w:sz w:val="18"/>
          <w:szCs w:val="18"/>
          <w:b w:val="1"/>
          <w:bCs w:val="1"/>
          <w:color w:val="auto"/>
        </w:rPr>
        <w:t>Joint Inventions</w:t>
      </w:r>
      <w:r>
        <w:rPr>
          <w:rFonts w:ascii="Arial" w:cs="Arial" w:eastAsia="Arial" w:hAnsi="Arial"/>
          <w:sz w:val="18"/>
          <w:szCs w:val="18"/>
          <w:color w:val="auto"/>
        </w:rPr>
        <w:t>” has the meaning set forth in Section 7.1.3 (Collaboration IP).</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1.67 </w:t>
      </w:r>
      <w:r>
        <w:rPr>
          <w:rFonts w:ascii="Arial" w:cs="Arial" w:eastAsia="Arial" w:hAnsi="Arial"/>
          <w:sz w:val="18"/>
          <w:szCs w:val="18"/>
          <w:color w:val="auto"/>
        </w:rPr>
        <w:t>“</w:t>
      </w:r>
      <w:r>
        <w:rPr>
          <w:rFonts w:ascii="Arial" w:cs="Arial" w:eastAsia="Arial" w:hAnsi="Arial"/>
          <w:sz w:val="18"/>
          <w:szCs w:val="18"/>
          <w:b w:val="1"/>
          <w:bCs w:val="1"/>
          <w:color w:val="auto"/>
        </w:rPr>
        <w:t>Joint Research Committee</w:t>
      </w:r>
      <w:r>
        <w:rPr>
          <w:rFonts w:ascii="Arial" w:cs="Arial" w:eastAsia="Arial" w:hAnsi="Arial"/>
          <w:sz w:val="18"/>
          <w:szCs w:val="18"/>
          <w:color w:val="auto"/>
        </w:rPr>
        <w:t>” or “</w:t>
      </w:r>
      <w:r>
        <w:rPr>
          <w:rFonts w:ascii="Arial" w:cs="Arial" w:eastAsia="Arial" w:hAnsi="Arial"/>
          <w:sz w:val="18"/>
          <w:szCs w:val="18"/>
          <w:b w:val="1"/>
          <w:bCs w:val="1"/>
          <w:color w:val="auto"/>
        </w:rPr>
        <w:t>JRC</w:t>
      </w:r>
      <w:r>
        <w:rPr>
          <w:rFonts w:ascii="Arial" w:cs="Arial" w:eastAsia="Arial" w:hAnsi="Arial"/>
          <w:sz w:val="18"/>
          <w:szCs w:val="18"/>
          <w:color w:val="auto"/>
        </w:rPr>
        <w:t>” has the meaning set forth in Section 2.6.1.</w:t>
      </w:r>
    </w:p>
    <w:p>
      <w:pPr>
        <w:spacing w:after="0" w:line="225" w:lineRule="exact"/>
        <w:rPr>
          <w:sz w:val="20"/>
          <w:szCs w:val="20"/>
          <w:color w:val="auto"/>
        </w:rPr>
      </w:pPr>
    </w:p>
    <w:p>
      <w:pPr>
        <w:ind w:left="4" w:right="720" w:firstLine="440"/>
        <w:spacing w:after="0" w:line="282" w:lineRule="auto"/>
        <w:rPr>
          <w:sz w:val="20"/>
          <w:szCs w:val="20"/>
          <w:color w:val="auto"/>
        </w:rPr>
      </w:pPr>
      <w:r>
        <w:rPr>
          <w:rFonts w:ascii="Arial" w:cs="Arial" w:eastAsia="Arial" w:hAnsi="Arial"/>
          <w:sz w:val="18"/>
          <w:szCs w:val="18"/>
          <w:b w:val="1"/>
          <w:bCs w:val="1"/>
          <w:color w:val="auto"/>
        </w:rPr>
        <w:t xml:space="preserve">Section 1.68 </w:t>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proprietary techniques, technology, trade secrets, inventions (whether patentable or not), correlations,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associations, methods, know-how, data and results and other information.</w:t>
      </w:r>
    </w:p>
    <w:p>
      <w:pPr>
        <w:spacing w:after="0" w:line="162" w:lineRule="exact"/>
        <w:rPr>
          <w:sz w:val="20"/>
          <w:szCs w:val="20"/>
          <w:color w:val="auto"/>
        </w:rPr>
      </w:pPr>
    </w:p>
    <w:p>
      <w:pPr>
        <w:ind w:left="4" w:right="60" w:firstLine="440"/>
        <w:spacing w:after="0" w:line="314" w:lineRule="auto"/>
        <w:rPr>
          <w:sz w:val="20"/>
          <w:szCs w:val="20"/>
          <w:color w:val="auto"/>
        </w:rPr>
      </w:pPr>
      <w:r>
        <w:rPr>
          <w:rFonts w:ascii="Arial" w:cs="Arial" w:eastAsia="Arial" w:hAnsi="Arial"/>
          <w:sz w:val="16"/>
          <w:szCs w:val="16"/>
          <w:b w:val="1"/>
          <w:bCs w:val="1"/>
          <w:color w:val="auto"/>
        </w:rPr>
        <w:t xml:space="preserve">Section 1.69 </w:t>
      </w:r>
      <w:r>
        <w:rPr>
          <w:rFonts w:ascii="Arial" w:cs="Arial" w:eastAsia="Arial" w:hAnsi="Arial"/>
          <w:sz w:val="16"/>
          <w:szCs w:val="16"/>
          <w:color w:val="auto"/>
        </w:rPr>
        <w:t>“</w:t>
      </w:r>
      <w:r>
        <w:rPr>
          <w:rFonts w:ascii="Arial" w:cs="Arial" w:eastAsia="Arial" w:hAnsi="Arial"/>
          <w:sz w:val="16"/>
          <w:szCs w:val="16"/>
          <w:b w:val="1"/>
          <w:bCs w:val="1"/>
          <w:color w:val="auto"/>
        </w:rPr>
        <w:t>Law</w:t>
      </w:r>
      <w:r>
        <w:rPr>
          <w:rFonts w:ascii="Arial" w:cs="Arial" w:eastAsia="Arial" w:hAnsi="Arial"/>
          <w:sz w:val="16"/>
          <w:szCs w:val="16"/>
          <w:color w:val="auto"/>
        </w:rPr>
        <w:t>” means, individually and collectively, any and all laws, ordinances, rules, directives, administrative circulars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any kind whatsoever of any Governmental Authority within the applicable jurisdiction, including, but not limited to, Anti-Corruption Laws and those that govern the collection, use, processing, disclosure, and protection of Personal Information, privacy, data security, and data breach notification.</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1.70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9.1.1.</w:t>
      </w:r>
    </w:p>
    <w:p>
      <w:pPr>
        <w:spacing w:after="0" w:line="225" w:lineRule="exact"/>
        <w:rPr>
          <w:sz w:val="20"/>
          <w:szCs w:val="20"/>
          <w:color w:val="auto"/>
        </w:rPr>
      </w:pPr>
    </w:p>
    <w:p>
      <w:pPr>
        <w:ind w:left="4" w:right="180" w:firstLine="440"/>
        <w:spacing w:after="0" w:line="266" w:lineRule="auto"/>
        <w:rPr>
          <w:sz w:val="20"/>
          <w:szCs w:val="20"/>
          <w:color w:val="auto"/>
        </w:rPr>
      </w:pPr>
      <w:r>
        <w:rPr>
          <w:rFonts w:ascii="Arial" w:cs="Arial" w:eastAsia="Arial" w:hAnsi="Arial"/>
          <w:sz w:val="18"/>
          <w:szCs w:val="18"/>
          <w:b w:val="1"/>
          <w:bCs w:val="1"/>
          <w:color w:val="auto"/>
        </w:rPr>
        <w:t xml:space="preserve">Section 1.71 </w:t>
      </w:r>
      <w:r>
        <w:rPr>
          <w:rFonts w:ascii="Arial" w:cs="Arial" w:eastAsia="Arial" w:hAnsi="Arial"/>
          <w:sz w:val="18"/>
          <w:szCs w:val="18"/>
          <w:color w:val="auto"/>
        </w:rPr>
        <w:t>“</w:t>
      </w:r>
      <w:r>
        <w:rPr>
          <w:rFonts w:ascii="Arial" w:cs="Arial" w:eastAsia="Arial" w:hAnsi="Arial"/>
          <w:sz w:val="18"/>
          <w:szCs w:val="18"/>
          <w:b w:val="1"/>
          <w:bCs w:val="1"/>
          <w:color w:val="auto"/>
        </w:rPr>
        <w:t>Marketing Approval</w:t>
      </w:r>
      <w:r>
        <w:rPr>
          <w:rFonts w:ascii="Arial" w:cs="Arial" w:eastAsia="Arial" w:hAnsi="Arial"/>
          <w:sz w:val="18"/>
          <w:szCs w:val="18"/>
          <w:color w:val="auto"/>
        </w:rPr>
        <w:t>” means all approvals, licenses, registrations or authorizations of the Regulatory Authority in a country,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necessary for the manufacture, use, storage, import, marketing and sale (including with respect to pricing and reimbursement) of a Collaboration Derived Product in such country.</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1.72 </w:t>
      </w: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has the meaning set forth in Section 3.6.</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4"/>
          </w:cols>
          <w:pgMar w:left="436" w:top="270" w:right="459" w:bottom="1440" w:gutter="0" w:footer="0" w:header="0"/>
        </w:sectPr>
      </w:pPr>
    </w:p>
    <w:bookmarkStart w:id="313" w:name="page314"/>
    <w:bookmarkEnd w:id="313"/>
    <w:p>
      <w:pPr>
        <w:ind w:right="1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1.73 </w:t>
      </w:r>
      <w:r>
        <w:rPr>
          <w:rFonts w:ascii="Arial" w:cs="Arial" w:eastAsia="Arial" w:hAnsi="Arial"/>
          <w:sz w:val="18"/>
          <w:szCs w:val="18"/>
          <w:color w:val="auto"/>
        </w:rPr>
        <w:t>“</w:t>
      </w:r>
      <w:r>
        <w:rPr>
          <w:rFonts w:ascii="Arial" w:cs="Arial" w:eastAsia="Arial" w:hAnsi="Arial"/>
          <w:sz w:val="18"/>
          <w:szCs w:val="18"/>
          <w:b w:val="1"/>
          <w:bCs w:val="1"/>
          <w:color w:val="auto"/>
        </w:rPr>
        <w:t>Non-CNS Diseases</w:t>
      </w:r>
      <w:r>
        <w:rPr>
          <w:rFonts w:ascii="Arial" w:cs="Arial" w:eastAsia="Arial" w:hAnsi="Arial"/>
          <w:sz w:val="18"/>
          <w:szCs w:val="18"/>
          <w:color w:val="auto"/>
        </w:rPr>
        <w:t>” means all diseases, the effects of which manifest primarily outside the CNS, regardless of whether the source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diseases is in the central nervous system, including, without limitation, [***].</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1.74 </w:t>
      </w:r>
      <w:r>
        <w:rPr>
          <w:rFonts w:ascii="Arial" w:cs="Arial" w:eastAsia="Arial" w:hAnsi="Arial"/>
          <w:sz w:val="18"/>
          <w:szCs w:val="18"/>
          <w:color w:val="auto"/>
        </w:rPr>
        <w:t>“</w:t>
      </w:r>
      <w:r>
        <w:rPr>
          <w:rFonts w:ascii="Arial" w:cs="Arial" w:eastAsia="Arial" w:hAnsi="Arial"/>
          <w:sz w:val="18"/>
          <w:szCs w:val="18"/>
          <w:b w:val="1"/>
          <w:bCs w:val="1"/>
          <w:color w:val="auto"/>
        </w:rPr>
        <w:t>Non-Publishing Party</w:t>
      </w:r>
      <w:r>
        <w:rPr>
          <w:rFonts w:ascii="Arial" w:cs="Arial" w:eastAsia="Arial" w:hAnsi="Arial"/>
          <w:sz w:val="18"/>
          <w:szCs w:val="18"/>
          <w:color w:val="auto"/>
        </w:rPr>
        <w:t>” has the meaning set forth in Section 11.3.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1.75 </w:t>
      </w:r>
      <w:r>
        <w:rPr>
          <w:rFonts w:ascii="Arial" w:cs="Arial" w:eastAsia="Arial" w:hAnsi="Arial"/>
          <w:sz w:val="18"/>
          <w:szCs w:val="18"/>
          <w:color w:val="auto"/>
        </w:rPr>
        <w:t>“</w:t>
      </w:r>
      <w:r>
        <w:rPr>
          <w:rFonts w:ascii="Arial" w:cs="Arial" w:eastAsia="Arial" w:hAnsi="Arial"/>
          <w:sz w:val="18"/>
          <w:szCs w:val="18"/>
          <w:b w:val="1"/>
          <w:bCs w:val="1"/>
          <w:color w:val="auto"/>
        </w:rPr>
        <w:t>Notice Period</w:t>
      </w:r>
      <w:r>
        <w:rPr>
          <w:rFonts w:ascii="Arial" w:cs="Arial" w:eastAsia="Arial" w:hAnsi="Arial"/>
          <w:sz w:val="18"/>
          <w:szCs w:val="18"/>
          <w:color w:val="auto"/>
        </w:rPr>
        <w:t>” has the meaning set forth in Section 5.4.2.</w:t>
      </w:r>
    </w:p>
    <w:p>
      <w:pPr>
        <w:spacing w:after="0" w:line="225" w:lineRule="exact"/>
        <w:rPr>
          <w:sz w:val="20"/>
          <w:szCs w:val="20"/>
          <w:color w:val="auto"/>
        </w:rPr>
      </w:pPr>
    </w:p>
    <w:p>
      <w:pPr>
        <w:ind w:right="600" w:firstLine="440"/>
        <w:spacing w:after="0" w:line="312" w:lineRule="auto"/>
        <w:rPr>
          <w:sz w:val="20"/>
          <w:szCs w:val="20"/>
          <w:color w:val="auto"/>
        </w:rPr>
      </w:pPr>
      <w:r>
        <w:rPr>
          <w:rFonts w:ascii="Arial" w:cs="Arial" w:eastAsia="Arial" w:hAnsi="Arial"/>
          <w:sz w:val="17"/>
          <w:szCs w:val="17"/>
          <w:b w:val="1"/>
          <w:bCs w:val="1"/>
          <w:color w:val="auto"/>
        </w:rPr>
        <w:t xml:space="preserve">Section 1.76 </w:t>
      </w:r>
      <w:r>
        <w:rPr>
          <w:rFonts w:ascii="Arial" w:cs="Arial" w:eastAsia="Arial" w:hAnsi="Arial"/>
          <w:sz w:val="17"/>
          <w:szCs w:val="17"/>
          <w:color w:val="auto"/>
        </w:rPr>
        <w:t>“</w:t>
      </w:r>
      <w:r>
        <w:rPr>
          <w:rFonts w:ascii="Arial" w:cs="Arial" w:eastAsia="Arial" w:hAnsi="Arial"/>
          <w:sz w:val="17"/>
          <w:szCs w:val="17"/>
          <w:b w:val="1"/>
          <w:bCs w:val="1"/>
          <w:color w:val="auto"/>
        </w:rPr>
        <w:t>Novel Biomarker</w:t>
      </w:r>
      <w:r>
        <w:rPr>
          <w:rFonts w:ascii="Arial" w:cs="Arial" w:eastAsia="Arial" w:hAnsi="Arial"/>
          <w:sz w:val="17"/>
          <w:szCs w:val="17"/>
          <w:color w:val="auto"/>
        </w:rPr>
        <w:t>” and “</w:t>
      </w:r>
      <w:r>
        <w:rPr>
          <w:rFonts w:ascii="Arial" w:cs="Arial" w:eastAsia="Arial" w:hAnsi="Arial"/>
          <w:sz w:val="17"/>
          <w:szCs w:val="17"/>
          <w:b w:val="1"/>
          <w:bCs w:val="1"/>
          <w:color w:val="auto"/>
        </w:rPr>
        <w:t>Novel Target</w:t>
      </w:r>
      <w:r>
        <w:rPr>
          <w:rFonts w:ascii="Arial" w:cs="Arial" w:eastAsia="Arial" w:hAnsi="Arial"/>
          <w:sz w:val="17"/>
          <w:szCs w:val="17"/>
          <w:color w:val="auto"/>
        </w:rPr>
        <w:t>” mean an association between such biomarker or target, respectively, and detection,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progression, or treatment of a specific CNS Disease (e.g. Alzheimer’s, schizophrenia) that was previously unknown (i.e. [***]).</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1.77 </w:t>
      </w: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has the meaning set forth in Section 5.3.1.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1.78 </w:t>
      </w:r>
      <w:r>
        <w:rPr>
          <w:rFonts w:ascii="Arial" w:cs="Arial" w:eastAsia="Arial" w:hAnsi="Arial"/>
          <w:sz w:val="18"/>
          <w:szCs w:val="18"/>
          <w:color w:val="auto"/>
        </w:rPr>
        <w:t>“</w:t>
      </w:r>
      <w:r>
        <w:rPr>
          <w:rFonts w:ascii="Arial" w:cs="Arial" w:eastAsia="Arial" w:hAnsi="Arial"/>
          <w:sz w:val="18"/>
          <w:szCs w:val="18"/>
          <w:b w:val="1"/>
          <w:bCs w:val="1"/>
          <w:color w:val="auto"/>
        </w:rPr>
        <w:t>Option Negotiation Exclusivity Period</w:t>
      </w:r>
      <w:r>
        <w:rPr>
          <w:rFonts w:ascii="Arial" w:cs="Arial" w:eastAsia="Arial" w:hAnsi="Arial"/>
          <w:sz w:val="18"/>
          <w:szCs w:val="18"/>
          <w:color w:val="auto"/>
        </w:rPr>
        <w:t>” has the meaning set forth in Section 5.3.2.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1.79 </w:t>
      </w:r>
      <w:r>
        <w:rPr>
          <w:rFonts w:ascii="Arial" w:cs="Arial" w:eastAsia="Arial" w:hAnsi="Arial"/>
          <w:sz w:val="18"/>
          <w:szCs w:val="18"/>
          <w:color w:val="auto"/>
        </w:rPr>
        <w:t>“</w:t>
      </w:r>
      <w:r>
        <w:rPr>
          <w:rFonts w:ascii="Arial" w:cs="Arial" w:eastAsia="Arial" w:hAnsi="Arial"/>
          <w:sz w:val="18"/>
          <w:szCs w:val="18"/>
          <w:b w:val="1"/>
          <w:bCs w:val="1"/>
          <w:color w:val="auto"/>
        </w:rPr>
        <w:t>Option Period</w:t>
      </w:r>
      <w:r>
        <w:rPr>
          <w:rFonts w:ascii="Arial" w:cs="Arial" w:eastAsia="Arial" w:hAnsi="Arial"/>
          <w:sz w:val="18"/>
          <w:szCs w:val="18"/>
          <w:color w:val="auto"/>
        </w:rPr>
        <w:t>” has the meaning set forth in Section 5.3.1.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1.80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1.81 </w:t>
      </w:r>
      <w:r>
        <w:rPr>
          <w:rFonts w:ascii="Arial" w:cs="Arial" w:eastAsia="Arial" w:hAnsi="Arial"/>
          <w:sz w:val="18"/>
          <w:szCs w:val="18"/>
          <w:color w:val="auto"/>
        </w:rPr>
        <w:t>“</w:t>
      </w:r>
      <w:r>
        <w:rPr>
          <w:rFonts w:ascii="Arial" w:cs="Arial" w:eastAsia="Arial" w:hAnsi="Arial"/>
          <w:sz w:val="18"/>
          <w:szCs w:val="18"/>
          <w:b w:val="1"/>
          <w:bCs w:val="1"/>
          <w:color w:val="auto"/>
        </w:rPr>
        <w:t>Pass-through Costs and Expenses</w:t>
      </w:r>
      <w:r>
        <w:rPr>
          <w:rFonts w:ascii="Arial" w:cs="Arial" w:eastAsia="Arial" w:hAnsi="Arial"/>
          <w:sz w:val="18"/>
          <w:szCs w:val="18"/>
          <w:color w:val="auto"/>
        </w:rPr>
        <w:t>” has the meaning set forth in Section 6.2.</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1.82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any provisional and non-provisional patents and patent applications, together with all additions, divisions,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continuations, continuations-in-part, substitutions, and reissues claiming priority thereto, and all patents issuing on any of the foregoing patent applications, as well as any re-examinations, extensions, registrations, patent term extensions, supplemental protection certificates, renewals and the like with respect to any of the foregoing and all foreign counterparts thereof.</w:t>
      </w:r>
    </w:p>
    <w:p>
      <w:pPr>
        <w:spacing w:after="0" w:line="180"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b w:val="1"/>
          <w:bCs w:val="1"/>
          <w:color w:val="auto"/>
        </w:rPr>
        <w:t xml:space="preserve">Section 1.83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corporation, limited or general partnership, limited liability company, joint venture, trust, unincorporated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governmental body, authority, bureau or agency, any other entity or body, or an individual.</w:t>
      </w:r>
    </w:p>
    <w:p>
      <w:pPr>
        <w:spacing w:after="0" w:line="162" w:lineRule="exact"/>
        <w:rPr>
          <w:sz w:val="20"/>
          <w:szCs w:val="20"/>
          <w:color w:val="auto"/>
        </w:rPr>
      </w:pPr>
    </w:p>
    <w:p>
      <w:pPr>
        <w:jc w:val="both"/>
        <w:ind w:right="80" w:firstLine="440"/>
        <w:spacing w:after="0" w:line="289" w:lineRule="auto"/>
        <w:rPr>
          <w:sz w:val="20"/>
          <w:szCs w:val="20"/>
          <w:color w:val="auto"/>
        </w:rPr>
      </w:pPr>
      <w:r>
        <w:rPr>
          <w:rFonts w:ascii="Arial" w:cs="Arial" w:eastAsia="Arial" w:hAnsi="Arial"/>
          <w:sz w:val="17"/>
          <w:szCs w:val="17"/>
          <w:b w:val="1"/>
          <w:bCs w:val="1"/>
          <w:color w:val="auto"/>
        </w:rPr>
        <w:t xml:space="preserve">Section 1.84 “Personal Information” </w:t>
      </w:r>
      <w:r>
        <w:rPr>
          <w:rFonts w:ascii="Arial" w:cs="Arial" w:eastAsia="Arial" w:hAnsi="Arial"/>
          <w:sz w:val="17"/>
          <w:szCs w:val="17"/>
          <w:color w:val="auto"/>
        </w:rPr>
        <w:t>means any information that directly or indirectly identifies or can be used to identify an individual, or that</w:t>
      </w:r>
      <w:r>
        <w:rPr>
          <w:rFonts w:ascii="Arial" w:cs="Arial" w:eastAsia="Arial" w:hAnsi="Arial"/>
          <w:sz w:val="17"/>
          <w:szCs w:val="17"/>
          <w:b w:val="1"/>
          <w:bCs w:val="1"/>
          <w:color w:val="auto"/>
        </w:rPr>
        <w:t xml:space="preserve"> </w:t>
      </w:r>
      <w:r>
        <w:rPr>
          <w:rFonts w:ascii="Arial" w:cs="Arial" w:eastAsia="Arial" w:hAnsi="Arial"/>
          <w:sz w:val="17"/>
          <w:szCs w:val="17"/>
          <w:color w:val="auto"/>
        </w:rPr>
        <w:t>relates to, describes, is reasonably capable of being associated with, or could reasonably be linked, directly or indirectly, with a particular individual or household, which includes without limitation sensitive or special categories of information inclusive of personal health data.</w:t>
      </w:r>
    </w:p>
    <w:p>
      <w:pPr>
        <w:spacing w:after="0" w:line="158"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 xml:space="preserve">Section 1.85 </w:t>
      </w:r>
      <w:r>
        <w:rPr>
          <w:rFonts w:ascii="Arial" w:cs="Arial" w:eastAsia="Arial" w:hAnsi="Arial"/>
          <w:sz w:val="18"/>
          <w:szCs w:val="18"/>
          <w:color w:val="auto"/>
        </w:rPr>
        <w:t>“</w:t>
      </w:r>
      <w:r>
        <w:rPr>
          <w:rFonts w:ascii="Arial" w:cs="Arial" w:eastAsia="Arial" w:hAnsi="Arial"/>
          <w:sz w:val="18"/>
          <w:szCs w:val="18"/>
          <w:b w:val="1"/>
          <w:bCs w:val="1"/>
          <w:color w:val="auto"/>
        </w:rPr>
        <w:t>Phase II Clinical Trial</w:t>
      </w:r>
      <w:r>
        <w:rPr>
          <w:rFonts w:ascii="Arial" w:cs="Arial" w:eastAsia="Arial" w:hAnsi="Arial"/>
          <w:sz w:val="18"/>
          <w:szCs w:val="18"/>
          <w:color w:val="auto"/>
        </w:rPr>
        <w:t>” means a preliminary efficacy and safety or dose ranging human clinical study of a pharmaceutical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target patient population, as described under 21 C.F.R. §312.21(b) with respect to the United States, or, with respect to a jurisdiction other than the United States, a similar clinical study.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1.86 </w:t>
      </w:r>
      <w:r>
        <w:rPr>
          <w:rFonts w:ascii="Arial" w:cs="Arial" w:eastAsia="Arial" w:hAnsi="Arial"/>
          <w:sz w:val="18"/>
          <w:szCs w:val="18"/>
          <w:color w:val="auto"/>
        </w:rPr>
        <w:t>“</w:t>
      </w:r>
      <w:r>
        <w:rPr>
          <w:rFonts w:ascii="Arial" w:cs="Arial" w:eastAsia="Arial" w:hAnsi="Arial"/>
          <w:sz w:val="18"/>
          <w:szCs w:val="18"/>
          <w:b w:val="1"/>
          <w:bCs w:val="1"/>
          <w:color w:val="auto"/>
        </w:rPr>
        <w:t>Post-Optimization Activities</w:t>
      </w:r>
      <w:r>
        <w:rPr>
          <w:rFonts w:ascii="Arial" w:cs="Arial" w:eastAsia="Arial" w:hAnsi="Arial"/>
          <w:sz w:val="18"/>
          <w:szCs w:val="18"/>
          <w:color w:val="auto"/>
        </w:rPr>
        <w:t>” has the meaning set forth in Section 2.7.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1.87 </w:t>
      </w:r>
      <w:r>
        <w:rPr>
          <w:rFonts w:ascii="Arial" w:cs="Arial" w:eastAsia="Arial" w:hAnsi="Arial"/>
          <w:sz w:val="18"/>
          <w:szCs w:val="18"/>
          <w:color w:val="auto"/>
        </w:rPr>
        <w:t>“</w:t>
      </w:r>
      <w:r>
        <w:rPr>
          <w:rFonts w:ascii="Arial" w:cs="Arial" w:eastAsia="Arial" w:hAnsi="Arial"/>
          <w:sz w:val="18"/>
          <w:szCs w:val="18"/>
          <w:b w:val="1"/>
          <w:bCs w:val="1"/>
          <w:color w:val="auto"/>
        </w:rPr>
        <w:t>Privacy Incident</w:t>
      </w:r>
      <w:r>
        <w:rPr>
          <w:rFonts w:ascii="Arial" w:cs="Arial" w:eastAsia="Arial" w:hAnsi="Arial"/>
          <w:sz w:val="18"/>
          <w:szCs w:val="18"/>
          <w:color w:val="auto"/>
        </w:rPr>
        <w:t>” has the meaning set forth in Section 8.4(e)(iii).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1.88 </w:t>
      </w: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has the meaning given to such term in Section 2.4.</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270" w:right="479" w:bottom="1440" w:gutter="0" w:footer="0" w:header="0"/>
        </w:sectPr>
      </w:pPr>
    </w:p>
    <w:bookmarkStart w:id="314" w:name="page315"/>
    <w:bookmarkEnd w:id="31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1.89 </w:t>
      </w:r>
      <w:r>
        <w:rPr>
          <w:rFonts w:ascii="Arial" w:cs="Arial" w:eastAsia="Arial" w:hAnsi="Arial"/>
          <w:sz w:val="18"/>
          <w:szCs w:val="18"/>
          <w:color w:val="auto"/>
        </w:rPr>
        <w:t>“</w:t>
      </w:r>
      <w:r>
        <w:rPr>
          <w:rFonts w:ascii="Arial" w:cs="Arial" w:eastAsia="Arial" w:hAnsi="Arial"/>
          <w:sz w:val="18"/>
          <w:szCs w:val="18"/>
          <w:b w:val="1"/>
          <w:bCs w:val="1"/>
          <w:color w:val="auto"/>
        </w:rPr>
        <w:t>Publishing Party</w:t>
      </w:r>
      <w:r>
        <w:rPr>
          <w:rFonts w:ascii="Arial" w:cs="Arial" w:eastAsia="Arial" w:hAnsi="Arial"/>
          <w:sz w:val="18"/>
          <w:szCs w:val="18"/>
          <w:color w:val="auto"/>
        </w:rPr>
        <w:t>” has the meaning set forth in Section 11.3.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1.90 “Purchase Agreement” </w:t>
      </w:r>
      <w:r>
        <w:rPr>
          <w:rFonts w:ascii="Arial" w:cs="Arial" w:eastAsia="Arial" w:hAnsi="Arial"/>
          <w:sz w:val="18"/>
          <w:szCs w:val="18"/>
          <w:color w:val="auto"/>
        </w:rPr>
        <w:t>shall have the meaning set forth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1.91 </w:t>
      </w:r>
      <w:r>
        <w:rPr>
          <w:rFonts w:ascii="Arial" w:cs="Arial" w:eastAsia="Arial" w:hAnsi="Arial"/>
          <w:sz w:val="18"/>
          <w:szCs w:val="18"/>
          <w:color w:val="auto"/>
        </w:rPr>
        <w:t>“</w:t>
      </w:r>
      <w:r>
        <w:rPr>
          <w:rFonts w:ascii="Arial" w:cs="Arial" w:eastAsia="Arial" w:hAnsi="Arial"/>
          <w:sz w:val="18"/>
          <w:szCs w:val="18"/>
          <w:b w:val="1"/>
          <w:bCs w:val="1"/>
          <w:color w:val="auto"/>
        </w:rPr>
        <w:t>RBNC</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Section 1.92 </w:t>
      </w:r>
      <w:r>
        <w:rPr>
          <w:rFonts w:ascii="Arial" w:cs="Arial" w:eastAsia="Arial" w:hAnsi="Arial"/>
          <w:sz w:val="18"/>
          <w:szCs w:val="18"/>
          <w:color w:val="auto"/>
        </w:rPr>
        <w:t>“</w:t>
      </w:r>
      <w:r>
        <w:rPr>
          <w:rFonts w:ascii="Arial" w:cs="Arial" w:eastAsia="Arial" w:hAnsi="Arial"/>
          <w:sz w:val="18"/>
          <w:szCs w:val="18"/>
          <w:b w:val="1"/>
          <w:bCs w:val="1"/>
          <w:color w:val="auto"/>
        </w:rPr>
        <w:t>RBNC Collaboration IP</w:t>
      </w:r>
      <w:r>
        <w:rPr>
          <w:rFonts w:ascii="Arial" w:cs="Arial" w:eastAsia="Arial" w:hAnsi="Arial"/>
          <w:sz w:val="18"/>
          <w:szCs w:val="18"/>
          <w:color w:val="auto"/>
        </w:rPr>
        <w:t>” means (a) RBNC Collaboration Patents, (b) RBNC’s interest in the Joint Collaboration Patents and Joint</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and (c) RBNC Collaboration Know-How.</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Section 1.93 </w:t>
      </w:r>
      <w:r>
        <w:rPr>
          <w:rFonts w:ascii="Arial" w:cs="Arial" w:eastAsia="Arial" w:hAnsi="Arial"/>
          <w:sz w:val="18"/>
          <w:szCs w:val="18"/>
          <w:color w:val="auto"/>
        </w:rPr>
        <w:t>“</w:t>
      </w:r>
      <w:r>
        <w:rPr>
          <w:rFonts w:ascii="Arial" w:cs="Arial" w:eastAsia="Arial" w:hAnsi="Arial"/>
          <w:sz w:val="18"/>
          <w:szCs w:val="18"/>
          <w:b w:val="1"/>
          <w:bCs w:val="1"/>
          <w:color w:val="auto"/>
        </w:rPr>
        <w:t>RBNC Collaboration Patents</w:t>
      </w:r>
      <w:r>
        <w:rPr>
          <w:rFonts w:ascii="Arial" w:cs="Arial" w:eastAsia="Arial" w:hAnsi="Arial"/>
          <w:sz w:val="18"/>
          <w:szCs w:val="18"/>
          <w:color w:val="auto"/>
        </w:rPr>
        <w:t>” means the Patent Rights Controlled by RBNC or its Affiliates that claim RBNC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Know-How.</w:t>
      </w:r>
    </w:p>
    <w:p>
      <w:pPr>
        <w:spacing w:after="0" w:line="16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Section 1.94 </w:t>
      </w:r>
      <w:r>
        <w:rPr>
          <w:rFonts w:ascii="Arial" w:cs="Arial" w:eastAsia="Arial" w:hAnsi="Arial"/>
          <w:sz w:val="18"/>
          <w:szCs w:val="18"/>
          <w:color w:val="auto"/>
        </w:rPr>
        <w:t>“</w:t>
      </w:r>
      <w:r>
        <w:rPr>
          <w:rFonts w:ascii="Arial" w:cs="Arial" w:eastAsia="Arial" w:hAnsi="Arial"/>
          <w:sz w:val="18"/>
          <w:szCs w:val="18"/>
          <w:b w:val="1"/>
          <w:bCs w:val="1"/>
          <w:color w:val="auto"/>
        </w:rPr>
        <w:t>RBNC Collaboration Know-How</w:t>
      </w:r>
      <w:r>
        <w:rPr>
          <w:rFonts w:ascii="Arial" w:cs="Arial" w:eastAsia="Arial" w:hAnsi="Arial"/>
          <w:sz w:val="18"/>
          <w:szCs w:val="18"/>
          <w:color w:val="auto"/>
        </w:rPr>
        <w:t>” means any and all Know-How Controlled by RBNC or any of its Affiliates and generated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of the Collaboration Activities but excluding (i) any Know-How that is a modification of or improvement to the RBNC Platform Technology, and (ii) any Joint Inventions.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1.95 </w:t>
      </w:r>
      <w:r>
        <w:rPr>
          <w:rFonts w:ascii="Arial" w:cs="Arial" w:eastAsia="Arial" w:hAnsi="Arial"/>
          <w:sz w:val="18"/>
          <w:szCs w:val="18"/>
          <w:color w:val="auto"/>
        </w:rPr>
        <w:t>“</w:t>
      </w:r>
      <w:r>
        <w:rPr>
          <w:rFonts w:ascii="Arial" w:cs="Arial" w:eastAsia="Arial" w:hAnsi="Arial"/>
          <w:sz w:val="18"/>
          <w:szCs w:val="18"/>
          <w:b w:val="1"/>
          <w:bCs w:val="1"/>
          <w:color w:val="auto"/>
        </w:rPr>
        <w:t>RBNC Exclusivity Period</w:t>
      </w:r>
      <w:r>
        <w:rPr>
          <w:rFonts w:ascii="Arial" w:cs="Arial" w:eastAsia="Arial" w:hAnsi="Arial"/>
          <w:sz w:val="18"/>
          <w:szCs w:val="18"/>
          <w:color w:val="auto"/>
        </w:rPr>
        <w:t>” has the meaning set forth in Section 4.1.1.</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Section 1.96 </w:t>
      </w:r>
      <w:r>
        <w:rPr>
          <w:rFonts w:ascii="Arial" w:cs="Arial" w:eastAsia="Arial" w:hAnsi="Arial"/>
          <w:sz w:val="18"/>
          <w:szCs w:val="18"/>
          <w:color w:val="auto"/>
        </w:rPr>
        <w:t>“</w:t>
      </w:r>
      <w:r>
        <w:rPr>
          <w:rFonts w:ascii="Arial" w:cs="Arial" w:eastAsia="Arial" w:hAnsi="Arial"/>
          <w:sz w:val="18"/>
          <w:szCs w:val="18"/>
          <w:b w:val="1"/>
          <w:bCs w:val="1"/>
          <w:color w:val="auto"/>
        </w:rPr>
        <w:t>RBNC Incorporated Ideas</w:t>
      </w:r>
      <w:r>
        <w:rPr>
          <w:rFonts w:ascii="Arial" w:cs="Arial" w:eastAsia="Arial" w:hAnsi="Arial"/>
          <w:sz w:val="18"/>
          <w:szCs w:val="18"/>
          <w:color w:val="auto"/>
        </w:rPr>
        <w:t>” means any Ideas originating from RBNC included in a Project by the JRC after JRC review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1.97 </w:t>
      </w:r>
      <w:r>
        <w:rPr>
          <w:rFonts w:ascii="Arial" w:cs="Arial" w:eastAsia="Arial" w:hAnsi="Arial"/>
          <w:sz w:val="18"/>
          <w:szCs w:val="18"/>
          <w:color w:val="auto"/>
        </w:rPr>
        <w:t>“</w:t>
      </w:r>
      <w:r>
        <w:rPr>
          <w:rFonts w:ascii="Arial" w:cs="Arial" w:eastAsia="Arial" w:hAnsi="Arial"/>
          <w:sz w:val="18"/>
          <w:szCs w:val="18"/>
          <w:b w:val="1"/>
          <w:bCs w:val="1"/>
          <w:color w:val="auto"/>
        </w:rPr>
        <w:t>RBNC Indemnified Parties</w:t>
      </w:r>
      <w:r>
        <w:rPr>
          <w:rFonts w:ascii="Arial" w:cs="Arial" w:eastAsia="Arial" w:hAnsi="Arial"/>
          <w:sz w:val="18"/>
          <w:szCs w:val="18"/>
          <w:color w:val="auto"/>
        </w:rPr>
        <w:t>” has the meaning set forth in Section 9.1.2.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1.98 </w:t>
      </w:r>
      <w:r>
        <w:rPr>
          <w:rFonts w:ascii="Arial" w:cs="Arial" w:eastAsia="Arial" w:hAnsi="Arial"/>
          <w:sz w:val="18"/>
          <w:szCs w:val="18"/>
          <w:color w:val="auto"/>
        </w:rPr>
        <w:t>“</w:t>
      </w:r>
      <w:r>
        <w:rPr>
          <w:rFonts w:ascii="Arial" w:cs="Arial" w:eastAsia="Arial" w:hAnsi="Arial"/>
          <w:sz w:val="18"/>
          <w:szCs w:val="18"/>
          <w:b w:val="1"/>
          <w:bCs w:val="1"/>
          <w:color w:val="auto"/>
        </w:rPr>
        <w:t>RBNC Platform Technology</w:t>
      </w:r>
      <w:r>
        <w:rPr>
          <w:rFonts w:ascii="Arial" w:cs="Arial" w:eastAsia="Arial" w:hAnsi="Arial"/>
          <w:sz w:val="18"/>
          <w:szCs w:val="18"/>
          <w:color w:val="auto"/>
        </w:rPr>
        <w:t>” means RBNC’s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1.99 </w:t>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11.1.1.</w:t>
      </w:r>
    </w:p>
    <w:p>
      <w:pPr>
        <w:spacing w:after="0" w:line="225" w:lineRule="exact"/>
        <w:rPr>
          <w:sz w:val="20"/>
          <w:szCs w:val="20"/>
          <w:color w:val="auto"/>
        </w:rPr>
      </w:pPr>
    </w:p>
    <w:p>
      <w:pPr>
        <w:jc w:val="both"/>
        <w:ind w:right="120" w:firstLine="440"/>
        <w:spacing w:after="0" w:line="282" w:lineRule="auto"/>
        <w:rPr>
          <w:sz w:val="20"/>
          <w:szCs w:val="20"/>
          <w:color w:val="auto"/>
        </w:rPr>
      </w:pPr>
      <w:r>
        <w:rPr>
          <w:rFonts w:ascii="Arial" w:cs="Arial" w:eastAsia="Arial" w:hAnsi="Arial"/>
          <w:sz w:val="18"/>
          <w:szCs w:val="18"/>
          <w:b w:val="1"/>
          <w:bCs w:val="1"/>
          <w:color w:val="auto"/>
        </w:rPr>
        <w:t xml:space="preserve">Section 1.100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Governmental Authority or other authority responsible for granting Marketing Approvals for</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Derived Products, including the FDA and any corresponding national or regional regulatory authorities.</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Section 1.101 </w:t>
      </w:r>
      <w:r>
        <w:rPr>
          <w:rFonts w:ascii="Arial" w:cs="Arial" w:eastAsia="Arial" w:hAnsi="Arial"/>
          <w:sz w:val="18"/>
          <w:szCs w:val="18"/>
          <w:color w:val="auto"/>
        </w:rPr>
        <w:t>“</w:t>
      </w:r>
      <w:r>
        <w:rPr>
          <w:rFonts w:ascii="Arial" w:cs="Arial" w:eastAsia="Arial" w:hAnsi="Arial"/>
          <w:sz w:val="18"/>
          <w:szCs w:val="18"/>
          <w:b w:val="1"/>
          <w:bCs w:val="1"/>
          <w:color w:val="auto"/>
        </w:rPr>
        <w:t>Regulatory Filing</w:t>
      </w:r>
      <w:r>
        <w:rPr>
          <w:rFonts w:ascii="Arial" w:cs="Arial" w:eastAsia="Arial" w:hAnsi="Arial"/>
          <w:sz w:val="18"/>
          <w:szCs w:val="18"/>
          <w:color w:val="auto"/>
        </w:rPr>
        <w:t>” means any filing with any Governmental Authority with respect to the research, development, manufacture,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pricing, reimbursement, marketing or sale of a Collaboration Derived Product.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1.102 </w:t>
      </w: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has the meaning set forth in Section 11.2.2.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1.103 </w:t>
      </w:r>
      <w:r>
        <w:rPr>
          <w:rFonts w:ascii="Arial" w:cs="Arial" w:eastAsia="Arial" w:hAnsi="Arial"/>
          <w:sz w:val="18"/>
          <w:szCs w:val="18"/>
          <w:color w:val="auto"/>
        </w:rPr>
        <w:t>“</w:t>
      </w:r>
      <w:r>
        <w:rPr>
          <w:rFonts w:ascii="Arial" w:cs="Arial" w:eastAsia="Arial" w:hAnsi="Arial"/>
          <w:sz w:val="18"/>
          <w:szCs w:val="18"/>
          <w:b w:val="1"/>
          <w:bCs w:val="1"/>
          <w:color w:val="auto"/>
        </w:rPr>
        <w:t>Reports</w:t>
      </w:r>
      <w:r>
        <w:rPr>
          <w:rFonts w:ascii="Arial" w:cs="Arial" w:eastAsia="Arial" w:hAnsi="Arial"/>
          <w:sz w:val="18"/>
          <w:szCs w:val="18"/>
          <w:color w:val="auto"/>
        </w:rPr>
        <w:t>” has the meaning set forth in Section 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1.104 </w:t>
      </w: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has the meaning set forth in Section 8.3(b).</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b w:val="1"/>
          <w:bCs w:val="1"/>
          <w:color w:val="auto"/>
        </w:rPr>
        <w:t xml:space="preserve">Section 1.105 </w:t>
      </w:r>
      <w:r>
        <w:rPr>
          <w:rFonts w:ascii="Arial" w:cs="Arial" w:eastAsia="Arial" w:hAnsi="Arial"/>
          <w:sz w:val="18"/>
          <w:szCs w:val="18"/>
          <w:color w:val="auto"/>
        </w:rPr>
        <w:t>“</w:t>
      </w:r>
      <w:r>
        <w:rPr>
          <w:rFonts w:ascii="Arial" w:cs="Arial" w:eastAsia="Arial" w:hAnsi="Arial"/>
          <w:sz w:val="18"/>
          <w:szCs w:val="18"/>
          <w:b w:val="1"/>
          <w:bCs w:val="1"/>
          <w:color w:val="auto"/>
        </w:rPr>
        <w:t>Results</w:t>
      </w:r>
      <w:r>
        <w:rPr>
          <w:rFonts w:ascii="Arial" w:cs="Arial" w:eastAsia="Arial" w:hAnsi="Arial"/>
          <w:sz w:val="18"/>
          <w:szCs w:val="18"/>
          <w:color w:val="auto"/>
        </w:rPr>
        <w:t>” means the results, findings or outcome of, or the conclusions drawn from, a statistical or other analysis or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data to the extent such result, finding, outcome, or conclusion is generated in the performance of the Collaboration Activities. For clarity, Results do not include any Amgen Platform Technology or RBNC Platform Technology.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1.106 </w:t>
      </w:r>
      <w:r>
        <w:rPr>
          <w:rFonts w:ascii="Arial" w:cs="Arial" w:eastAsia="Arial" w:hAnsi="Arial"/>
          <w:sz w:val="18"/>
          <w:szCs w:val="18"/>
          <w:color w:val="auto"/>
        </w:rPr>
        <w:t>“</w:t>
      </w:r>
      <w:r>
        <w:rPr>
          <w:rFonts w:ascii="Arial" w:cs="Arial" w:eastAsia="Arial" w:hAnsi="Arial"/>
          <w:sz w:val="18"/>
          <w:szCs w:val="18"/>
          <w:b w:val="1"/>
          <w:bCs w:val="1"/>
          <w:color w:val="auto"/>
        </w:rPr>
        <w:t>Reviewing Party</w:t>
      </w:r>
      <w:r>
        <w:rPr>
          <w:rFonts w:ascii="Arial" w:cs="Arial" w:eastAsia="Arial" w:hAnsi="Arial"/>
          <w:sz w:val="18"/>
          <w:szCs w:val="18"/>
          <w:color w:val="auto"/>
        </w:rPr>
        <w:t>” has the meaning set forth in Section 11.2.2.</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60"/>
          </w:cols>
          <w:pgMar w:left="440" w:top="270" w:right="499" w:bottom="1440" w:gutter="0" w:footer="0" w:header="0"/>
        </w:sectPr>
      </w:pPr>
    </w:p>
    <w:bookmarkStart w:id="315" w:name="page316"/>
    <w:bookmarkEnd w:id="315"/>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1.107 </w:t>
      </w:r>
      <w:r>
        <w:rPr>
          <w:rFonts w:ascii="Arial" w:cs="Arial" w:eastAsia="Arial" w:hAnsi="Arial"/>
          <w:sz w:val="18"/>
          <w:szCs w:val="18"/>
          <w:color w:val="auto"/>
        </w:rPr>
        <w:t>“</w:t>
      </w:r>
      <w:r>
        <w:rPr>
          <w:rFonts w:ascii="Arial" w:cs="Arial" w:eastAsia="Arial" w:hAnsi="Arial"/>
          <w:sz w:val="18"/>
          <w:szCs w:val="18"/>
          <w:b w:val="1"/>
          <w:bCs w:val="1"/>
          <w:color w:val="auto"/>
        </w:rPr>
        <w:t>ROFN Negotiation Exclusivity Period</w:t>
      </w:r>
      <w:r>
        <w:rPr>
          <w:rFonts w:ascii="Arial" w:cs="Arial" w:eastAsia="Arial" w:hAnsi="Arial"/>
          <w:sz w:val="18"/>
          <w:szCs w:val="18"/>
          <w:color w:val="auto"/>
        </w:rPr>
        <w:t>” has the meaning set forth in Section 5.4.2.</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1.108 </w:t>
      </w:r>
      <w:r>
        <w:rPr>
          <w:rFonts w:ascii="Arial" w:cs="Arial" w:eastAsia="Arial" w:hAnsi="Arial"/>
          <w:sz w:val="18"/>
          <w:szCs w:val="18"/>
          <w:color w:val="auto"/>
        </w:rPr>
        <w:t>“</w:t>
      </w:r>
      <w:r>
        <w:rPr>
          <w:rFonts w:ascii="Arial" w:cs="Arial" w:eastAsia="Arial" w:hAnsi="Arial"/>
          <w:sz w:val="18"/>
          <w:szCs w:val="18"/>
          <w:b w:val="1"/>
          <w:bCs w:val="1"/>
          <w:color w:val="auto"/>
        </w:rPr>
        <w:t>ROFN Period</w:t>
      </w:r>
      <w:r>
        <w:rPr>
          <w:rFonts w:ascii="Arial" w:cs="Arial" w:eastAsia="Arial" w:hAnsi="Arial"/>
          <w:sz w:val="18"/>
          <w:szCs w:val="18"/>
          <w:color w:val="auto"/>
        </w:rPr>
        <w:t>” has the meaning set forth in Section 5.4.1.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1.109 “ROFN Pick” </w:t>
      </w:r>
      <w:r>
        <w:rPr>
          <w:rFonts w:ascii="Arial" w:cs="Arial" w:eastAsia="Arial" w:hAnsi="Arial"/>
          <w:sz w:val="18"/>
          <w:szCs w:val="18"/>
          <w:color w:val="auto"/>
        </w:rPr>
        <w:t>has the meaning set forth in Section 5.5.</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Section 1.110 </w:t>
      </w:r>
      <w:r>
        <w:rPr>
          <w:rFonts w:ascii="Arial" w:cs="Arial" w:eastAsia="Arial" w:hAnsi="Arial"/>
          <w:sz w:val="16"/>
          <w:szCs w:val="16"/>
          <w:color w:val="auto"/>
        </w:rPr>
        <w:t>“</w:t>
      </w:r>
      <w:r>
        <w:rPr>
          <w:rFonts w:ascii="Arial" w:cs="Arial" w:eastAsia="Arial" w:hAnsi="Arial"/>
          <w:sz w:val="16"/>
          <w:szCs w:val="16"/>
          <w:b w:val="1"/>
          <w:bCs w:val="1"/>
          <w:color w:val="auto"/>
        </w:rPr>
        <w:t>ROFN Product</w:t>
      </w:r>
      <w:r>
        <w:rPr>
          <w:rFonts w:ascii="Arial" w:cs="Arial" w:eastAsia="Arial" w:hAnsi="Arial"/>
          <w:sz w:val="16"/>
          <w:szCs w:val="16"/>
          <w:color w:val="auto"/>
        </w:rPr>
        <w:t>” means any Therapeutic Compound or any pharmaceutical product containing such Therapeutic Compound</w:t>
      </w:r>
    </w:p>
    <w:p>
      <w:pPr>
        <w:spacing w:after="0" w:line="50" w:lineRule="exact"/>
        <w:rPr>
          <w:sz w:val="20"/>
          <w:szCs w:val="20"/>
          <w:color w:val="auto"/>
        </w:rPr>
      </w:pPr>
    </w:p>
    <w:p>
      <w:pPr>
        <w:ind w:left="444" w:right="4480" w:hanging="444"/>
        <w:spacing w:after="0" w:line="557" w:lineRule="auto"/>
        <w:tabs>
          <w:tab w:leader="none" w:pos="25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discovery of which incorporates or uses any Collaboration IP or (2) [***]. </w:t>
      </w:r>
      <w:r>
        <w:rPr>
          <w:rFonts w:ascii="Arial" w:cs="Arial" w:eastAsia="Arial" w:hAnsi="Arial"/>
          <w:sz w:val="16"/>
          <w:szCs w:val="16"/>
          <w:b w:val="1"/>
          <w:bCs w:val="1"/>
          <w:color w:val="auto"/>
        </w:rPr>
        <w:t xml:space="preserve">Section 1.111 </w:t>
      </w:r>
      <w:r>
        <w:rPr>
          <w:rFonts w:ascii="Arial" w:cs="Arial" w:eastAsia="Arial" w:hAnsi="Arial"/>
          <w:sz w:val="16"/>
          <w:szCs w:val="16"/>
          <w:color w:val="auto"/>
        </w:rPr>
        <w:t>“</w:t>
      </w:r>
      <w:r>
        <w:rPr>
          <w:rFonts w:ascii="Arial" w:cs="Arial" w:eastAsia="Arial" w:hAnsi="Arial"/>
          <w:sz w:val="16"/>
          <w:szCs w:val="16"/>
          <w:b w:val="1"/>
          <w:bCs w:val="1"/>
          <w:color w:val="auto"/>
        </w:rPr>
        <w:t>ROFN Trigger</w:t>
      </w:r>
      <w:r>
        <w:rPr>
          <w:rFonts w:ascii="Arial" w:cs="Arial" w:eastAsia="Arial" w:hAnsi="Arial"/>
          <w:sz w:val="16"/>
          <w:szCs w:val="16"/>
          <w:color w:val="auto"/>
        </w:rPr>
        <w:t>” has the meaning set forth in Section 5.4.1.</w:t>
      </w:r>
      <w:r>
        <w:rPr>
          <w:rFonts w:ascii="Arial" w:cs="Arial" w:eastAsia="Arial" w:hAnsi="Arial"/>
          <w:sz w:val="16"/>
          <w:szCs w:val="16"/>
          <w:b w:val="1"/>
          <w:bCs w:val="1"/>
          <w:color w:val="auto"/>
        </w:rPr>
        <w:t xml:space="preserve"> Section 1.112 </w:t>
      </w:r>
      <w:r>
        <w:rPr>
          <w:rFonts w:ascii="Arial" w:cs="Arial" w:eastAsia="Arial" w:hAnsi="Arial"/>
          <w:sz w:val="16"/>
          <w:szCs w:val="16"/>
          <w:color w:val="auto"/>
        </w:rPr>
        <w:t>“</w:t>
      </w:r>
      <w:r>
        <w:rPr>
          <w:rFonts w:ascii="Arial" w:cs="Arial" w:eastAsia="Arial" w:hAnsi="Arial"/>
          <w:sz w:val="16"/>
          <w:szCs w:val="16"/>
          <w:b w:val="1"/>
          <w:bCs w:val="1"/>
          <w:color w:val="auto"/>
        </w:rPr>
        <w:t>ROFN Trigger Notice</w:t>
      </w:r>
      <w:r>
        <w:rPr>
          <w:rFonts w:ascii="Arial" w:cs="Arial" w:eastAsia="Arial" w:hAnsi="Arial"/>
          <w:sz w:val="16"/>
          <w:szCs w:val="16"/>
          <w:color w:val="auto"/>
        </w:rPr>
        <w:t>” has the meaning set forth in Section 5.4.1.</w:t>
      </w:r>
      <w:r>
        <w:rPr>
          <w:rFonts w:ascii="Arial" w:cs="Arial" w:eastAsia="Arial" w:hAnsi="Arial"/>
          <w:sz w:val="16"/>
          <w:szCs w:val="16"/>
          <w:b w:val="1"/>
          <w:bCs w:val="1"/>
          <w:color w:val="auto"/>
        </w:rPr>
        <w:t xml:space="preserve"> Section 1.113 </w:t>
      </w:r>
      <w:r>
        <w:rPr>
          <w:rFonts w:ascii="Arial" w:cs="Arial" w:eastAsia="Arial" w:hAnsi="Arial"/>
          <w:sz w:val="16"/>
          <w:szCs w:val="16"/>
          <w:color w:val="auto"/>
        </w:rPr>
        <w:t>“</w:t>
      </w:r>
      <w:r>
        <w:rPr>
          <w:rFonts w:ascii="Arial" w:cs="Arial" w:eastAsia="Arial" w:hAnsi="Arial"/>
          <w:sz w:val="16"/>
          <w:szCs w:val="16"/>
          <w:b w:val="1"/>
          <w:bCs w:val="1"/>
          <w:color w:val="auto"/>
        </w:rPr>
        <w:t>Sale Transaction</w:t>
      </w:r>
      <w:r>
        <w:rPr>
          <w:rFonts w:ascii="Arial" w:cs="Arial" w:eastAsia="Arial" w:hAnsi="Arial"/>
          <w:sz w:val="16"/>
          <w:szCs w:val="16"/>
          <w:color w:val="auto"/>
        </w:rPr>
        <w:t>” has the meaning set forth in Section 13.8.</w:t>
      </w:r>
    </w:p>
    <w:p>
      <w:pPr>
        <w:spacing w:after="0" w:line="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1.114 </w:t>
      </w:r>
      <w:r>
        <w:rPr>
          <w:rFonts w:ascii="Arial" w:cs="Arial" w:eastAsia="Arial" w:hAnsi="Arial"/>
          <w:sz w:val="18"/>
          <w:szCs w:val="18"/>
          <w:color w:val="auto"/>
        </w:rPr>
        <w:t>“</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RBNC’s Series A-2 Preferred Stock, $0.0001 par value per share.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Section 1.115 </w:t>
      </w:r>
      <w:r>
        <w:rPr>
          <w:rFonts w:ascii="Arial" w:cs="Arial" w:eastAsia="Arial" w:hAnsi="Arial"/>
          <w:sz w:val="17"/>
          <w:szCs w:val="17"/>
          <w:color w:val="auto"/>
        </w:rPr>
        <w:t>“</w:t>
      </w:r>
      <w:r>
        <w:rPr>
          <w:rFonts w:ascii="Arial" w:cs="Arial" w:eastAsia="Arial" w:hAnsi="Arial"/>
          <w:sz w:val="17"/>
          <w:szCs w:val="17"/>
          <w:b w:val="1"/>
          <w:bCs w:val="1"/>
          <w:color w:val="auto"/>
        </w:rPr>
        <w:t>Sublicensee(s)</w:t>
      </w:r>
      <w:r>
        <w:rPr>
          <w:rFonts w:ascii="Arial" w:cs="Arial" w:eastAsia="Arial" w:hAnsi="Arial"/>
          <w:sz w:val="17"/>
          <w:szCs w:val="17"/>
          <w:color w:val="auto"/>
        </w:rPr>
        <w:t>” means shall mean any Third Party to which a Party has granted a sublicense under this Agreement.</w:t>
      </w:r>
    </w:p>
    <w:p>
      <w:pPr>
        <w:spacing w:after="0" w:line="237" w:lineRule="exact"/>
        <w:rPr>
          <w:sz w:val="20"/>
          <w:szCs w:val="20"/>
          <w:color w:val="auto"/>
        </w:rPr>
      </w:pPr>
    </w:p>
    <w:p>
      <w:pPr>
        <w:ind w:left="4" w:right="140" w:firstLine="440"/>
        <w:spacing w:after="0" w:line="282" w:lineRule="auto"/>
        <w:rPr>
          <w:sz w:val="20"/>
          <w:szCs w:val="20"/>
          <w:color w:val="auto"/>
        </w:rPr>
      </w:pPr>
      <w:r>
        <w:rPr>
          <w:rFonts w:ascii="Arial" w:cs="Arial" w:eastAsia="Arial" w:hAnsi="Arial"/>
          <w:sz w:val="18"/>
          <w:szCs w:val="18"/>
          <w:b w:val="1"/>
          <w:bCs w:val="1"/>
          <w:color w:val="auto"/>
        </w:rPr>
        <w:t xml:space="preserve">Section 1.116 </w:t>
      </w:r>
      <w:r>
        <w:rPr>
          <w:rFonts w:ascii="Arial" w:cs="Arial" w:eastAsia="Arial" w:hAnsi="Arial"/>
          <w:sz w:val="18"/>
          <w:szCs w:val="18"/>
          <w:color w:val="auto"/>
        </w:rPr>
        <w:t>“</w:t>
      </w:r>
      <w:r>
        <w:rPr>
          <w:rFonts w:ascii="Arial" w:cs="Arial" w:eastAsia="Arial" w:hAnsi="Arial"/>
          <w:sz w:val="18"/>
          <w:szCs w:val="18"/>
          <w:b w:val="1"/>
          <w:bCs w:val="1"/>
          <w:color w:val="auto"/>
        </w:rPr>
        <w:t>Successful Phase II Study Results</w:t>
      </w:r>
      <w:r>
        <w:rPr>
          <w:rFonts w:ascii="Arial" w:cs="Arial" w:eastAsia="Arial" w:hAnsi="Arial"/>
          <w:sz w:val="18"/>
          <w:szCs w:val="18"/>
          <w:color w:val="auto"/>
        </w:rPr>
        <w:t>” means, with respect to a Phase II Clinical Trial in which [***], the final study report from</w:t>
      </w:r>
      <w:r>
        <w:rPr>
          <w:rFonts w:ascii="Arial" w:cs="Arial" w:eastAsia="Arial" w:hAnsi="Arial"/>
          <w:sz w:val="18"/>
          <w:szCs w:val="18"/>
          <w:b w:val="1"/>
          <w:bCs w:val="1"/>
          <w:color w:val="auto"/>
        </w:rPr>
        <w:t xml:space="preserve"> </w:t>
      </w:r>
      <w:r>
        <w:rPr>
          <w:rFonts w:ascii="Arial" w:cs="Arial" w:eastAsia="Arial" w:hAnsi="Arial"/>
          <w:sz w:val="18"/>
          <w:szCs w:val="18"/>
          <w:color w:val="auto"/>
        </w:rPr>
        <w:t>such Phase II Clinical Trial.</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1.117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12.1.</w:t>
      </w:r>
    </w:p>
    <w:p>
      <w:pPr>
        <w:spacing w:after="0" w:line="225"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 xml:space="preserve">Section 1.118 </w:t>
      </w:r>
      <w:r>
        <w:rPr>
          <w:rFonts w:ascii="Arial" w:cs="Arial" w:eastAsia="Arial" w:hAnsi="Arial"/>
          <w:sz w:val="18"/>
          <w:szCs w:val="18"/>
          <w:color w:val="auto"/>
        </w:rPr>
        <w:t>“</w:t>
      </w:r>
      <w:r>
        <w:rPr>
          <w:rFonts w:ascii="Arial" w:cs="Arial" w:eastAsia="Arial" w:hAnsi="Arial"/>
          <w:sz w:val="18"/>
          <w:szCs w:val="18"/>
          <w:b w:val="1"/>
          <w:bCs w:val="1"/>
          <w:color w:val="auto"/>
        </w:rPr>
        <w:t>Therapeutic Compound</w:t>
      </w:r>
      <w:r>
        <w:rPr>
          <w:rFonts w:ascii="Arial" w:cs="Arial" w:eastAsia="Arial" w:hAnsi="Arial"/>
          <w:sz w:val="18"/>
          <w:szCs w:val="18"/>
          <w:color w:val="auto"/>
        </w:rPr>
        <w:t>” means a therapeutic compound or biologic for use in or by humans that is researched, 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and/or commercialized by or on behalf or for the account of RBNC or any of its Affiliates or Sublicensees, including any such compounds or biologics that are then divested or out-licensed by RBNC or its Affiliates and any such compounds or biologics which are the subject of collaboration between RBNC or its Affiliates and one or more Third Parties.</w:t>
      </w:r>
    </w:p>
    <w:p>
      <w:pPr>
        <w:spacing w:after="0" w:line="180" w:lineRule="exact"/>
        <w:rPr>
          <w:sz w:val="20"/>
          <w:szCs w:val="20"/>
          <w:color w:val="auto"/>
        </w:rPr>
      </w:pPr>
    </w:p>
    <w:p>
      <w:pPr>
        <w:ind w:left="4" w:right="80" w:firstLine="440"/>
        <w:spacing w:after="0" w:line="258" w:lineRule="auto"/>
        <w:rPr>
          <w:sz w:val="20"/>
          <w:szCs w:val="20"/>
          <w:color w:val="auto"/>
        </w:rPr>
      </w:pPr>
      <w:r>
        <w:rPr>
          <w:rFonts w:ascii="Arial" w:cs="Arial" w:eastAsia="Arial" w:hAnsi="Arial"/>
          <w:sz w:val="18"/>
          <w:szCs w:val="18"/>
          <w:b w:val="1"/>
          <w:bCs w:val="1"/>
          <w:color w:val="auto"/>
        </w:rPr>
        <w:t xml:space="preserve">Section 1.119 </w:t>
      </w:r>
      <w:r>
        <w:rPr>
          <w:rFonts w:ascii="Arial" w:cs="Arial" w:eastAsia="Arial" w:hAnsi="Arial"/>
          <w:sz w:val="18"/>
          <w:szCs w:val="18"/>
          <w:color w:val="auto"/>
        </w:rPr>
        <w:t>“</w:t>
      </w:r>
      <w:r>
        <w:rPr>
          <w:rFonts w:ascii="Arial" w:cs="Arial" w:eastAsia="Arial" w:hAnsi="Arial"/>
          <w:sz w:val="18"/>
          <w:szCs w:val="18"/>
          <w:b w:val="1"/>
          <w:bCs w:val="1"/>
          <w:color w:val="auto"/>
        </w:rPr>
        <w:t>Therapeutic Compound Activities</w:t>
      </w:r>
      <w:r>
        <w:rPr>
          <w:rFonts w:ascii="Arial" w:cs="Arial" w:eastAsia="Arial" w:hAnsi="Arial"/>
          <w:sz w:val="18"/>
          <w:szCs w:val="18"/>
          <w:color w:val="auto"/>
        </w:rPr>
        <w:t>” means activities directed to identifying compounds or biologics for therapeutic uses, or</w:t>
      </w:r>
      <w:r>
        <w:rPr>
          <w:rFonts w:ascii="Arial" w:cs="Arial" w:eastAsia="Arial" w:hAnsi="Arial"/>
          <w:sz w:val="18"/>
          <w:szCs w:val="18"/>
          <w:b w:val="1"/>
          <w:bCs w:val="1"/>
          <w:color w:val="auto"/>
        </w:rPr>
        <w:t xml:space="preserve"> </w:t>
      </w:r>
      <w:r>
        <w:rPr>
          <w:rFonts w:ascii="Arial" w:cs="Arial" w:eastAsia="Arial" w:hAnsi="Arial"/>
          <w:sz w:val="18"/>
          <w:szCs w:val="18"/>
          <w:color w:val="auto"/>
        </w:rPr>
        <w:t>Diagnostics for use in connection therewith or the Exploitation of such compounds or biologics or Diagnostics in connection therewith, including any therapeutic intervention, development of diagnostics selecting patients for therapeutic interventions, therapeutic compound or biologic identification, therapeutic or biologic compound screening, therapeutic compound or biologic assay development, therapeutic compound or biologic isolation or compound or biologic optimization activities.</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1.120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 Person other than (a) Amgen or any of its Affiliates and (b) RBNC or any of its Affiliates.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1.121 </w:t>
      </w:r>
      <w:r>
        <w:rPr>
          <w:rFonts w:ascii="Arial" w:cs="Arial" w:eastAsia="Arial" w:hAnsi="Arial"/>
          <w:sz w:val="18"/>
          <w:szCs w:val="18"/>
          <w:color w:val="auto"/>
        </w:rPr>
        <w:t>“</w:t>
      </w:r>
      <w:r>
        <w:rPr>
          <w:rFonts w:ascii="Arial" w:cs="Arial" w:eastAsia="Arial" w:hAnsi="Arial"/>
          <w:sz w:val="18"/>
          <w:szCs w:val="18"/>
          <w:b w:val="1"/>
          <w:bCs w:val="1"/>
          <w:color w:val="auto"/>
        </w:rPr>
        <w:t>Third Party Acquirer</w:t>
      </w:r>
      <w:r>
        <w:rPr>
          <w:rFonts w:ascii="Arial" w:cs="Arial" w:eastAsia="Arial" w:hAnsi="Arial"/>
          <w:sz w:val="18"/>
          <w:szCs w:val="18"/>
          <w:color w:val="auto"/>
        </w:rPr>
        <w:t>” has the meaning set forth in Section 13.9.</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1.122 </w:t>
      </w: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has the meaning set forth in Section 9.1.1.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1.123 </w:t>
      </w:r>
      <w:r>
        <w:rPr>
          <w:rFonts w:ascii="Arial" w:cs="Arial" w:eastAsia="Arial" w:hAnsi="Arial"/>
          <w:sz w:val="18"/>
          <w:szCs w:val="18"/>
          <w:color w:val="auto"/>
        </w:rPr>
        <w:t>“</w:t>
      </w:r>
      <w:r>
        <w:rPr>
          <w:rFonts w:ascii="Arial" w:cs="Arial" w:eastAsia="Arial" w:hAnsi="Arial"/>
          <w:sz w:val="18"/>
          <w:szCs w:val="18"/>
          <w:b w:val="1"/>
          <w:bCs w:val="1"/>
          <w:color w:val="auto"/>
        </w:rPr>
        <w:t>Third Party Negotiation Period</w:t>
      </w:r>
      <w:r>
        <w:rPr>
          <w:rFonts w:ascii="Arial" w:cs="Arial" w:eastAsia="Arial" w:hAnsi="Arial"/>
          <w:sz w:val="18"/>
          <w:szCs w:val="18"/>
          <w:color w:val="auto"/>
        </w:rPr>
        <w:t>” has the meaning set forth in Section 5.3.3.</w:t>
      </w:r>
    </w:p>
    <w:p>
      <w:pPr>
        <w:spacing w:after="0" w:line="162"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864"/>
          </w:cols>
          <w:pgMar w:left="436" w:top="270" w:right="599" w:bottom="1440" w:gutter="0" w:footer="0" w:header="0"/>
        </w:sectPr>
      </w:pPr>
    </w:p>
    <w:bookmarkStart w:id="316" w:name="page317"/>
    <w:bookmarkEnd w:id="31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1.124 </w:t>
      </w:r>
      <w:r>
        <w:rPr>
          <w:rFonts w:ascii="Arial" w:cs="Arial" w:eastAsia="Arial" w:hAnsi="Arial"/>
          <w:sz w:val="18"/>
          <w:szCs w:val="18"/>
          <w:color w:val="auto"/>
        </w:rPr>
        <w:t>“</w:t>
      </w:r>
      <w:r>
        <w:rPr>
          <w:rFonts w:ascii="Arial" w:cs="Arial" w:eastAsia="Arial" w:hAnsi="Arial"/>
          <w:sz w:val="18"/>
          <w:szCs w:val="18"/>
          <w:b w:val="1"/>
          <w:bCs w:val="1"/>
          <w:color w:val="auto"/>
        </w:rPr>
        <w:t>Third Party ROFN Negotiation Period</w:t>
      </w:r>
      <w:r>
        <w:rPr>
          <w:rFonts w:ascii="Arial" w:cs="Arial" w:eastAsia="Arial" w:hAnsi="Arial"/>
          <w:sz w:val="18"/>
          <w:szCs w:val="18"/>
          <w:color w:val="auto"/>
        </w:rPr>
        <w:t>” has the meaning set forth in Section 5.4.3.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1.125 </w:t>
      </w:r>
      <w:r>
        <w:rPr>
          <w:rFonts w:ascii="Arial" w:cs="Arial" w:eastAsia="Arial" w:hAnsi="Arial"/>
          <w:sz w:val="18"/>
          <w:szCs w:val="18"/>
          <w:color w:val="auto"/>
        </w:rPr>
        <w:t>“</w:t>
      </w:r>
      <w:r>
        <w:rPr>
          <w:rFonts w:ascii="Arial" w:cs="Arial" w:eastAsia="Arial" w:hAnsi="Arial"/>
          <w:sz w:val="18"/>
          <w:szCs w:val="18"/>
          <w:b w:val="1"/>
          <w:bCs w:val="1"/>
          <w:color w:val="auto"/>
        </w:rPr>
        <w:t>Third Party Transaction</w:t>
      </w:r>
      <w:r>
        <w:rPr>
          <w:rFonts w:ascii="Arial" w:cs="Arial" w:eastAsia="Arial" w:hAnsi="Arial"/>
          <w:sz w:val="18"/>
          <w:szCs w:val="18"/>
          <w:color w:val="auto"/>
        </w:rPr>
        <w:t>” has the meaning set forth in Section 5.3.3.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1.126 </w:t>
      </w: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Section 1.127 </w:t>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including its territories and possessions (including the District of</w:t>
      </w:r>
      <w:r>
        <w:rPr>
          <w:rFonts w:ascii="Arial" w:cs="Arial" w:eastAsia="Arial" w:hAnsi="Arial"/>
          <w:sz w:val="18"/>
          <w:szCs w:val="18"/>
          <w:b w:val="1"/>
          <w:bCs w:val="1"/>
          <w:color w:val="auto"/>
        </w:rPr>
        <w:t xml:space="preserve"> </w:t>
      </w:r>
      <w:r>
        <w:rPr>
          <w:rFonts w:ascii="Arial" w:cs="Arial" w:eastAsia="Arial" w:hAnsi="Arial"/>
          <w:sz w:val="18"/>
          <w:szCs w:val="18"/>
          <w:color w:val="auto"/>
        </w:rPr>
        <w:t>Columbia and Puerto Rico).</w:t>
      </w:r>
    </w:p>
    <w:p>
      <w:pPr>
        <w:spacing w:after="0" w:line="162"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Section 1.128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any issued and unexpired patent or patent application within the Collaboration IP and that has not</w:t>
      </w:r>
      <w:r>
        <w:rPr>
          <w:rFonts w:ascii="Arial" w:cs="Arial" w:eastAsia="Arial" w:hAnsi="Arial"/>
          <w:sz w:val="18"/>
          <w:szCs w:val="18"/>
          <w:b w:val="1"/>
          <w:bCs w:val="1"/>
          <w:color w:val="auto"/>
        </w:rPr>
        <w:t xml:space="preserve"> </w:t>
      </w:r>
      <w:r>
        <w:rPr>
          <w:rFonts w:ascii="Arial" w:cs="Arial" w:eastAsia="Arial" w:hAnsi="Arial"/>
          <w:sz w:val="18"/>
          <w:szCs w:val="18"/>
          <w:color w:val="auto"/>
        </w:rPr>
        <w:t>been dedicated to the public, disclaimed, abandoned or held invalid or unenforceable by a final decision of a court or governmental agency of competent jurisdiction, which decision can no longer be appealed or was not appealed within the time allowed; provided, however, that if a claim of a pending patent application within the Collaboration IP shall not have issued within [***] years after the earliest filing date from which such claim takes priority, such claim shall not constitute a Valid Claim for the purposes of this Agreement unless and until a Patent Right issues with such claim (from and after which time the same would be deemed a Valid Claim).</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1.129 </w:t>
      </w: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has the meaning set forth in Section 6.6.2.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1.130 </w:t>
      </w:r>
      <w:r>
        <w:rPr>
          <w:rFonts w:ascii="Arial" w:cs="Arial" w:eastAsia="Arial" w:hAnsi="Arial"/>
          <w:sz w:val="18"/>
          <w:szCs w:val="18"/>
          <w:color w:val="auto"/>
        </w:rPr>
        <w:t>“</w:t>
      </w:r>
      <w:r>
        <w:rPr>
          <w:rFonts w:ascii="Arial" w:cs="Arial" w:eastAsia="Arial" w:hAnsi="Arial"/>
          <w:sz w:val="18"/>
          <w:szCs w:val="18"/>
          <w:b w:val="1"/>
          <w:bCs w:val="1"/>
          <w:color w:val="auto"/>
        </w:rPr>
        <w:t>Years 1 and 2 Quarterly Collaboration Activity Fees</w:t>
      </w:r>
      <w:r>
        <w:rPr>
          <w:rFonts w:ascii="Arial" w:cs="Arial" w:eastAsia="Arial" w:hAnsi="Arial"/>
          <w:sz w:val="18"/>
          <w:szCs w:val="18"/>
          <w:color w:val="auto"/>
        </w:rPr>
        <w:t>” has the meaning set forth in Section 6.1(a).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RESEARCH COLLABORATION</w:t>
      </w:r>
    </w:p>
    <w:p>
      <w:pPr>
        <w:spacing w:after="0" w:line="117"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Section 2.1 Purpose of Collaboration</w:t>
      </w:r>
      <w:r>
        <w:rPr>
          <w:rFonts w:ascii="Arial" w:cs="Arial" w:eastAsia="Arial" w:hAnsi="Arial"/>
          <w:sz w:val="18"/>
          <w:szCs w:val="18"/>
          <w:color w:val="auto"/>
        </w:rPr>
        <w:t>. This Agreement sets forth the terms and conditions under which the Parties will engage collaborative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Projects to support and enable RBNC’s efforts to discover drug targets and biomarkers associated with CNS Diseases and to develop novel Therapeutic Compounds and Diagnostics in the CNS Field using human genetics and clinical phenotypes as tools for patient stratification, as may be more specifically explored under each Project.</w:t>
      </w:r>
    </w:p>
    <w:p>
      <w:pPr>
        <w:spacing w:after="0" w:line="18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Section 2.2 CNS Disease Related Ideas. </w:t>
      </w:r>
      <w:r>
        <w:rPr>
          <w:rFonts w:ascii="Arial" w:cs="Arial" w:eastAsia="Arial" w:hAnsi="Arial"/>
          <w:sz w:val="16"/>
          <w:szCs w:val="16"/>
          <w:color w:val="auto"/>
        </w:rPr>
        <w:t>Separate from (and as a precursor to) the Projects, during the Term, Amgen (and its Affiliates) will [***]</w:t>
      </w:r>
      <w:r>
        <w:rPr>
          <w:rFonts w:ascii="Arial" w:cs="Arial" w:eastAsia="Arial" w:hAnsi="Arial"/>
          <w:sz w:val="16"/>
          <w:szCs w:val="16"/>
          <w:b w:val="1"/>
          <w:bCs w:val="1"/>
          <w:color w:val="auto"/>
        </w:rPr>
        <w:t xml:space="preserve"> </w:t>
      </w:r>
      <w:r>
        <w:rPr>
          <w:rFonts w:ascii="Arial" w:cs="Arial" w:eastAsia="Arial" w:hAnsi="Arial"/>
          <w:sz w:val="16"/>
          <w:szCs w:val="16"/>
          <w:color w:val="auto"/>
        </w:rPr>
        <w:t>generate novel Ideas. Subject to the rest of this Section 2.2 and Section 3.7, Amgen will present such Ideas to the JRC for consideration as the focus of a new Project or for potential inclusion within an existing Project. RBNC may also generate Ideas and, subject to the rest of this Section 2.2, present such Ideas to the JRC for consideration as the focus of a new Project or for potential inclusion within an existing Project. Within [***] days after the Effective Date, the JRC shall develop a process for managing the presentation by a Party of Ideas that protects the proprietary nature of such Ideas, if any, prevents contamination with the Background IP of the other Party during the evaluation of a proposed Idea for inclusion within a Project, and protects the proprietary nature of any ongoing work covered only by such other Party’s Background Know-How and not Background Patents, with the goal that the Parties will propose novel Ideas (e.g., such process may involve higher level disclosures of the Idea conceptually followed by more detailed disclosures to specified individuals prior to the acceptance of such Idea by the JRC for inclusion within a Project). Each Party will comply with such process in presenting any Ideas to the JRC, and in no event shall such Party present such Ideas to the JRC until such process is established.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00"/>
          </w:cols>
          <w:pgMar w:left="440" w:top="270" w:right="459" w:bottom="1440" w:gutter="0" w:footer="0" w:header="0"/>
        </w:sectPr>
      </w:pPr>
    </w:p>
    <w:bookmarkStart w:id="317" w:name="page318"/>
    <w:bookmarkEnd w:id="317"/>
    <w:p>
      <w:pPr>
        <w:ind w:left="44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Projects. </w:t>
      </w:r>
      <w:r>
        <w:rPr>
          <w:rFonts w:ascii="Arial" w:cs="Arial" w:eastAsia="Arial" w:hAnsi="Arial"/>
          <w:sz w:val="17"/>
          <w:szCs w:val="17"/>
          <w:color w:val="auto"/>
        </w:rPr>
        <w:t>During the Term, the Parties, through the JRC, will agree to undertake Projects. Projects may leverage (i) [***], and</w:t>
      </w:r>
    </w:p>
    <w:p>
      <w:pPr>
        <w:spacing w:after="0" w:line="39" w:lineRule="exact"/>
        <w:rPr>
          <w:sz w:val="20"/>
          <w:szCs w:val="20"/>
          <w:color w:val="auto"/>
        </w:rPr>
      </w:pPr>
    </w:p>
    <w:p>
      <w:pPr>
        <w:ind w:left="264" w:hanging="264"/>
        <w:spacing w:after="0"/>
        <w:tabs>
          <w:tab w:leader="none" w:pos="26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Party’s independently generated Ideas in the CNS Field [***], in each case to enable:</w:t>
      </w:r>
    </w:p>
    <w:p>
      <w:pPr>
        <w:spacing w:after="0" w:line="116" w:lineRule="exact"/>
        <w:rPr>
          <w:rFonts w:ascii="Arial" w:cs="Arial" w:eastAsia="Arial" w:hAnsi="Arial"/>
          <w:sz w:val="18"/>
          <w:szCs w:val="18"/>
          <w:color w:val="auto"/>
        </w:rPr>
      </w:pPr>
    </w:p>
    <w:p>
      <w:pPr>
        <w:ind w:left="1964" w:hanging="533"/>
        <w:spacing w:after="0"/>
        <w:tabs>
          <w:tab w:leader="none" w:pos="1964"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Drug target discovery in CNS Disease;</w:t>
      </w:r>
    </w:p>
    <w:p>
      <w:pPr>
        <w:spacing w:after="0" w:line="130" w:lineRule="exact"/>
        <w:rPr>
          <w:rFonts w:ascii="Arial" w:cs="Arial" w:eastAsia="Arial" w:hAnsi="Arial"/>
          <w:sz w:val="18"/>
          <w:szCs w:val="18"/>
          <w:b w:val="1"/>
          <w:bCs w:val="1"/>
          <w:color w:val="auto"/>
        </w:rPr>
      </w:pPr>
    </w:p>
    <w:p>
      <w:pPr>
        <w:ind w:left="1964" w:hanging="533"/>
        <w:spacing w:after="0"/>
        <w:tabs>
          <w:tab w:leader="none" w:pos="1964"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Elucidation of biological mechanisms in CNS Disease;</w:t>
      </w:r>
    </w:p>
    <w:p>
      <w:pPr>
        <w:spacing w:after="0" w:line="130" w:lineRule="exact"/>
        <w:rPr>
          <w:rFonts w:ascii="Arial" w:cs="Arial" w:eastAsia="Arial" w:hAnsi="Arial"/>
          <w:sz w:val="18"/>
          <w:szCs w:val="18"/>
          <w:b w:val="1"/>
          <w:bCs w:val="1"/>
          <w:color w:val="auto"/>
        </w:rPr>
      </w:pPr>
    </w:p>
    <w:p>
      <w:pPr>
        <w:ind w:left="1964" w:hanging="533"/>
        <w:spacing w:after="0"/>
        <w:tabs>
          <w:tab w:leader="none" w:pos="1964"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Elucidation of biomarkers relevant to the treatment, prevention or amelioration of CNS Diseases;</w:t>
      </w:r>
    </w:p>
    <w:p>
      <w:pPr>
        <w:spacing w:after="0" w:line="130" w:lineRule="exact"/>
        <w:rPr>
          <w:rFonts w:ascii="Arial" w:cs="Arial" w:eastAsia="Arial" w:hAnsi="Arial"/>
          <w:sz w:val="18"/>
          <w:szCs w:val="18"/>
          <w:b w:val="1"/>
          <w:bCs w:val="1"/>
          <w:color w:val="auto"/>
        </w:rPr>
      </w:pPr>
    </w:p>
    <w:p>
      <w:pPr>
        <w:ind w:left="1964" w:hanging="533"/>
        <w:spacing w:after="0"/>
        <w:tabs>
          <w:tab w:leader="none" w:pos="1964" w:val="left"/>
        </w:tabs>
        <w:numPr>
          <w:ilvl w:val="1"/>
          <w:numId w:val="181"/>
        </w:numPr>
        <w:rPr>
          <w:rFonts w:ascii="Arial" w:cs="Arial" w:eastAsia="Arial" w:hAnsi="Arial"/>
          <w:sz w:val="17"/>
          <w:szCs w:val="17"/>
          <w:b w:val="1"/>
          <w:bCs w:val="1"/>
          <w:color w:val="auto"/>
        </w:rPr>
      </w:pPr>
      <w:r>
        <w:rPr>
          <w:rFonts w:ascii="Arial" w:cs="Arial" w:eastAsia="Arial" w:hAnsi="Arial"/>
          <w:sz w:val="17"/>
          <w:szCs w:val="17"/>
          <w:color w:val="auto"/>
        </w:rPr>
        <w:t>Validation of CNS Disease related targets independently identified by RBNC or Amgen or in the scientific literature;</w:t>
      </w:r>
    </w:p>
    <w:p>
      <w:pPr>
        <w:spacing w:after="0" w:line="142" w:lineRule="exact"/>
        <w:rPr>
          <w:rFonts w:ascii="Arial" w:cs="Arial" w:eastAsia="Arial" w:hAnsi="Arial"/>
          <w:sz w:val="17"/>
          <w:szCs w:val="17"/>
          <w:b w:val="1"/>
          <w:bCs w:val="1"/>
          <w:color w:val="auto"/>
        </w:rPr>
      </w:pPr>
    </w:p>
    <w:p>
      <w:pPr>
        <w:ind w:left="1964" w:hanging="533"/>
        <w:spacing w:after="0"/>
        <w:tabs>
          <w:tab w:leader="none" w:pos="1964"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Assessment of the consequences of engaging a CNS Disease related target; and</w:t>
      </w:r>
    </w:p>
    <w:p>
      <w:pPr>
        <w:spacing w:after="0" w:line="130" w:lineRule="exact"/>
        <w:rPr>
          <w:rFonts w:ascii="Arial" w:cs="Arial" w:eastAsia="Arial" w:hAnsi="Arial"/>
          <w:sz w:val="18"/>
          <w:szCs w:val="18"/>
          <w:b w:val="1"/>
          <w:bCs w:val="1"/>
          <w:color w:val="auto"/>
        </w:rPr>
      </w:pPr>
    </w:p>
    <w:p>
      <w:pPr>
        <w:ind w:left="1964" w:hanging="533"/>
        <w:spacing w:after="0" w:line="277" w:lineRule="auto"/>
        <w:tabs>
          <w:tab w:leader="none" w:pos="1964"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Clinical trial design and stratification support based on genetics analysis for Therapeutic Compound development in the CNS Field.</w:t>
      </w:r>
    </w:p>
    <w:p>
      <w:pPr>
        <w:spacing w:after="0" w:line="166" w:lineRule="exact"/>
        <w:rPr>
          <w:sz w:val="20"/>
          <w:szCs w:val="20"/>
          <w:color w:val="auto"/>
        </w:rPr>
      </w:pPr>
    </w:p>
    <w:p>
      <w:pPr>
        <w:jc w:val="both"/>
        <w:ind w:left="4" w:right="120" w:firstLine="440"/>
        <w:spacing w:after="0" w:line="261" w:lineRule="auto"/>
        <w:rPr>
          <w:sz w:val="20"/>
          <w:szCs w:val="20"/>
          <w:color w:val="auto"/>
        </w:rPr>
      </w:pPr>
      <w:r>
        <w:rPr>
          <w:rFonts w:ascii="Arial" w:cs="Arial" w:eastAsia="Arial" w:hAnsi="Arial"/>
          <w:sz w:val="18"/>
          <w:szCs w:val="18"/>
          <w:b w:val="1"/>
          <w:bCs w:val="1"/>
          <w:color w:val="auto"/>
        </w:rPr>
        <w:t xml:space="preserve">Section 2.4 Approval of Projects. </w:t>
      </w:r>
      <w:r>
        <w:rPr>
          <w:rFonts w:ascii="Arial" w:cs="Arial" w:eastAsia="Arial" w:hAnsi="Arial"/>
          <w:sz w:val="18"/>
          <w:szCs w:val="18"/>
          <w:color w:val="auto"/>
        </w:rPr>
        <w:t>For use in evaluating and approving a new project, the JRC will develop a project summary that outlines at a</w:t>
      </w:r>
      <w:r>
        <w:rPr>
          <w:rFonts w:ascii="Arial" w:cs="Arial" w:eastAsia="Arial" w:hAnsi="Arial"/>
          <w:sz w:val="18"/>
          <w:szCs w:val="18"/>
          <w:b w:val="1"/>
          <w:bCs w:val="1"/>
          <w:color w:val="auto"/>
        </w:rPr>
        <w:t xml:space="preserve"> </w:t>
      </w:r>
      <w:r>
        <w:rPr>
          <w:rFonts w:ascii="Arial" w:cs="Arial" w:eastAsia="Arial" w:hAnsi="Arial"/>
          <w:sz w:val="18"/>
          <w:szCs w:val="18"/>
          <w:color w:val="auto"/>
        </w:rPr>
        <w:t>high level the information set forth on Exhibit A with respect to such project. Prior to commencing a new project, the JRC will agree on a project plan for such project that includes, at a minimum, the information set forth on Exhibit A and is agreed to in writing by a representative of each Party (each a “</w:t>
      </w:r>
      <w:r>
        <w:rPr>
          <w:rFonts w:ascii="Arial" w:cs="Arial" w:eastAsia="Arial" w:hAnsi="Arial"/>
          <w:sz w:val="18"/>
          <w:szCs w:val="18"/>
          <w:b w:val="1"/>
          <w:bCs w:val="1"/>
          <w:color w:val="auto"/>
        </w:rPr>
        <w:t>Project</w:t>
      </w:r>
      <w:r>
        <w:rPr>
          <w:rFonts w:ascii="Arial" w:cs="Arial" w:eastAsia="Arial" w:hAnsi="Arial"/>
          <w:sz w:val="18"/>
          <w:szCs w:val="18"/>
          <w:color w:val="auto"/>
        </w:rPr>
        <w:t>”).</w:t>
      </w:r>
    </w:p>
    <w:p>
      <w:pPr>
        <w:spacing w:after="0" w:line="180" w:lineRule="exact"/>
        <w:rPr>
          <w:sz w:val="20"/>
          <w:szCs w:val="20"/>
          <w:color w:val="auto"/>
        </w:rPr>
      </w:pPr>
    </w:p>
    <w:p>
      <w:pPr>
        <w:ind w:left="4" w:right="40" w:firstLine="440"/>
        <w:spacing w:after="0" w:line="274" w:lineRule="auto"/>
        <w:rPr>
          <w:sz w:val="20"/>
          <w:szCs w:val="20"/>
          <w:color w:val="auto"/>
        </w:rPr>
      </w:pPr>
      <w:r>
        <w:rPr>
          <w:rFonts w:ascii="Arial" w:cs="Arial" w:eastAsia="Arial" w:hAnsi="Arial"/>
          <w:sz w:val="17"/>
          <w:szCs w:val="17"/>
          <w:b w:val="1"/>
          <w:bCs w:val="1"/>
          <w:color w:val="auto"/>
        </w:rPr>
        <w:t>Section 2.5 Out of Scope Activities</w:t>
      </w:r>
      <w:r>
        <w:rPr>
          <w:rFonts w:ascii="Arial" w:cs="Arial" w:eastAsia="Arial" w:hAnsi="Arial"/>
          <w:sz w:val="17"/>
          <w:szCs w:val="17"/>
          <w:color w:val="auto"/>
        </w:rPr>
        <w:t>. The Parties acknowledge and agree that Projects and Collaboration Activities: (a) will not utilize or</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 any component of the RBNC Platform Technology unless otherwise agreed by the Parties in writing, (b) may utilize but will not incorporate any Amgen Platform Technology unless otherwise agreed by the Parties in writing, and (c) will not include Therapeutic Compound Activities by either Party. Each Party has the right to conduct Therapeutic Compound Activities separate and apart from a Project and the Collaboration Activities, and for clarity, any Patent Right (that does not claim Collaboration Know-How) or Know-How generated by or on behalf of a Party in the course of conducting Therapeutic Compound [***] shall be included in the Background IP of such Party.</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2.6 Project Governance</w:t>
      </w:r>
      <w:r>
        <w:rPr>
          <w:rFonts w:ascii="Arial" w:cs="Arial" w:eastAsia="Arial" w:hAnsi="Arial"/>
          <w:sz w:val="18"/>
          <w:szCs w:val="18"/>
          <w:color w:val="auto"/>
        </w:rPr>
        <w:t>.</w:t>
      </w:r>
    </w:p>
    <w:p>
      <w:pPr>
        <w:spacing w:after="0" w:line="117" w:lineRule="exact"/>
        <w:rPr>
          <w:sz w:val="20"/>
          <w:szCs w:val="20"/>
          <w:color w:val="auto"/>
        </w:rPr>
      </w:pPr>
    </w:p>
    <w:p>
      <w:pPr>
        <w:ind w:left="4" w:firstLine="1432"/>
        <w:spacing w:after="0" w:line="277" w:lineRule="auto"/>
        <w:rPr>
          <w:sz w:val="20"/>
          <w:szCs w:val="20"/>
          <w:color w:val="auto"/>
        </w:rPr>
      </w:pPr>
      <w:r>
        <w:rPr>
          <w:rFonts w:ascii="Arial" w:cs="Arial" w:eastAsia="Arial" w:hAnsi="Arial"/>
          <w:sz w:val="17"/>
          <w:szCs w:val="17"/>
          <w:b w:val="1"/>
          <w:bCs w:val="1"/>
          <w:color w:val="auto"/>
        </w:rPr>
        <w:t xml:space="preserve">2.6.1 Overview. </w:t>
      </w:r>
      <w:r>
        <w:rPr>
          <w:rFonts w:ascii="Arial" w:cs="Arial" w:eastAsia="Arial" w:hAnsi="Arial"/>
          <w:sz w:val="17"/>
          <w:szCs w:val="17"/>
          <w:color w:val="auto"/>
        </w:rPr>
        <w:t>Within [***] days after the Effective Date, the Parties shall establish a joint research committee (the “</w:t>
      </w:r>
      <w:r>
        <w:rPr>
          <w:rFonts w:ascii="Arial" w:cs="Arial" w:eastAsia="Arial" w:hAnsi="Arial"/>
          <w:sz w:val="17"/>
          <w:szCs w:val="17"/>
          <w:b w:val="1"/>
          <w:bCs w:val="1"/>
          <w:color w:val="auto"/>
        </w:rPr>
        <w:t>Joint Research Committee</w:t>
      </w:r>
      <w:r>
        <w:rPr>
          <w:rFonts w:ascii="Arial" w:cs="Arial" w:eastAsia="Arial" w:hAnsi="Arial"/>
          <w:sz w:val="17"/>
          <w:szCs w:val="17"/>
          <w:color w:val="auto"/>
        </w:rPr>
        <w:t>” or the “</w:t>
      </w:r>
      <w:r>
        <w:rPr>
          <w:rFonts w:ascii="Arial" w:cs="Arial" w:eastAsia="Arial" w:hAnsi="Arial"/>
          <w:sz w:val="17"/>
          <w:szCs w:val="17"/>
          <w:b w:val="1"/>
          <w:bCs w:val="1"/>
          <w:color w:val="auto"/>
        </w:rPr>
        <w:t>JRC</w:t>
      </w:r>
      <w:r>
        <w:rPr>
          <w:rFonts w:ascii="Arial" w:cs="Arial" w:eastAsia="Arial" w:hAnsi="Arial"/>
          <w:sz w:val="17"/>
          <w:szCs w:val="17"/>
          <w:color w:val="auto"/>
        </w:rPr>
        <w:t>”) which will manage the progress and direction of the Collaboration Activities and deliverables contemplated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each Project. The JRC may establish a Project specific sub-team or otherwise designate a principle investigator for each Project hereunder that may be tasked with managing the day-to-day performance of each Project, but the JRC would not act to specify which personnel would perform particular Collaboration Activities, which would be decided by the sub-team or principle investigator for a Project.</w:t>
      </w:r>
    </w:p>
    <w:p>
      <w:pPr>
        <w:spacing w:after="0" w:line="60" w:lineRule="exact"/>
        <w:rPr>
          <w:sz w:val="20"/>
          <w:szCs w:val="20"/>
          <w:color w:val="auto"/>
        </w:rPr>
      </w:pPr>
    </w:p>
    <w:p>
      <w:pPr>
        <w:ind w:left="1424"/>
        <w:spacing w:after="0"/>
        <w:rPr>
          <w:sz w:val="20"/>
          <w:szCs w:val="20"/>
          <w:color w:val="auto"/>
        </w:rPr>
      </w:pPr>
      <w:r>
        <w:rPr>
          <w:rFonts w:ascii="Arial" w:cs="Arial" w:eastAsia="Arial" w:hAnsi="Arial"/>
          <w:sz w:val="18"/>
          <w:szCs w:val="18"/>
          <w:b w:val="1"/>
          <w:bCs w:val="1"/>
          <w:color w:val="auto"/>
        </w:rPr>
        <w:t>2.6.2 Joint Research Committee</w:t>
      </w:r>
      <w:r>
        <w:rPr>
          <w:rFonts w:ascii="Arial" w:cs="Arial" w:eastAsia="Arial" w:hAnsi="Arial"/>
          <w:sz w:val="18"/>
          <w:szCs w:val="18"/>
          <w:color w:val="auto"/>
        </w:rPr>
        <w:t>.</w:t>
      </w:r>
    </w:p>
    <w:p>
      <w:pPr>
        <w:spacing w:after="0" w:line="117" w:lineRule="exact"/>
        <w:rPr>
          <w:sz w:val="20"/>
          <w:szCs w:val="20"/>
          <w:color w:val="auto"/>
        </w:rPr>
      </w:pPr>
    </w:p>
    <w:p>
      <w:pPr>
        <w:ind w:left="4" w:right="40" w:firstLine="1428"/>
        <w:spacing w:after="0" w:line="261" w:lineRule="auto"/>
        <w:tabs>
          <w:tab w:leader="none" w:pos="1691"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w:t>
      </w:r>
      <w:r>
        <w:rPr>
          <w:rFonts w:ascii="Arial" w:cs="Arial" w:eastAsia="Arial" w:hAnsi="Arial"/>
          <w:sz w:val="18"/>
          <w:szCs w:val="18"/>
          <w:color w:val="auto"/>
        </w:rPr>
        <w:t>. The Joint Research Committee shall be comprised of two (2) named representatives of each Party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number as the Parties may agree). The JRC will be led by two (2) co-chairs, one (1) appointed by each Party. Within [***] days after the Effective Date, each Party shall designate by written notice to the other Party its initial representatives on the JRC. Each Party may replace one or more of its representatives, in its sole discretion, effective upon written notice to the other Party of such change.</w:t>
      </w:r>
    </w:p>
    <w:p>
      <w:pPr>
        <w:spacing w:after="0" w:line="116" w:lineRule="exact"/>
        <w:rPr>
          <w:rFonts w:ascii="Arial" w:cs="Arial" w:eastAsia="Arial" w:hAnsi="Arial"/>
          <w:sz w:val="18"/>
          <w:szCs w:val="18"/>
          <w:b w:val="1"/>
          <w:bCs w:val="1"/>
          <w:color w:val="auto"/>
        </w:rPr>
      </w:pPr>
    </w:p>
    <w:p>
      <w:pPr>
        <w:ind w:left="5424" w:hanging="108"/>
        <w:spacing w:after="0"/>
        <w:tabs>
          <w:tab w:leader="none" w:pos="5424" w:val="left"/>
        </w:tabs>
        <w:numPr>
          <w:ilvl w:val="1"/>
          <w:numId w:val="182"/>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4"/>
          </w:cols>
          <w:pgMar w:left="436" w:top="270" w:right="459" w:bottom="1440" w:gutter="0" w:footer="0" w:header="0"/>
        </w:sectPr>
      </w:pPr>
    </w:p>
    <w:bookmarkStart w:id="318" w:name="page319"/>
    <w:bookmarkEnd w:id="318"/>
    <w:p>
      <w:pPr>
        <w:ind w:left="1700" w:hanging="272"/>
        <w:spacing w:after="0"/>
        <w:tabs>
          <w:tab w:leader="none" w:pos="170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Function and Powers of the JRC</w:t>
      </w:r>
      <w:r>
        <w:rPr>
          <w:rFonts w:ascii="Arial" w:cs="Arial" w:eastAsia="Arial" w:hAnsi="Arial"/>
          <w:sz w:val="17"/>
          <w:szCs w:val="17"/>
          <w:color w:val="auto"/>
        </w:rPr>
        <w:t>. The JRC shall, consistent with the terms and conditions set forth in this Agreement:</w:t>
      </w:r>
    </w:p>
    <w:p>
      <w:pPr>
        <w:spacing w:after="0" w:line="132" w:lineRule="exact"/>
        <w:rPr>
          <w:rFonts w:ascii="Arial" w:cs="Arial" w:eastAsia="Arial" w:hAnsi="Arial"/>
          <w:sz w:val="17"/>
          <w:szCs w:val="17"/>
          <w:b w:val="1"/>
          <w:bCs w:val="1"/>
          <w:color w:val="auto"/>
        </w:rPr>
      </w:pPr>
    </w:p>
    <w:p>
      <w:pPr>
        <w:ind w:left="2200" w:hanging="221"/>
        <w:spacing w:after="0"/>
        <w:tabs>
          <w:tab w:leader="none" w:pos="2200" w:val="left"/>
        </w:tabs>
        <w:numPr>
          <w:ilvl w:val="1"/>
          <w:numId w:val="183"/>
        </w:numPr>
        <w:rPr>
          <w:rFonts w:ascii="Arial" w:cs="Arial" w:eastAsia="Arial" w:hAnsi="Arial"/>
          <w:sz w:val="17"/>
          <w:szCs w:val="17"/>
          <w:b w:val="1"/>
          <w:bCs w:val="1"/>
          <w:color w:val="auto"/>
        </w:rPr>
      </w:pPr>
      <w:r>
        <w:rPr>
          <w:rFonts w:ascii="Arial" w:cs="Arial" w:eastAsia="Arial" w:hAnsi="Arial"/>
          <w:sz w:val="17"/>
          <w:szCs w:val="17"/>
          <w:color w:val="auto"/>
        </w:rPr>
        <w:t>Discuss, develop, review and approve new Projects, including any Ideas to include as the subject of any Project;</w:t>
      </w:r>
    </w:p>
    <w:p>
      <w:pPr>
        <w:spacing w:after="0" w:line="128" w:lineRule="exact"/>
        <w:rPr>
          <w:rFonts w:ascii="Arial" w:cs="Arial" w:eastAsia="Arial" w:hAnsi="Arial"/>
          <w:sz w:val="17"/>
          <w:szCs w:val="17"/>
          <w:b w:val="1"/>
          <w:bCs w:val="1"/>
          <w:color w:val="auto"/>
        </w:rPr>
      </w:pPr>
    </w:p>
    <w:p>
      <w:pPr>
        <w:ind w:left="2240" w:hanging="261"/>
        <w:spacing w:after="0"/>
        <w:tabs>
          <w:tab w:leader="none" w:pos="2240" w:val="left"/>
        </w:tabs>
        <w:numPr>
          <w:ilvl w:val="1"/>
          <w:numId w:val="183"/>
        </w:numPr>
        <w:rPr>
          <w:rFonts w:ascii="Arial" w:cs="Arial" w:eastAsia="Arial" w:hAnsi="Arial"/>
          <w:sz w:val="18"/>
          <w:szCs w:val="18"/>
          <w:b w:val="1"/>
          <w:bCs w:val="1"/>
          <w:color w:val="auto"/>
        </w:rPr>
      </w:pPr>
      <w:r>
        <w:rPr>
          <w:rFonts w:ascii="Arial" w:cs="Arial" w:eastAsia="Arial" w:hAnsi="Arial"/>
          <w:sz w:val="18"/>
          <w:szCs w:val="18"/>
          <w:color w:val="auto"/>
        </w:rPr>
        <w:t>Discuss, develop, review and approve any material changes to any Project;</w:t>
      </w:r>
    </w:p>
    <w:p>
      <w:pPr>
        <w:spacing w:after="0" w:line="117" w:lineRule="exact"/>
        <w:rPr>
          <w:rFonts w:ascii="Arial" w:cs="Arial" w:eastAsia="Arial" w:hAnsi="Arial"/>
          <w:sz w:val="18"/>
          <w:szCs w:val="18"/>
          <w:b w:val="1"/>
          <w:bCs w:val="1"/>
          <w:color w:val="auto"/>
        </w:rPr>
      </w:pPr>
    </w:p>
    <w:p>
      <w:pPr>
        <w:ind w:left="2300" w:hanging="321"/>
        <w:spacing w:after="0"/>
        <w:tabs>
          <w:tab w:leader="none" w:pos="2300" w:val="left"/>
        </w:tabs>
        <w:numPr>
          <w:ilvl w:val="1"/>
          <w:numId w:val="183"/>
        </w:numPr>
        <w:rPr>
          <w:rFonts w:ascii="Arial" w:cs="Arial" w:eastAsia="Arial" w:hAnsi="Arial"/>
          <w:sz w:val="18"/>
          <w:szCs w:val="18"/>
          <w:b w:val="1"/>
          <w:bCs w:val="1"/>
          <w:color w:val="auto"/>
        </w:rPr>
      </w:pPr>
      <w:r>
        <w:rPr>
          <w:rFonts w:ascii="Arial" w:cs="Arial" w:eastAsia="Arial" w:hAnsi="Arial"/>
          <w:sz w:val="18"/>
          <w:szCs w:val="18"/>
          <w:color w:val="auto"/>
        </w:rPr>
        <w:t>Evaluate Ideas for potential inclusion in a new or existing Project in accordance with Section 2.2;</w:t>
      </w:r>
    </w:p>
    <w:p>
      <w:pPr>
        <w:spacing w:after="0" w:line="117" w:lineRule="exact"/>
        <w:rPr>
          <w:rFonts w:ascii="Arial" w:cs="Arial" w:eastAsia="Arial" w:hAnsi="Arial"/>
          <w:sz w:val="18"/>
          <w:szCs w:val="18"/>
          <w:b w:val="1"/>
          <w:bCs w:val="1"/>
          <w:color w:val="auto"/>
        </w:rPr>
      </w:pPr>
    </w:p>
    <w:p>
      <w:pPr>
        <w:jc w:val="both"/>
        <w:ind w:right="300" w:firstLine="1979"/>
        <w:spacing w:after="0" w:line="342" w:lineRule="auto"/>
        <w:tabs>
          <w:tab w:leader="none" w:pos="2287" w:val="left"/>
        </w:tabs>
        <w:numPr>
          <w:ilvl w:val="1"/>
          <w:numId w:val="183"/>
        </w:numPr>
        <w:rPr>
          <w:rFonts w:ascii="Arial" w:cs="Arial" w:eastAsia="Arial" w:hAnsi="Arial"/>
          <w:sz w:val="16"/>
          <w:szCs w:val="16"/>
          <w:b w:val="1"/>
          <w:bCs w:val="1"/>
          <w:color w:val="auto"/>
        </w:rPr>
      </w:pPr>
      <w:r>
        <w:rPr>
          <w:rFonts w:ascii="Arial" w:cs="Arial" w:eastAsia="Arial" w:hAnsi="Arial"/>
          <w:sz w:val="16"/>
          <w:szCs w:val="16"/>
          <w:color w:val="auto"/>
        </w:rPr>
        <w:t>Develop a process for evaluating and approving the potential inclusion of Ideas (originating from either Party) into a new or existing Project while protecting against the reasonable contamination and disclosure concerns of the Parties, as contemplated in Section 2.2;</w:t>
      </w:r>
    </w:p>
    <w:p>
      <w:pPr>
        <w:spacing w:after="0" w:line="15" w:lineRule="exact"/>
        <w:rPr>
          <w:rFonts w:ascii="Arial" w:cs="Arial" w:eastAsia="Arial" w:hAnsi="Arial"/>
          <w:sz w:val="16"/>
          <w:szCs w:val="16"/>
          <w:b w:val="1"/>
          <w:bCs w:val="1"/>
          <w:color w:val="auto"/>
        </w:rPr>
      </w:pPr>
    </w:p>
    <w:p>
      <w:pPr>
        <w:ind w:right="140" w:firstLine="1979"/>
        <w:spacing w:after="0" w:line="277" w:lineRule="auto"/>
        <w:tabs>
          <w:tab w:leader="none" w:pos="2237" w:val="left"/>
        </w:tabs>
        <w:numPr>
          <w:ilvl w:val="1"/>
          <w:numId w:val="183"/>
        </w:numPr>
        <w:rPr>
          <w:rFonts w:ascii="Arial" w:cs="Arial" w:eastAsia="Arial" w:hAnsi="Arial"/>
          <w:sz w:val="18"/>
          <w:szCs w:val="18"/>
          <w:b w:val="1"/>
          <w:bCs w:val="1"/>
          <w:color w:val="auto"/>
        </w:rPr>
      </w:pPr>
      <w:r>
        <w:rPr>
          <w:rFonts w:ascii="Arial" w:cs="Arial" w:eastAsia="Arial" w:hAnsi="Arial"/>
          <w:sz w:val="18"/>
          <w:szCs w:val="18"/>
          <w:color w:val="auto"/>
        </w:rPr>
        <w:t>Review progress of the Collaboration Activities and deliverables of the Parties against the expectations for each Project as set forth in the applicable Project plan;</w:t>
      </w:r>
    </w:p>
    <w:p>
      <w:pPr>
        <w:spacing w:after="0" w:line="62" w:lineRule="exact"/>
        <w:rPr>
          <w:rFonts w:ascii="Arial" w:cs="Arial" w:eastAsia="Arial" w:hAnsi="Arial"/>
          <w:sz w:val="18"/>
          <w:szCs w:val="18"/>
          <w:b w:val="1"/>
          <w:bCs w:val="1"/>
          <w:color w:val="auto"/>
        </w:rPr>
      </w:pPr>
    </w:p>
    <w:p>
      <w:pPr>
        <w:ind w:left="2280" w:hanging="301"/>
        <w:spacing w:after="0"/>
        <w:tabs>
          <w:tab w:leader="none" w:pos="2280" w:val="left"/>
        </w:tabs>
        <w:numPr>
          <w:ilvl w:val="1"/>
          <w:numId w:val="183"/>
        </w:numPr>
        <w:rPr>
          <w:rFonts w:ascii="Arial" w:cs="Arial" w:eastAsia="Arial" w:hAnsi="Arial"/>
          <w:sz w:val="18"/>
          <w:szCs w:val="18"/>
          <w:b w:val="1"/>
          <w:bCs w:val="1"/>
          <w:color w:val="auto"/>
        </w:rPr>
      </w:pPr>
      <w:r>
        <w:rPr>
          <w:rFonts w:ascii="Arial" w:cs="Arial" w:eastAsia="Arial" w:hAnsi="Arial"/>
          <w:sz w:val="18"/>
          <w:szCs w:val="18"/>
          <w:color w:val="auto"/>
        </w:rPr>
        <w:t>Determine if any Project is futile and whether such futility can be addressed by amending such Project;</w:t>
      </w:r>
    </w:p>
    <w:p>
      <w:pPr>
        <w:spacing w:after="0" w:line="117" w:lineRule="exact"/>
        <w:rPr>
          <w:rFonts w:ascii="Arial" w:cs="Arial" w:eastAsia="Arial" w:hAnsi="Arial"/>
          <w:sz w:val="18"/>
          <w:szCs w:val="18"/>
          <w:b w:val="1"/>
          <w:bCs w:val="1"/>
          <w:color w:val="auto"/>
        </w:rPr>
      </w:pPr>
    </w:p>
    <w:p>
      <w:pPr>
        <w:ind w:left="2340" w:hanging="361"/>
        <w:spacing w:after="0"/>
        <w:tabs>
          <w:tab w:leader="none" w:pos="2340" w:val="left"/>
        </w:tabs>
        <w:numPr>
          <w:ilvl w:val="1"/>
          <w:numId w:val="183"/>
        </w:numPr>
        <w:rPr>
          <w:rFonts w:ascii="Arial" w:cs="Arial" w:eastAsia="Arial" w:hAnsi="Arial"/>
          <w:sz w:val="16"/>
          <w:szCs w:val="16"/>
          <w:b w:val="1"/>
          <w:bCs w:val="1"/>
          <w:color w:val="auto"/>
        </w:rPr>
      </w:pPr>
      <w:r>
        <w:rPr>
          <w:rFonts w:ascii="Arial" w:cs="Arial" w:eastAsia="Arial" w:hAnsi="Arial"/>
          <w:sz w:val="16"/>
          <w:szCs w:val="16"/>
          <w:color w:val="auto"/>
        </w:rPr>
        <w:t>Monitor and confirm each Party’s performance of Collaboration Activities and provision of deliverables to be provided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by such Party in a Project plan;</w:t>
      </w:r>
    </w:p>
    <w:p>
      <w:pPr>
        <w:spacing w:after="0" w:line="102" w:lineRule="exact"/>
        <w:rPr>
          <w:rFonts w:ascii="Arial" w:cs="Arial" w:eastAsia="Arial" w:hAnsi="Arial"/>
          <w:sz w:val="16"/>
          <w:szCs w:val="16"/>
          <w:b w:val="1"/>
          <w:bCs w:val="1"/>
          <w:color w:val="auto"/>
        </w:rPr>
      </w:pPr>
    </w:p>
    <w:p>
      <w:pPr>
        <w:ind w:left="2380" w:hanging="401"/>
        <w:spacing w:after="0"/>
        <w:tabs>
          <w:tab w:leader="none" w:pos="2380" w:val="left"/>
        </w:tabs>
        <w:numPr>
          <w:ilvl w:val="1"/>
          <w:numId w:val="183"/>
        </w:numPr>
        <w:rPr>
          <w:rFonts w:ascii="Arial" w:cs="Arial" w:eastAsia="Arial" w:hAnsi="Arial"/>
          <w:sz w:val="17"/>
          <w:szCs w:val="17"/>
          <w:b w:val="1"/>
          <w:bCs w:val="1"/>
          <w:color w:val="auto"/>
        </w:rPr>
      </w:pPr>
      <w:r>
        <w:rPr>
          <w:rFonts w:ascii="Arial" w:cs="Arial" w:eastAsia="Arial" w:hAnsi="Arial"/>
          <w:sz w:val="17"/>
          <w:szCs w:val="17"/>
          <w:color w:val="auto"/>
        </w:rPr>
        <w:t>Perform any and all tasks and responsibilities that are expressly attributed to the JRC under this Agreement;</w:t>
      </w:r>
    </w:p>
    <w:p>
      <w:pPr>
        <w:spacing w:after="0" w:line="128" w:lineRule="exact"/>
        <w:rPr>
          <w:rFonts w:ascii="Arial" w:cs="Arial" w:eastAsia="Arial" w:hAnsi="Arial"/>
          <w:sz w:val="17"/>
          <w:szCs w:val="17"/>
          <w:b w:val="1"/>
          <w:bCs w:val="1"/>
          <w:color w:val="auto"/>
        </w:rPr>
      </w:pPr>
    </w:p>
    <w:p>
      <w:pPr>
        <w:ind w:left="2280" w:hanging="301"/>
        <w:spacing w:after="0"/>
        <w:tabs>
          <w:tab w:leader="none" w:pos="2280" w:val="left"/>
        </w:tabs>
        <w:numPr>
          <w:ilvl w:val="1"/>
          <w:numId w:val="183"/>
        </w:numPr>
        <w:rPr>
          <w:rFonts w:ascii="Arial" w:cs="Arial" w:eastAsia="Arial" w:hAnsi="Arial"/>
          <w:sz w:val="18"/>
          <w:szCs w:val="18"/>
          <w:b w:val="1"/>
          <w:bCs w:val="1"/>
          <w:color w:val="auto"/>
        </w:rPr>
      </w:pPr>
      <w:r>
        <w:rPr>
          <w:rFonts w:ascii="Arial" w:cs="Arial" w:eastAsia="Arial" w:hAnsi="Arial"/>
          <w:sz w:val="18"/>
          <w:szCs w:val="18"/>
          <w:color w:val="auto"/>
        </w:rPr>
        <w:t>Manage overall Collaboration Activities and allocate resources amongst the active Projects; and</w:t>
      </w:r>
    </w:p>
    <w:p>
      <w:pPr>
        <w:spacing w:after="0" w:line="117" w:lineRule="exact"/>
        <w:rPr>
          <w:rFonts w:ascii="Arial" w:cs="Arial" w:eastAsia="Arial" w:hAnsi="Arial"/>
          <w:sz w:val="18"/>
          <w:szCs w:val="18"/>
          <w:b w:val="1"/>
          <w:bCs w:val="1"/>
          <w:color w:val="auto"/>
        </w:rPr>
      </w:pPr>
    </w:p>
    <w:p>
      <w:pPr>
        <w:ind w:right="500" w:firstLine="1979"/>
        <w:spacing w:after="0" w:line="277" w:lineRule="auto"/>
        <w:tabs>
          <w:tab w:leader="none" w:pos="2237" w:val="left"/>
        </w:tabs>
        <w:numPr>
          <w:ilvl w:val="1"/>
          <w:numId w:val="183"/>
        </w:numPr>
        <w:rPr>
          <w:rFonts w:ascii="Arial" w:cs="Arial" w:eastAsia="Arial" w:hAnsi="Arial"/>
          <w:sz w:val="18"/>
          <w:szCs w:val="18"/>
          <w:b w:val="1"/>
          <w:bCs w:val="1"/>
          <w:color w:val="auto"/>
        </w:rPr>
      </w:pPr>
      <w:r>
        <w:rPr>
          <w:rFonts w:ascii="Arial" w:cs="Arial" w:eastAsia="Arial" w:hAnsi="Arial"/>
          <w:sz w:val="18"/>
          <w:szCs w:val="18"/>
          <w:color w:val="auto"/>
        </w:rPr>
        <w:t>Direct and oversee the operation of any subcommittees established under Section 2.6.2(d), including resolving any disputed matter of such subcommittees.</w:t>
      </w:r>
    </w:p>
    <w:p>
      <w:pPr>
        <w:spacing w:after="0" w:line="58" w:lineRule="exact"/>
        <w:rPr>
          <w:rFonts w:ascii="Arial" w:cs="Arial" w:eastAsia="Arial" w:hAnsi="Arial"/>
          <w:sz w:val="18"/>
          <w:szCs w:val="18"/>
          <w:b w:val="1"/>
          <w:bCs w:val="1"/>
          <w:color w:val="auto"/>
        </w:rPr>
      </w:pPr>
    </w:p>
    <w:p>
      <w:pPr>
        <w:ind w:firstLine="1428"/>
        <w:spacing w:after="0" w:line="269" w:lineRule="auto"/>
        <w:tabs>
          <w:tab w:leader="none" w:pos="1677"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color w:val="auto"/>
        </w:rPr>
        <w:t>Meetings</w:t>
      </w:r>
      <w:r>
        <w:rPr>
          <w:rFonts w:ascii="Arial" w:cs="Arial" w:eastAsia="Arial" w:hAnsi="Arial"/>
          <w:sz w:val="17"/>
          <w:szCs w:val="17"/>
          <w:color w:val="auto"/>
        </w:rPr>
        <w:t>. The Joint Research Committee shall meet [***], or as otherwise agreed by the Parties, and such meetings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conducted by telephone, videoconference or in person as determined by the co-chairs. As appropriate, [***], other employees of the Parties may attend Joint Research Committee meetings as observers, but a Party shall not bring a Third Party to a meeting without the other Party’s prior consent, which consent shall not be unreasonably withheld. Any Third Party permitted to attend such meeting shall be bound by obligations of confidentiality no less stringent that the terms set forth in Article 11 and invention assignment obligations consistent with Section 7.1. Each Party may also call for special meetings of the Joint Research Committee with reasonable prior written notice to the other Party ([***]) to resolve particular matters requested by such Party and within the decision-making responsibility of the Joint Research Committee. Minutes will be kept of all JRC meetings and will reflect material decisions made at such meetings. Meeting minutes will be prepared by the Parties on a rotating basis and sent to each member of the JRC for review and approval promptly following each meeting. Minutes will be deemed approved unless a member of the JRC objects to the accuracy of such minutes within [***] days of receipt, in which case the Parties will promptly resolve such objection. If any objection is not resolved by mutual agreement of the Parties, such minutes will be amended to reflect such unresolved dispute. Each Party shall be responsible for all of its own expenses incurred in connection with participating in all such meetings.</w:t>
      </w:r>
    </w:p>
    <w:p>
      <w:pPr>
        <w:spacing w:after="0" w:line="115" w:lineRule="exact"/>
        <w:rPr>
          <w:rFonts w:ascii="Arial" w:cs="Arial" w:eastAsia="Arial" w:hAnsi="Arial"/>
          <w:sz w:val="17"/>
          <w:szCs w:val="17"/>
          <w:b w:val="1"/>
          <w:bCs w:val="1"/>
          <w:color w:val="auto"/>
        </w:rPr>
      </w:pPr>
    </w:p>
    <w:p>
      <w:pPr>
        <w:ind w:left="5420" w:hanging="111"/>
        <w:spacing w:after="0"/>
        <w:tabs>
          <w:tab w:leader="none" w:pos="542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80"/>
          </w:cols>
          <w:pgMar w:left="440" w:top="270" w:right="479" w:bottom="1440" w:gutter="0" w:footer="0" w:header="0"/>
        </w:sectPr>
      </w:pPr>
    </w:p>
    <w:bookmarkStart w:id="319" w:name="page320"/>
    <w:bookmarkEnd w:id="319"/>
    <w:p>
      <w:pPr>
        <w:ind w:left="4" w:firstLine="1428"/>
        <w:spacing w:after="0" w:line="273" w:lineRule="auto"/>
        <w:tabs>
          <w:tab w:leader="none" w:pos="1701"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Subcommittees</w:t>
      </w:r>
      <w:r>
        <w:rPr>
          <w:rFonts w:ascii="Arial" w:cs="Arial" w:eastAsia="Arial" w:hAnsi="Arial"/>
          <w:sz w:val="17"/>
          <w:szCs w:val="17"/>
          <w:color w:val="auto"/>
        </w:rPr>
        <w:t>. The JRC may establish and disband subcommittees as deemed necessary by the JRC, including any Project</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 subcommittees. Each such subcommittee shall consist of the same number of representatives designated by each Party, which number shall be mutually agreed by the Parties. Each Party shall be free to change its representatives on written notice to the other Party or to send a substitute representative to any subcommittee meeting. Except as expressly provided in this Agreement, no subcommittee shall have the authority to bind the Parties hereunder and each subcommittee shall report to the JRC. Each Party shall be responsible for all of its own expenses incurred in connection with participating in all such meetings. Any matters arising within a subcommittee that are not resolved by members of such subcommittee shall be submitted to the JRC for resolution in accordance with Section 2.6.2(b)(x).</w:t>
      </w:r>
    </w:p>
    <w:p>
      <w:pPr>
        <w:spacing w:after="0" w:line="64" w:lineRule="exact"/>
        <w:rPr>
          <w:sz w:val="20"/>
          <w:szCs w:val="20"/>
          <w:color w:val="auto"/>
        </w:rPr>
      </w:pPr>
    </w:p>
    <w:p>
      <w:pPr>
        <w:ind w:left="4" w:right="660" w:firstLine="991"/>
        <w:spacing w:after="0" w:line="347" w:lineRule="auto"/>
        <w:rPr>
          <w:sz w:val="20"/>
          <w:szCs w:val="20"/>
          <w:color w:val="auto"/>
        </w:rPr>
      </w:pPr>
      <w:r>
        <w:rPr>
          <w:rFonts w:ascii="Arial" w:cs="Arial" w:eastAsia="Arial" w:hAnsi="Arial"/>
          <w:sz w:val="16"/>
          <w:szCs w:val="16"/>
          <w:b w:val="1"/>
          <w:bCs w:val="1"/>
          <w:color w:val="auto"/>
        </w:rPr>
        <w:t xml:space="preserve">2.6.3 Cooperation. </w:t>
      </w:r>
      <w:r>
        <w:rPr>
          <w:rFonts w:ascii="Arial" w:cs="Arial" w:eastAsia="Arial" w:hAnsi="Arial"/>
          <w:sz w:val="16"/>
          <w:szCs w:val="16"/>
          <w:color w:val="auto"/>
        </w:rPr>
        <w:t>Each Party shall provide the JRC such information as reasonably required under any Project, or as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requested by the other Party and reasonably available, relating to the progress of the goals or performance of activities under such Project.</w:t>
      </w:r>
    </w:p>
    <w:p>
      <w:pPr>
        <w:spacing w:after="0" w:line="8"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b w:val="1"/>
          <w:bCs w:val="1"/>
          <w:color w:val="auto"/>
        </w:rPr>
        <w:t xml:space="preserve">2.6.4 Decisions. </w:t>
      </w:r>
      <w:r>
        <w:rPr>
          <w:rFonts w:ascii="Arial" w:cs="Arial" w:eastAsia="Arial" w:hAnsi="Arial"/>
          <w:sz w:val="16"/>
          <w:szCs w:val="16"/>
          <w:color w:val="auto"/>
        </w:rPr>
        <w:t>Other than as expressly set forth herein, in order to make any decision required of it hereunder, the JRC must have present</w:t>
      </w:r>
      <w:r>
        <w:rPr>
          <w:rFonts w:ascii="Arial" w:cs="Arial" w:eastAsia="Arial" w:hAnsi="Arial"/>
          <w:sz w:val="16"/>
          <w:szCs w:val="16"/>
          <w:b w:val="1"/>
          <w:bCs w:val="1"/>
          <w:color w:val="auto"/>
        </w:rPr>
        <w:t xml:space="preserve"> </w:t>
      </w:r>
      <w:r>
        <w:rPr>
          <w:rFonts w:ascii="Arial" w:cs="Arial" w:eastAsia="Arial" w:hAnsi="Arial"/>
          <w:sz w:val="16"/>
          <w:szCs w:val="16"/>
          <w:color w:val="auto"/>
        </w:rPr>
        <w:t>(in person, by videoconference or telephonically) at least the co-chair of each Party (or his/her designee for such meeting). Decisions of the JRC shall be by consensus, with each Party having one (1) vote. If the JRC cannot reach consensus on a matter after good faith discussions of the JRC for a period of at least [***</w:t>
      </w:r>
      <w:r>
        <w:rPr>
          <w:rFonts w:ascii="Arial" w:cs="Arial" w:eastAsia="Arial" w:hAnsi="Arial"/>
          <w:sz w:val="16"/>
          <w:szCs w:val="16"/>
          <w:b w:val="1"/>
          <w:bCs w:val="1"/>
          <w:color w:val="auto"/>
        </w:rPr>
        <w:t>]</w:t>
      </w:r>
      <w:r>
        <w:rPr>
          <w:rFonts w:ascii="Arial" w:cs="Arial" w:eastAsia="Arial" w:hAnsi="Arial"/>
          <w:sz w:val="16"/>
          <w:szCs w:val="16"/>
          <w:color w:val="auto"/>
        </w:rPr>
        <w:t xml:space="preserve"> days (whether the matter originated at the JRC or within a subcommittee), the co-chair of either Party may cause such dispute to be referred to the Executive Officers for discussion and resolution. If such lack of consensus cannot be resolved between the Executive Officers within</w:t>
      </w:r>
    </w:p>
    <w:p>
      <w:pPr>
        <w:spacing w:after="0" w:line="2" w:lineRule="exact"/>
        <w:rPr>
          <w:sz w:val="20"/>
          <w:szCs w:val="20"/>
          <w:color w:val="auto"/>
        </w:rPr>
      </w:pPr>
    </w:p>
    <w:p>
      <w:pPr>
        <w:ind w:left="4" w:right="120" w:hanging="4"/>
        <w:spacing w:after="0" w:line="290" w:lineRule="auto"/>
        <w:tabs>
          <w:tab w:leader="none" w:pos="43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days of such escalation, [***] will have final decision-making authority with respect to [***]. For clarity, resolution of JRC matters pertaining or relating to Critical Matters shall require mutual agreement of the Executive Officers acting in compliance with applicable Law.</w:t>
      </w:r>
    </w:p>
    <w:p>
      <w:pPr>
        <w:spacing w:after="0" w:line="49" w:lineRule="exact"/>
        <w:rPr>
          <w:sz w:val="20"/>
          <w:szCs w:val="20"/>
          <w:color w:val="auto"/>
        </w:rPr>
      </w:pPr>
    </w:p>
    <w:p>
      <w:pPr>
        <w:ind w:left="4" w:firstLine="991"/>
        <w:spacing w:after="0" w:line="303" w:lineRule="auto"/>
        <w:rPr>
          <w:sz w:val="20"/>
          <w:szCs w:val="20"/>
          <w:color w:val="auto"/>
        </w:rPr>
      </w:pPr>
      <w:r>
        <w:rPr>
          <w:rFonts w:ascii="Arial" w:cs="Arial" w:eastAsia="Arial" w:hAnsi="Arial"/>
          <w:sz w:val="16"/>
          <w:szCs w:val="16"/>
          <w:b w:val="1"/>
          <w:bCs w:val="1"/>
          <w:color w:val="auto"/>
        </w:rPr>
        <w:t>2.6.5 Limited Authority</w:t>
      </w:r>
      <w:r>
        <w:rPr>
          <w:rFonts w:ascii="Arial" w:cs="Arial" w:eastAsia="Arial" w:hAnsi="Arial"/>
          <w:sz w:val="16"/>
          <w:szCs w:val="16"/>
          <w:color w:val="auto"/>
        </w:rPr>
        <w:t>. The JRC shall have only the powers assigned expressly to it in this Article 2 and as otherwise expressly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JRC unless such delegation or vesting of rights is expressly provided for in this Agreement or the Parties expressly so agree in writing.</w:t>
      </w:r>
    </w:p>
    <w:p>
      <w:pPr>
        <w:spacing w:after="0" w:line="151" w:lineRule="exact"/>
        <w:rPr>
          <w:sz w:val="20"/>
          <w:szCs w:val="20"/>
          <w:color w:val="auto"/>
        </w:rPr>
      </w:pPr>
    </w:p>
    <w:p>
      <w:pPr>
        <w:ind w:left="4" w:right="120" w:firstLine="440"/>
        <w:spacing w:after="0" w:line="258" w:lineRule="auto"/>
        <w:rPr>
          <w:sz w:val="20"/>
          <w:szCs w:val="20"/>
          <w:color w:val="auto"/>
        </w:rPr>
      </w:pPr>
      <w:r>
        <w:rPr>
          <w:rFonts w:ascii="Arial" w:cs="Arial" w:eastAsia="Arial" w:hAnsi="Arial"/>
          <w:sz w:val="18"/>
          <w:szCs w:val="18"/>
          <w:b w:val="1"/>
          <w:bCs w:val="1"/>
          <w:color w:val="auto"/>
        </w:rPr>
        <w:t>Section 2.7 Exclusivity</w:t>
      </w:r>
      <w:r>
        <w:rPr>
          <w:rFonts w:ascii="Arial" w:cs="Arial" w:eastAsia="Arial" w:hAnsi="Arial"/>
          <w:sz w:val="18"/>
          <w:szCs w:val="18"/>
          <w:color w:val="auto"/>
        </w:rPr>
        <w:t>. During the Term and for [***] years thereafter, Amgen will not, directly or indirectly through its Affiliates or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develop or commercialize any compound or product for the treatment of CNS Diseases that, [***] (a “</w:t>
      </w:r>
      <w:r>
        <w:rPr>
          <w:rFonts w:ascii="Arial" w:cs="Arial" w:eastAsia="Arial" w:hAnsi="Arial"/>
          <w:sz w:val="18"/>
          <w:szCs w:val="18"/>
          <w:b w:val="1"/>
          <w:bCs w:val="1"/>
          <w:color w:val="auto"/>
        </w:rPr>
        <w:t>Competing Program</w:t>
      </w:r>
      <w:r>
        <w:rPr>
          <w:rFonts w:ascii="Arial" w:cs="Arial" w:eastAsia="Arial" w:hAnsi="Arial"/>
          <w:sz w:val="18"/>
          <w:szCs w:val="18"/>
          <w:color w:val="auto"/>
        </w:rPr>
        <w:t>”); [***]. The JRC will develop a process pursuant to which (a) RBNC will provide periodic notice and updates to Amgen of [***] and (b) Amgen may seek confirmation of [***], and if RBNC confirms that [***]. Notwithstanding the foregoing, on an Active Target-by Active Target basis, [***] (1) any [***] or (2) any [***], provided that [***].</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04"/>
          </w:cols>
          <w:pgMar w:left="436" w:top="270" w:right="459" w:bottom="1440" w:gutter="0" w:footer="0" w:header="0"/>
        </w:sectPr>
      </w:pPr>
    </w:p>
    <w:bookmarkStart w:id="320" w:name="page321"/>
    <w:bookmarkEnd w:id="32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2.8 Filings, Consents and Approvals</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b w:val="1"/>
          <w:bCs w:val="1"/>
          <w:color w:val="auto"/>
        </w:rPr>
        <w:t xml:space="preserve">2.8.1 </w:t>
      </w:r>
      <w:r>
        <w:rPr>
          <w:rFonts w:ascii="Arial" w:cs="Arial" w:eastAsia="Arial" w:hAnsi="Arial"/>
          <w:sz w:val="18"/>
          <w:szCs w:val="18"/>
          <w:color w:val="auto"/>
        </w:rPr>
        <w:t>To the extent permitted by applicable Law, each of Amgen and RBNC shall consult and cooperate with one another, and consider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the views of one another, in connection with any analyses, appearances, presentations, memoranda, briefs, arguments, opinions and proposals made or submitted by or on behalf of any Party hereto in connection with proceedings under or relating to the HSR Act, and HSR Filing or any applicable foreign antitrust or competition-related legal requirement. Amgen and RBNC shall cooperate fully with each other in connection with the making of all such filings or responses.</w:t>
      </w:r>
    </w:p>
    <w:p>
      <w:pPr>
        <w:spacing w:after="0" w:line="75"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b w:val="1"/>
          <w:bCs w:val="1"/>
          <w:color w:val="auto"/>
        </w:rPr>
        <w:t xml:space="preserve">2.8.2 </w:t>
      </w:r>
      <w:r>
        <w:rPr>
          <w:rFonts w:ascii="Arial" w:cs="Arial" w:eastAsia="Arial" w:hAnsi="Arial"/>
          <w:sz w:val="16"/>
          <w:szCs w:val="16"/>
          <w:color w:val="auto"/>
        </w:rPr>
        <w:t>Each of Amgen and RBNC shall notify the other promptly upon the receipt of: (i) any communication from any official of any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Authority in connection with any HSR Filing; (ii) knowledge of the commencement or threat of commencement of any legal proceeding or before any Governmental Authority with respect to the transactions under this Agreement (and shall keep the other Party informed as to the status of any such legal proceeding or threat); and (iii) any request by any official of any Governmental Authority for any amendment or supplement to any HSR Filing or any information required to comply with any legal requirement applicable to the transactions under this Agreement. In addition, except as may be prohibited by any Governmental Authority or by any applicable Law each Party hereto will permit authorized representatives of the other Parties to be present at each meeting or telephone call and to have access to and be consulted in connection with any document, opinion or proposal made or submitted to any Governmental Authority in connection with such communication, request or proceeding.</w:t>
      </w:r>
    </w:p>
    <w:p>
      <w:pPr>
        <w:spacing w:after="0" w:line="51" w:lineRule="exact"/>
        <w:rPr>
          <w:sz w:val="20"/>
          <w:szCs w:val="20"/>
          <w:color w:val="auto"/>
        </w:rPr>
      </w:pPr>
    </w:p>
    <w:p>
      <w:pPr>
        <w:ind w:right="120" w:firstLine="991"/>
        <w:spacing w:after="0" w:line="258" w:lineRule="auto"/>
        <w:rPr>
          <w:sz w:val="20"/>
          <w:szCs w:val="20"/>
          <w:color w:val="auto"/>
        </w:rPr>
      </w:pPr>
      <w:r>
        <w:rPr>
          <w:rFonts w:ascii="Arial" w:cs="Arial" w:eastAsia="Arial" w:hAnsi="Arial"/>
          <w:sz w:val="18"/>
          <w:szCs w:val="18"/>
          <w:b w:val="1"/>
          <w:bCs w:val="1"/>
          <w:color w:val="auto"/>
        </w:rPr>
        <w:t xml:space="preserve">2.8.3 </w:t>
      </w:r>
      <w:r>
        <w:rPr>
          <w:rFonts w:ascii="Arial" w:cs="Arial" w:eastAsia="Arial" w:hAnsi="Arial"/>
          <w:sz w:val="18"/>
          <w:szCs w:val="18"/>
          <w:color w:val="auto"/>
        </w:rPr>
        <w:t>Subject to the terms and conditions of this Agreement, each of Amgen and RBNC shall use its Commercially Reasonable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take, or cause to be taken, all other actions and do, or cause to be done, all other things necessary, proper or advisable under applicable Law to consummate the transactions contemplated by this Agreement, including (i) making all filings and submissions under the HSR Act, to the extent required, as promptly as practicable after the date hereof and (ii) obtaining as promptly as practicable the expiration of any waiting period under the HSR Act, if applicable.</w:t>
      </w:r>
    </w:p>
    <w:p>
      <w:pPr>
        <w:spacing w:after="0" w:line="75"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b w:val="1"/>
          <w:bCs w:val="1"/>
          <w:color w:val="auto"/>
        </w:rPr>
        <w:t xml:space="preserve">2.8.4 </w:t>
      </w:r>
      <w:r>
        <w:rPr>
          <w:rFonts w:ascii="Arial" w:cs="Arial" w:eastAsia="Arial" w:hAnsi="Arial"/>
          <w:sz w:val="16"/>
          <w:szCs w:val="16"/>
          <w:color w:val="auto"/>
        </w:rPr>
        <w:t>Notwithstanding anything in this Agreement to the contrary, it is expressly understood and agreed that: (i) neither Amgen nor RBNC</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any obligation to litigate or contest any administrative or judicial action or proceeding or any decree, judgment, injunction or other order, whether temporary, preliminary or permanent; and (ii) neither Amgen nor RBNC shall be under any obligation to make proposals, execute or carry out agreements, enter into consent decrees or submit to orders providing for (a) the sale, divestiture, license or other disposition or holding separate (through the establishment of a trust or otherwise) of any assets or categories of assets of Amgen or RBNC or any of their subsidiaries, or (b) the imposition of any limitation or regulation on the ability of Amgen or RBNC to freely conduct their business or own such assets.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COLLABORATION ACTIVITIES</w:t>
      </w:r>
    </w:p>
    <w:p>
      <w:pPr>
        <w:spacing w:after="0" w:line="117" w:lineRule="exact"/>
        <w:rPr>
          <w:sz w:val="20"/>
          <w:szCs w:val="20"/>
          <w:color w:val="auto"/>
        </w:rPr>
      </w:pPr>
    </w:p>
    <w:p>
      <w:pPr>
        <w:ind w:right="240" w:firstLine="440"/>
        <w:spacing w:after="0" w:line="258" w:lineRule="auto"/>
        <w:rPr>
          <w:sz w:val="20"/>
          <w:szCs w:val="20"/>
          <w:color w:val="auto"/>
        </w:rPr>
      </w:pPr>
      <w:r>
        <w:rPr>
          <w:rFonts w:ascii="Arial" w:cs="Arial" w:eastAsia="Arial" w:hAnsi="Arial"/>
          <w:sz w:val="18"/>
          <w:szCs w:val="18"/>
          <w:b w:val="1"/>
          <w:bCs w:val="1"/>
          <w:color w:val="auto"/>
        </w:rPr>
        <w:t xml:space="preserve">Section 3.1 Collaboration Activities. </w:t>
      </w:r>
      <w:r>
        <w:rPr>
          <w:rFonts w:ascii="Arial" w:cs="Arial" w:eastAsia="Arial" w:hAnsi="Arial"/>
          <w:sz w:val="18"/>
          <w:szCs w:val="18"/>
          <w:color w:val="auto"/>
        </w:rPr>
        <w:t>During the Term, each Party shall use its Commercially Reasonable Efforts to conduct the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assigned to by the JRC with respect to each Project, including without limitation the timely completion of deliverables. In performing its assigned Collaboration Activities, each Party shall (and shall cause its Affiliates and Third Party subcontractors, as applicable, to) perform such activities in compliance with all applicable scientific standards, laboratory practices and all applicable Laws, and engage and appropriately control adequately qualified personnel.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980"/>
          </w:cols>
          <w:pgMar w:left="440" w:top="270" w:right="479" w:bottom="1440" w:gutter="0" w:footer="0" w:header="0"/>
        </w:sectPr>
      </w:pPr>
    </w:p>
    <w:bookmarkStart w:id="321" w:name="page322"/>
    <w:bookmarkEnd w:id="321"/>
    <w:p>
      <w:pPr>
        <w:ind w:right="16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3.2 Project Revisions</w:t>
      </w:r>
      <w:r>
        <w:rPr>
          <w:rFonts w:ascii="Arial" w:cs="Arial" w:eastAsia="Arial" w:hAnsi="Arial"/>
          <w:sz w:val="18"/>
          <w:szCs w:val="18"/>
          <w:color w:val="auto"/>
        </w:rPr>
        <w:t>. If either Party desires to propose changes or revisions to a Project, such Party shall notify the other Party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and the JRC shall discuss and consider such proposal in good faith at the subsequent JRC meeting (or earlier, if the Parties so agree). Any revisions to a Project shall be effective only with the unanimous consent of the JRC, subject to Section 2.6.4 and an amendment to the Project plan agreed to in writing by the JRC.</w:t>
      </w:r>
    </w:p>
    <w:p>
      <w:pPr>
        <w:spacing w:after="0" w:line="180"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b w:val="1"/>
          <w:bCs w:val="1"/>
          <w:color w:val="auto"/>
        </w:rPr>
        <w:t xml:space="preserve">Section 3.3 Reports. </w:t>
      </w:r>
      <w:r>
        <w:rPr>
          <w:rFonts w:ascii="Arial" w:cs="Arial" w:eastAsia="Arial" w:hAnsi="Arial"/>
          <w:sz w:val="16"/>
          <w:szCs w:val="16"/>
          <w:color w:val="auto"/>
        </w:rPr>
        <w:t>Each Party shall keep the other Party reasonably informed of the progress of the Collaboration Activities conducted by or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such Party. Amgen shall prepare and maintain reasonable records of its performance of the Collaboration Activities. Amgen will ensure that reports summarizing findings and Results (“</w:t>
      </w:r>
      <w:r>
        <w:rPr>
          <w:rFonts w:ascii="Arial" w:cs="Arial" w:eastAsia="Arial" w:hAnsi="Arial"/>
          <w:sz w:val="16"/>
          <w:szCs w:val="16"/>
          <w:b w:val="1"/>
          <w:bCs w:val="1"/>
          <w:color w:val="auto"/>
        </w:rPr>
        <w:t>Reports</w:t>
      </w:r>
      <w:r>
        <w:rPr>
          <w:rFonts w:ascii="Arial" w:cs="Arial" w:eastAsia="Arial" w:hAnsi="Arial"/>
          <w:sz w:val="16"/>
          <w:szCs w:val="16"/>
          <w:color w:val="auto"/>
        </w:rPr>
        <w:t>”) are prepared in accordance with each Project as agreed by the JRC. The Parties shall make appropriate personnel available for discussions concerning the Reports and to facilitate the transfer of Results between the Parties.</w:t>
      </w:r>
    </w:p>
    <w:p>
      <w:pPr>
        <w:spacing w:after="0" w:line="151"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b w:val="1"/>
          <w:bCs w:val="1"/>
          <w:color w:val="auto"/>
        </w:rPr>
        <w:t xml:space="preserve">Section 3.4 Databases. </w:t>
      </w:r>
      <w:r>
        <w:rPr>
          <w:rFonts w:ascii="Arial" w:cs="Arial" w:eastAsia="Arial" w:hAnsi="Arial"/>
          <w:sz w:val="17"/>
          <w:szCs w:val="17"/>
          <w:color w:val="auto"/>
        </w:rPr>
        <w:t>RBNC shall not have access to or use of the databases or any individual level data that Amgen and its Affiliates use in</w:t>
      </w:r>
      <w:r>
        <w:rPr>
          <w:rFonts w:ascii="Arial" w:cs="Arial" w:eastAsia="Arial" w:hAnsi="Arial"/>
          <w:sz w:val="17"/>
          <w:szCs w:val="17"/>
          <w:b w:val="1"/>
          <w:bCs w:val="1"/>
          <w:color w:val="auto"/>
        </w:rPr>
        <w:t xml:space="preserve"> </w:t>
      </w:r>
      <w:r>
        <w:rPr>
          <w:rFonts w:ascii="Arial" w:cs="Arial" w:eastAsia="Arial" w:hAnsi="Arial"/>
          <w:sz w:val="17"/>
          <w:szCs w:val="17"/>
          <w:color w:val="auto"/>
        </w:rPr>
        <w:t>performing its Collaboration Activities. Amgen’s Affiliate, deCODE genetics, ehf. (“deCODE”) shall retain control and custodianship over all such databases and no licenses or direct access thereto are granted under this Agreement and, for clarity, only deCODE and its scientists will have access to such databases in the performance of the Collaboration Activities. Amgen and its Affiliates may not have ownership rights but rather have rights to utilize or act as a custodian of certain databases used in the performance of the Collaboration Activities. The use and analysis of a database in a Project may be subject to the approval of outside ethics committees. The rights granted by Amgen to the Results of Amgen’s analyses of such databases (and, for clarity, related Collaboration IP) will be subject to the terms of access and use for any such database. Except as may be expressly agreed upon by the JRC, Amgen and its Affiliates have no obligation to obtain rights to additional databases or to modify its rights in databases in performance of the Collaboration Activities. Amgen and its Affiliates retain final decision rights as to which databases Amgen utilizes in the performance of the Collaboration Activities.</w:t>
      </w:r>
    </w:p>
    <w:p>
      <w:pPr>
        <w:spacing w:after="0" w:line="17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Section 3.5 Subcontracting. </w:t>
      </w:r>
      <w:r>
        <w:rPr>
          <w:rFonts w:ascii="Arial" w:cs="Arial" w:eastAsia="Arial" w:hAnsi="Arial"/>
          <w:sz w:val="17"/>
          <w:szCs w:val="17"/>
          <w:color w:val="auto"/>
        </w:rPr>
        <w:t>Each Party may engage its Affiliates, or, with the other Party’s prior written consent, not to be unreasonably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withheld, Third Party subcontractors (including contract research organizations), to perform certain of its obligations under this Agreement. Any Third Party subcontractor to be engaged by a Party to perform such Party’s obligations set forth in this Agreement will meet the qualifications typically required by such Party for the performance of work similar in scope and complexity to the subcontracted activity. The activities of any such Third Party subcontractors will be considered activities of such subcontracting Party under this Agreement. The subcontracting Party will be responsible for ensuring compliance by any such Third Party subcontractors with the terms of this Agreement, as if such Third Party(ies) are such Party hereunder. Each subcontracting Party will, and will contractually require that its Affiliates and Third Party subcontractors, if any, conduct the relevant activities in accordance with such subcontracting Party’s commitments under this Agreement with respect to the relevant Project.</w:t>
      </w:r>
    </w:p>
    <w:p>
      <w:pPr>
        <w:spacing w:after="0" w:line="172" w:lineRule="exact"/>
        <w:rPr>
          <w:sz w:val="20"/>
          <w:szCs w:val="20"/>
          <w:color w:val="auto"/>
        </w:rPr>
      </w:pPr>
    </w:p>
    <w:p>
      <w:pPr>
        <w:ind w:right="160" w:firstLine="440"/>
        <w:spacing w:after="0" w:line="347" w:lineRule="auto"/>
        <w:rPr>
          <w:sz w:val="20"/>
          <w:szCs w:val="20"/>
          <w:color w:val="auto"/>
        </w:rPr>
      </w:pPr>
      <w:r>
        <w:rPr>
          <w:rFonts w:ascii="Arial" w:cs="Arial" w:eastAsia="Arial" w:hAnsi="Arial"/>
          <w:sz w:val="16"/>
          <w:szCs w:val="16"/>
          <w:b w:val="1"/>
          <w:bCs w:val="1"/>
          <w:color w:val="auto"/>
        </w:rPr>
        <w:t xml:space="preserve">Section 3.6 Material and Human Samples Transfer. </w:t>
      </w:r>
      <w:r>
        <w:rPr>
          <w:rFonts w:ascii="Arial" w:cs="Arial" w:eastAsia="Arial" w:hAnsi="Arial"/>
          <w:sz w:val="16"/>
          <w:szCs w:val="16"/>
          <w:color w:val="auto"/>
        </w:rPr>
        <w:t>To the extent a project requires the exchange of certain biological materials, chemical</w:t>
      </w:r>
      <w:r>
        <w:rPr>
          <w:rFonts w:ascii="Arial" w:cs="Arial" w:eastAsia="Arial" w:hAnsi="Arial"/>
          <w:sz w:val="16"/>
          <w:szCs w:val="16"/>
          <w:b w:val="1"/>
          <w:bCs w:val="1"/>
          <w:color w:val="auto"/>
        </w:rPr>
        <w:t xml:space="preserve"> </w:t>
      </w:r>
      <w:r>
        <w:rPr>
          <w:rFonts w:ascii="Arial" w:cs="Arial" w:eastAsia="Arial" w:hAnsi="Arial"/>
          <w:sz w:val="16"/>
          <w:szCs w:val="16"/>
          <w:color w:val="auto"/>
        </w:rPr>
        <w:t>compounds or Human Samples, the Parties will enter into a material transfer agreement on commercially reasonable terms prior to any such exchange.</w:t>
      </w:r>
    </w:p>
    <w:p>
      <w:pPr>
        <w:spacing w:after="0" w:line="116"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Section 3.7 Limitations on Amgen’s Collaboration Activities. </w:t>
      </w:r>
      <w:r>
        <w:rPr>
          <w:rFonts w:ascii="Arial" w:cs="Arial" w:eastAsia="Arial" w:hAnsi="Arial"/>
          <w:sz w:val="18"/>
          <w:szCs w:val="18"/>
          <w:color w:val="auto"/>
        </w:rPr>
        <w:t>Notwithstanding anything to the contrary under this Agreement, Amgen has no</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disclose Ideas or engage in any Collaboration Activities that [***].</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000"/>
          </w:cols>
          <w:pgMar w:left="440" w:top="270" w:right="45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 LICENSE GRANTS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4.1 Collaboration IP and Incorporated Ideas.</w:t>
      </w:r>
    </w:p>
    <w:p>
      <w:pPr>
        <w:spacing w:after="0" w:line="117" w:lineRule="exact"/>
        <w:rPr>
          <w:sz w:val="20"/>
          <w:szCs w:val="20"/>
          <w:color w:val="auto"/>
        </w:rPr>
      </w:pPr>
    </w:p>
    <w:p>
      <w:pPr>
        <w:ind w:right="40" w:firstLine="991"/>
        <w:spacing w:after="0" w:line="261" w:lineRule="auto"/>
        <w:rPr>
          <w:sz w:val="20"/>
          <w:szCs w:val="20"/>
          <w:color w:val="auto"/>
        </w:rPr>
      </w:pPr>
      <w:r>
        <w:rPr>
          <w:rFonts w:ascii="Arial" w:cs="Arial" w:eastAsia="Arial" w:hAnsi="Arial"/>
          <w:sz w:val="18"/>
          <w:szCs w:val="18"/>
          <w:b w:val="1"/>
          <w:bCs w:val="1"/>
          <w:color w:val="auto"/>
        </w:rPr>
        <w:t>4.1.1 Amgen Grant to RBNC</w:t>
      </w:r>
      <w:r>
        <w:rPr>
          <w:rFonts w:ascii="Arial" w:cs="Arial" w:eastAsia="Arial" w:hAnsi="Arial"/>
          <w:sz w:val="18"/>
          <w:szCs w:val="18"/>
          <w:color w:val="auto"/>
        </w:rPr>
        <w:t>. Subject to the terms of this Agreement, Amgen hereby grants to RBNC and its Affiliates an irrevocable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pursuant to Section 12.6.1(a)), worldwide, sublicensable (in accordance with Section 4.2), fully paid-up, royalty-free license under Amgen’s rights in and to the Amgen Collaboration IP to Exploit Therapeutic Compounds and Diagnostics in the CNS Field. Such license shall be exclusive (even as to Amgen) until:</w:t>
      </w:r>
    </w:p>
    <w:p>
      <w:pPr>
        <w:spacing w:after="0" w:line="76" w:lineRule="exact"/>
        <w:rPr>
          <w:sz w:val="20"/>
          <w:szCs w:val="20"/>
          <w:color w:val="auto"/>
        </w:rPr>
      </w:pPr>
    </w:p>
    <w:p>
      <w:pPr>
        <w:ind w:right="220" w:firstLine="1428"/>
        <w:spacing w:after="0" w:line="277" w:lineRule="auto"/>
        <w:tabs>
          <w:tab w:leader="none" w:pos="1687"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With respect to each Amgen Collaboration Patent and Amgen’s interests in each Joint Collaboration Patent licensed under this Section 4.1.1, the expiration of the last Valid Claim for each such Patent Right; and</w:t>
      </w:r>
    </w:p>
    <w:p>
      <w:pPr>
        <w:spacing w:after="0" w:line="62" w:lineRule="exact"/>
        <w:rPr>
          <w:rFonts w:ascii="Arial" w:cs="Arial" w:eastAsia="Arial" w:hAnsi="Arial"/>
          <w:sz w:val="18"/>
          <w:szCs w:val="18"/>
          <w:b w:val="1"/>
          <w:bCs w:val="1"/>
          <w:color w:val="auto"/>
        </w:rPr>
      </w:pPr>
    </w:p>
    <w:p>
      <w:pPr>
        <w:ind w:right="20" w:firstLine="1428"/>
        <w:spacing w:after="0" w:line="277" w:lineRule="auto"/>
        <w:tabs>
          <w:tab w:leader="none" w:pos="1697"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With respect to Amgen Collaboration Know-How and Amgen’s interests in any Joint Invention licensed under this Section 4.1.1, the time of public disclosure of such Know-How</w:t>
      </w:r>
    </w:p>
    <w:p>
      <w:pPr>
        <w:spacing w:after="0" w:line="5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RBNC Exclusivity Period</w:t>
      </w:r>
      <w:r>
        <w:rPr>
          <w:rFonts w:ascii="Arial" w:cs="Arial" w:eastAsia="Arial" w:hAnsi="Arial"/>
          <w:sz w:val="18"/>
          <w:szCs w:val="18"/>
          <w:color w:val="auto"/>
        </w:rPr>
        <w:t>”). Upon the expiration of the RBNC Exclusivity Period pursuant to Section 4.1.1(b), the license granted under Amgen Collaboration Know-How and Joint Inventions in this Section 4.1.1 shall be non-exclusive in all uses.</w:t>
      </w:r>
    </w:p>
    <w:p>
      <w:pPr>
        <w:spacing w:after="0" w:line="54" w:lineRule="exact"/>
        <w:rPr>
          <w:sz w:val="20"/>
          <w:szCs w:val="20"/>
          <w:color w:val="auto"/>
        </w:rPr>
      </w:pPr>
    </w:p>
    <w:p>
      <w:pPr>
        <w:ind w:right="120" w:firstLine="991"/>
        <w:spacing w:after="0" w:line="261" w:lineRule="auto"/>
        <w:rPr>
          <w:sz w:val="20"/>
          <w:szCs w:val="20"/>
          <w:color w:val="auto"/>
        </w:rPr>
      </w:pPr>
      <w:r>
        <w:rPr>
          <w:rFonts w:ascii="Arial" w:cs="Arial" w:eastAsia="Arial" w:hAnsi="Arial"/>
          <w:sz w:val="18"/>
          <w:szCs w:val="18"/>
          <w:b w:val="1"/>
          <w:bCs w:val="1"/>
          <w:color w:val="auto"/>
        </w:rPr>
        <w:t xml:space="preserve">4.1.2 RBNC Grant to Amgen. </w:t>
      </w:r>
      <w:r>
        <w:rPr>
          <w:rFonts w:ascii="Arial" w:cs="Arial" w:eastAsia="Arial" w:hAnsi="Arial"/>
          <w:sz w:val="18"/>
          <w:szCs w:val="18"/>
          <w:color w:val="auto"/>
        </w:rPr>
        <w:t>Subject to the terms of this Agreement, RBNC hereby grants to Amgen and its Affiliates an irrevocable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pursuant to Section 12.6.1(c)), worldwide, sublicensable (in accordance with Section 4.2), fully paid-up, royalty-free license under RBNC’s rights in and to the RBNC Collaboration IP to Exploit therapeutic compounds or biologics and diagnostics outside of the CNS Field. Such license shall be exclusive (even as to RBNC) until:</w:t>
      </w:r>
    </w:p>
    <w:p>
      <w:pPr>
        <w:spacing w:after="0" w:line="76" w:lineRule="exact"/>
        <w:rPr>
          <w:sz w:val="20"/>
          <w:szCs w:val="20"/>
          <w:color w:val="auto"/>
        </w:rPr>
      </w:pPr>
    </w:p>
    <w:p>
      <w:pPr>
        <w:ind w:right="300" w:firstLine="1428"/>
        <w:spacing w:after="0" w:line="277" w:lineRule="auto"/>
        <w:tabs>
          <w:tab w:leader="none" w:pos="1687"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With respect to each RBNC Collaboration Patent and RBNC’s interests in each Joint Collaboration Patent licensed under this Section 4.1.2, the expiration of the last Valid Claim for each such Patent Right; and</w:t>
      </w:r>
    </w:p>
    <w:p>
      <w:pPr>
        <w:spacing w:after="0" w:line="62" w:lineRule="exact"/>
        <w:rPr>
          <w:rFonts w:ascii="Arial" w:cs="Arial" w:eastAsia="Arial" w:hAnsi="Arial"/>
          <w:sz w:val="18"/>
          <w:szCs w:val="18"/>
          <w:b w:val="1"/>
          <w:bCs w:val="1"/>
          <w:color w:val="auto"/>
        </w:rPr>
      </w:pPr>
    </w:p>
    <w:p>
      <w:pPr>
        <w:ind w:right="100" w:firstLine="1428"/>
        <w:spacing w:after="0" w:line="277" w:lineRule="auto"/>
        <w:tabs>
          <w:tab w:leader="none" w:pos="1697"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With respect to RBNC Collaboration Know-How and RBNC’s interests in any Joint Invention licensed under this Section 4.1.2, the time of public disclosure of such Know-How</w:t>
      </w:r>
    </w:p>
    <w:p>
      <w:pPr>
        <w:spacing w:after="0" w:line="5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Amgen Exclusivity Period</w:t>
      </w:r>
      <w:r>
        <w:rPr>
          <w:rFonts w:ascii="Arial" w:cs="Arial" w:eastAsia="Arial" w:hAnsi="Arial"/>
          <w:sz w:val="18"/>
          <w:szCs w:val="18"/>
          <w:color w:val="auto"/>
        </w:rPr>
        <w:t>”). Upon the expiration of the Amgen Exclusivity Period pursuant to Section 4.1.2(b), the license granted under RBNC Collaboration Know-How and Joint Inventions in this Section 4.1.2 shall be non-exclusive in all uses.</w:t>
      </w:r>
    </w:p>
    <w:p>
      <w:pPr>
        <w:spacing w:after="0" w:line="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4.1.3 Incorporated Ideas.</w:t>
      </w:r>
    </w:p>
    <w:p>
      <w:pPr>
        <w:spacing w:after="0" w:line="117" w:lineRule="exact"/>
        <w:rPr>
          <w:sz w:val="20"/>
          <w:szCs w:val="20"/>
          <w:color w:val="auto"/>
        </w:rPr>
      </w:pPr>
    </w:p>
    <w:p>
      <w:pPr>
        <w:jc w:val="both"/>
        <w:ind w:right="260" w:firstLine="1428"/>
        <w:spacing w:after="0" w:line="263" w:lineRule="auto"/>
        <w:tabs>
          <w:tab w:leader="none" w:pos="1687"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Subject to the terms of this Agreement, Amgen hereby grants to RBNC and its Affiliates a non-exclusive, irrevocable (except pursuant to Section 12.6.1(a)), worldwide, sublicensable (in accordance with Section 4.2), fully paid-up, royalty-free license under Amgen’s rights in and to the Amgen Incorporated Ideas [***] as permitted under this Agreement.</w:t>
      </w:r>
    </w:p>
    <w:p>
      <w:pPr>
        <w:spacing w:after="0" w:line="75" w:lineRule="exact"/>
        <w:rPr>
          <w:rFonts w:ascii="Arial" w:cs="Arial" w:eastAsia="Arial" w:hAnsi="Arial"/>
          <w:sz w:val="18"/>
          <w:szCs w:val="18"/>
          <w:b w:val="1"/>
          <w:bCs w:val="1"/>
          <w:color w:val="auto"/>
        </w:rPr>
      </w:pPr>
    </w:p>
    <w:p>
      <w:pPr>
        <w:ind w:firstLine="1428"/>
        <w:spacing w:after="0" w:line="263" w:lineRule="auto"/>
        <w:tabs>
          <w:tab w:leader="none" w:pos="1697"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Subject to the terms of this Agreement, RBNC hereby grants to Amgen and its Affiliates a non-exclusive, irrevocable (except pursuant to Section 12.6.1(c)), worldwide, sublicensable (in accordance with Section 4.2), fully paid-up, royalty-free license under RBNC’s rights in and to the RBNC Incorporated Ideas [***] as permitted under this Agreement.</w:t>
      </w:r>
    </w:p>
    <w:p>
      <w:pPr>
        <w:spacing w:after="0" w:line="116" w:lineRule="exact"/>
        <w:rPr>
          <w:rFonts w:ascii="Arial" w:cs="Arial" w:eastAsia="Arial" w:hAnsi="Arial"/>
          <w:sz w:val="18"/>
          <w:szCs w:val="18"/>
          <w:b w:val="1"/>
          <w:bCs w:val="1"/>
          <w:color w:val="auto"/>
        </w:rPr>
      </w:pPr>
    </w:p>
    <w:p>
      <w:pPr>
        <w:ind w:left="5420" w:hanging="111"/>
        <w:spacing w:after="0"/>
        <w:tabs>
          <w:tab w:leader="none" w:pos="54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00"/>
          </w:cols>
          <w:pgMar w:left="440" w:top="270" w:right="459" w:bottom="1440" w:gutter="0" w:footer="0" w:header="0"/>
        </w:sectPr>
      </w:pPr>
    </w:p>
    <w:bookmarkStart w:id="323" w:name="page324"/>
    <w:bookmarkEnd w:id="323"/>
    <w:p>
      <w:pPr>
        <w:ind w:right="20"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4.2 Sublicenses</w:t>
      </w:r>
      <w:r>
        <w:rPr>
          <w:rFonts w:ascii="Arial" w:cs="Arial" w:eastAsia="Arial" w:hAnsi="Arial"/>
          <w:sz w:val="16"/>
          <w:szCs w:val="16"/>
          <w:color w:val="auto"/>
        </w:rPr>
        <w:t>. Each Party shall be entitled, without the prior consent of the other Party, to grant sublicenses under the license granted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 under Section 4.1, in full or in part, by means of a written agreement, to any Affiliates or Third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any such sublicense shall be consistent with the terms and conditions of this Agreement, and (b) such Party will be responsible for all actions of such Sublicensee as if such Sublicensee were a Party hereunder. To the extent either Party allows, authorizes or licenses its Affiliate or any Third Party to practice, use or otherwise exploit any of the Collaboration IP, such Party shall ensure such Third Party adheres to the restrictions applicable to such Party under Section 4.3.</w:t>
      </w:r>
    </w:p>
    <w:p>
      <w:pPr>
        <w:spacing w:after="0" w:line="15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b w:val="1"/>
          <w:bCs w:val="1"/>
          <w:color w:val="auto"/>
        </w:rPr>
        <w:t>Section 4.3 Retained Rights, Limitations and Restrictions</w:t>
      </w:r>
      <w:r>
        <w:rPr>
          <w:rFonts w:ascii="Arial" w:cs="Arial" w:eastAsia="Arial" w:hAnsi="Arial"/>
          <w:sz w:val="18"/>
          <w:szCs w:val="18"/>
          <w:color w:val="auto"/>
        </w:rPr>
        <w:t>. Notwithstanding the exclusive license granted to each Party under Section 4.1</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IP and Incorporated Ideas), (a) Amgen retains rights in and to the Amgen Collaboration IP for [***], subject to Section 2.7; (b) the rights granted by Amgen are subject to any limitations, restrictions or obligations imposed on Amgen or its Affiliates [***]); and (c) RBNC retains rights in and to the RBNC Collaboration IP for [***]. Subject to RBNC’s retained rights described in clause (c), RBNC will not practice, use or otherwise exploit the Collaboration IP for applications outside of the CNS Field until the expiration of the Amgen Exclusivity Period (as applicable to the RBNC Collaboration Patents, Joint Collaboration Patents, Joint Inventions, and RBNC Collaboration Know-How). Subject to Amgen’s retained rights described in clause (a), Amgen will not practice, use or otherwise exploit the Collaboration IP for applications within the CNS Field until the expiration of the RBNC Exclusivity Period (as applicable to the Amgen Collaboration Patents, Joint Collaboration Patents, Joint Inventions, and Amgen Collaboration Know-How).</w:t>
      </w:r>
    </w:p>
    <w:p>
      <w:pPr>
        <w:spacing w:after="0" w:line="188"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b w:val="1"/>
          <w:bCs w:val="1"/>
          <w:color w:val="auto"/>
        </w:rPr>
        <w:t xml:space="preserve">Section 4.4 No Other Rights. </w:t>
      </w:r>
      <w:r>
        <w:rPr>
          <w:rFonts w:ascii="Arial" w:cs="Arial" w:eastAsia="Arial" w:hAnsi="Arial"/>
          <w:sz w:val="17"/>
          <w:szCs w:val="17"/>
          <w:color w:val="auto"/>
        </w:rPr>
        <w:t>Except for the specific rights and licenses expressly granted under this Agreement, each Party reserves all rights to</w:t>
      </w:r>
      <w:r>
        <w:rPr>
          <w:rFonts w:ascii="Arial" w:cs="Arial" w:eastAsia="Arial" w:hAnsi="Arial"/>
          <w:sz w:val="17"/>
          <w:szCs w:val="17"/>
          <w:b w:val="1"/>
          <w:bCs w:val="1"/>
          <w:color w:val="auto"/>
        </w:rPr>
        <w:t xml:space="preserve"> </w:t>
      </w:r>
      <w:r>
        <w:rPr>
          <w:rFonts w:ascii="Arial" w:cs="Arial" w:eastAsia="Arial" w:hAnsi="Arial"/>
          <w:sz w:val="17"/>
          <w:szCs w:val="17"/>
          <w:color w:val="auto"/>
        </w:rPr>
        <w:t>its other intellectual property and property, and nothing contained in this Agreement grants to a Party, by implication, by estoppel, or otherwise, any property rights, by license or otherwise, to any of the other Party’s other intellectual property or Confidential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COLLABORATION DERIVED COMPOUNDS.</w:t>
      </w:r>
    </w:p>
    <w:p>
      <w:pPr>
        <w:spacing w:after="0" w:line="117" w:lineRule="exact"/>
        <w:rPr>
          <w:sz w:val="20"/>
          <w:szCs w:val="20"/>
          <w:color w:val="auto"/>
        </w:rPr>
      </w:pPr>
    </w:p>
    <w:p>
      <w:pPr>
        <w:ind w:right="180" w:firstLine="440"/>
        <w:spacing w:after="0" w:line="281" w:lineRule="auto"/>
        <w:rPr>
          <w:sz w:val="20"/>
          <w:szCs w:val="20"/>
          <w:color w:val="auto"/>
        </w:rPr>
      </w:pPr>
      <w:r>
        <w:rPr>
          <w:rFonts w:ascii="Arial" w:cs="Arial" w:eastAsia="Arial" w:hAnsi="Arial"/>
          <w:sz w:val="17"/>
          <w:szCs w:val="17"/>
          <w:b w:val="1"/>
          <w:bCs w:val="1"/>
          <w:color w:val="auto"/>
        </w:rPr>
        <w:t xml:space="preserve">Section 5.1 Efforts and Responsibilities. </w:t>
      </w:r>
      <w:r>
        <w:rPr>
          <w:rFonts w:ascii="Arial" w:cs="Arial" w:eastAsia="Arial" w:hAnsi="Arial"/>
          <w:sz w:val="17"/>
          <w:szCs w:val="17"/>
          <w:color w:val="auto"/>
        </w:rPr>
        <w:t>RBNC will use Commercially Reasonable Efforts to manufacture, develop, gain Marketing Approval</w:t>
      </w:r>
      <w:r>
        <w:rPr>
          <w:rFonts w:ascii="Arial" w:cs="Arial" w:eastAsia="Arial" w:hAnsi="Arial"/>
          <w:sz w:val="17"/>
          <w:szCs w:val="17"/>
          <w:b w:val="1"/>
          <w:bCs w:val="1"/>
          <w:color w:val="auto"/>
        </w:rPr>
        <w:t xml:space="preserve"> </w:t>
      </w:r>
      <w:r>
        <w:rPr>
          <w:rFonts w:ascii="Arial" w:cs="Arial" w:eastAsia="Arial" w:hAnsi="Arial"/>
          <w:sz w:val="17"/>
          <w:szCs w:val="17"/>
          <w:color w:val="auto"/>
        </w:rPr>
        <w:t>of, and commercialize [***]. Subject to the Parties negotiating and executing a further agreement with respect to Amgen in-licensing intellectual property rights to Exploit one or more Collaboration Derived Products, RBNC would be solely responsible (at its sole cost and expense) for research, development, manufacture and commercialization of all Collaboration Derived Products in the CNS Field.</w:t>
      </w:r>
    </w:p>
    <w:p>
      <w:pPr>
        <w:spacing w:after="0" w:line="16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Section 5.2 Annual Progress Reports</w:t>
      </w:r>
      <w:r>
        <w:rPr>
          <w:rFonts w:ascii="Arial" w:cs="Arial" w:eastAsia="Arial" w:hAnsi="Arial"/>
          <w:sz w:val="18"/>
          <w:szCs w:val="18"/>
          <w:color w:val="auto"/>
        </w:rPr>
        <w:t>. In accordance with timing to be established by the Parties, RBNC will provide Amgen with annual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reasonable detail on the progress of RBNC’s efforts in the research, development, manufacturing and commercialization of all ROFN Products. RBNC’s reporting obligations for each ROFN Product set forth in the immediately preceding sentence shall expire upon [***]. RBNC will also deliver to Amgen within [***] days after completion of the final study report for each [***] for such ROFN Product. The obligations set forth in this Section 5.2 shall expire [***], or [***]</w:t>
      </w:r>
      <w:r>
        <w:rPr>
          <w:rFonts w:ascii="Arial" w:cs="Arial" w:eastAsia="Arial" w:hAnsi="Arial"/>
          <w:sz w:val="18"/>
          <w:szCs w:val="18"/>
          <w:i w:val="1"/>
          <w:iCs w:val="1"/>
          <w:color w:val="auto"/>
        </w:rPr>
        <w: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5.3 Option.</w:t>
      </w:r>
    </w:p>
    <w:p>
      <w:pPr>
        <w:spacing w:after="0" w:line="117" w:lineRule="exact"/>
        <w:rPr>
          <w:sz w:val="20"/>
          <w:szCs w:val="20"/>
          <w:color w:val="auto"/>
        </w:rPr>
      </w:pPr>
    </w:p>
    <w:p>
      <w:pPr>
        <w:ind w:right="80" w:firstLine="991"/>
        <w:spacing w:after="0" w:line="292" w:lineRule="auto"/>
        <w:rPr>
          <w:sz w:val="20"/>
          <w:szCs w:val="20"/>
          <w:color w:val="auto"/>
        </w:rPr>
      </w:pPr>
      <w:r>
        <w:rPr>
          <w:rFonts w:ascii="Arial" w:cs="Arial" w:eastAsia="Arial" w:hAnsi="Arial"/>
          <w:sz w:val="16"/>
          <w:szCs w:val="16"/>
          <w:b w:val="1"/>
          <w:bCs w:val="1"/>
          <w:color w:val="auto"/>
        </w:rPr>
        <w:t xml:space="preserve">5.3.1 </w:t>
      </w:r>
      <w:r>
        <w:rPr>
          <w:rFonts w:ascii="Arial" w:cs="Arial" w:eastAsia="Arial" w:hAnsi="Arial"/>
          <w:sz w:val="16"/>
          <w:szCs w:val="16"/>
          <w:color w:val="auto"/>
        </w:rPr>
        <w:t>Subject to Section 5.5, RBNC hereby grants to Amgen an exclusive (subject to Section 5.4) option to negotiate to obtain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worldwide licenses to research, develop, commercialize and otherwise Exploit up to two (2) ROFN Products under RBNC’s intellectual property rights in and to the applicable ROFN Product as set forth in this Section 5.3 (the “</w:t>
      </w:r>
      <w:r>
        <w:rPr>
          <w:rFonts w:ascii="Arial" w:cs="Arial" w:eastAsia="Arial" w:hAnsi="Arial"/>
          <w:sz w:val="16"/>
          <w:szCs w:val="16"/>
          <w:b w:val="1"/>
          <w:bCs w:val="1"/>
          <w:color w:val="auto"/>
        </w:rPr>
        <w:t>Option</w:t>
      </w:r>
      <w:r>
        <w:rPr>
          <w:rFonts w:ascii="Arial" w:cs="Arial" w:eastAsia="Arial" w:hAnsi="Arial"/>
          <w:sz w:val="16"/>
          <w:szCs w:val="16"/>
          <w:color w:val="auto"/>
        </w:rPr>
        <w:t>”). Amgen may exercise the Option, on a ROFN Product-by-ROFN Product basis, by written notice to RBNC at any time during the Option Period (defined below) with respect to each such ROFN Product, in accordance with this Section 5.3; provided that Amgen may not exercise its Option with respect to a ROFN Product during any Third Party ROFN Negotiation Period for such ROFN Product. The period in which the Option may be exercised shall commence for each ROFN Product on the Effective Date and expire [***] following the delivery to Amgen of the first Successful Phase II Study Results with respect to such ROFN Product (the “</w:t>
      </w:r>
      <w:r>
        <w:rPr>
          <w:rFonts w:ascii="Arial" w:cs="Arial" w:eastAsia="Arial" w:hAnsi="Arial"/>
          <w:sz w:val="16"/>
          <w:szCs w:val="16"/>
          <w:b w:val="1"/>
          <w:bCs w:val="1"/>
          <w:color w:val="auto"/>
        </w:rPr>
        <w:t>Option Period</w:t>
      </w:r>
      <w:r>
        <w:rPr>
          <w:rFonts w:ascii="Arial" w:cs="Arial" w:eastAsia="Arial" w:hAnsi="Arial"/>
          <w:sz w:val="16"/>
          <w:szCs w:val="16"/>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000"/>
          </w:cols>
          <w:pgMar w:left="440" w:top="270" w:right="459" w:bottom="1440" w:gutter="0" w:footer="0" w:header="0"/>
        </w:sectPr>
      </w:pPr>
    </w:p>
    <w:bookmarkStart w:id="324" w:name="page325"/>
    <w:bookmarkEnd w:id="324"/>
    <w:p>
      <w:pPr>
        <w:ind w:right="20" w:firstLine="991"/>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5.3.2 </w:t>
      </w:r>
      <w:r>
        <w:rPr>
          <w:rFonts w:ascii="Arial" w:cs="Arial" w:eastAsia="Arial" w:hAnsi="Arial"/>
          <w:sz w:val="18"/>
          <w:szCs w:val="18"/>
          <w:color w:val="auto"/>
        </w:rPr>
        <w:t>If Amgen desires to exercise its Option for a ROFN Product, Amgen must notify RBNC in writing thereof (the “</w:t>
      </w:r>
      <w:r>
        <w:rPr>
          <w:rFonts w:ascii="Arial" w:cs="Arial" w:eastAsia="Arial" w:hAnsi="Arial"/>
          <w:sz w:val="18"/>
          <w:szCs w:val="18"/>
          <w:b w:val="1"/>
          <w:bCs w:val="1"/>
          <w:color w:val="auto"/>
        </w:rPr>
        <w:t>Amgen Option Exercise Notice</w:t>
      </w:r>
      <w:r>
        <w:rPr>
          <w:rFonts w:ascii="Arial" w:cs="Arial" w:eastAsia="Arial" w:hAnsi="Arial"/>
          <w:sz w:val="18"/>
          <w:szCs w:val="18"/>
          <w:color w:val="auto"/>
        </w:rPr>
        <w:t>”) during the Option Period for such ROFN Product; provided that Amgen may not provide an Amgen Option Exercise Notice for a</w:t>
      </w:r>
      <w:r>
        <w:rPr>
          <w:rFonts w:ascii="Arial" w:cs="Arial" w:eastAsia="Arial" w:hAnsi="Arial"/>
          <w:sz w:val="18"/>
          <w:szCs w:val="18"/>
          <w:b w:val="1"/>
          <w:bCs w:val="1"/>
          <w:color w:val="auto"/>
        </w:rPr>
        <w:t xml:space="preserve"> </w:t>
      </w:r>
      <w:r>
        <w:rPr>
          <w:rFonts w:ascii="Arial" w:cs="Arial" w:eastAsia="Arial" w:hAnsi="Arial"/>
          <w:sz w:val="18"/>
          <w:szCs w:val="18"/>
          <w:color w:val="auto"/>
        </w:rPr>
        <w:t>ROFN Product during any Third Party ROFN Negotiation Period for such ROFN Product. For [***] days following Amgen’s timely delivery of the Amgen Option Exercise Notice or such longer time as the Parties may mutually agree in writing (the “</w:t>
      </w:r>
      <w:r>
        <w:rPr>
          <w:rFonts w:ascii="Arial" w:cs="Arial" w:eastAsia="Arial" w:hAnsi="Arial"/>
          <w:sz w:val="18"/>
          <w:szCs w:val="18"/>
          <w:b w:val="1"/>
          <w:bCs w:val="1"/>
          <w:color w:val="auto"/>
        </w:rPr>
        <w:t>Option Negotiation Exclusivity Period</w:t>
      </w:r>
      <w:r>
        <w:rPr>
          <w:rFonts w:ascii="Arial" w:cs="Arial" w:eastAsia="Arial" w:hAnsi="Arial"/>
          <w:sz w:val="18"/>
          <w:szCs w:val="18"/>
          <w:color w:val="auto"/>
        </w:rPr>
        <w:t>”), Amgen will have an exclusive right to negotiate an exclusive, worldwide license to research, develop, commercialize and otherwise Exploit such ROFN Product. During the Option Negotiation Exclusivity Period, RBNC shall negotiate exclusively with Amgen in good faith to reach agreement for such transaction between the Parties.</w:t>
      </w:r>
    </w:p>
    <w:p>
      <w:pPr>
        <w:spacing w:after="0" w:line="81" w:lineRule="exact"/>
        <w:rPr>
          <w:sz w:val="20"/>
          <w:szCs w:val="20"/>
          <w:color w:val="auto"/>
        </w:rPr>
      </w:pPr>
    </w:p>
    <w:p>
      <w:pPr>
        <w:ind w:right="120" w:firstLine="991"/>
        <w:spacing w:after="0" w:line="273" w:lineRule="auto"/>
        <w:rPr>
          <w:sz w:val="20"/>
          <w:szCs w:val="20"/>
          <w:color w:val="auto"/>
        </w:rPr>
      </w:pPr>
      <w:r>
        <w:rPr>
          <w:rFonts w:ascii="Arial" w:cs="Arial" w:eastAsia="Arial" w:hAnsi="Arial"/>
          <w:sz w:val="17"/>
          <w:szCs w:val="17"/>
          <w:b w:val="1"/>
          <w:bCs w:val="1"/>
          <w:color w:val="auto"/>
        </w:rPr>
        <w:t xml:space="preserve">5.3.3 </w:t>
      </w:r>
      <w:r>
        <w:rPr>
          <w:rFonts w:ascii="Arial" w:cs="Arial" w:eastAsia="Arial" w:hAnsi="Arial"/>
          <w:sz w:val="17"/>
          <w:szCs w:val="17"/>
          <w:color w:val="auto"/>
        </w:rPr>
        <w:t>On a ROFN Product-by-ROFN Product basis, Amgen’s rights under Sections 5.3.1-5.3.2 will terminate (and RBNC will have no</w:t>
      </w:r>
      <w:r>
        <w:rPr>
          <w:rFonts w:ascii="Arial" w:cs="Arial" w:eastAsia="Arial" w:hAnsi="Arial"/>
          <w:sz w:val="17"/>
          <w:szCs w:val="17"/>
          <w:b w:val="1"/>
          <w:bCs w:val="1"/>
          <w:color w:val="auto"/>
        </w:rPr>
        <w:t xml:space="preserve"> </w:t>
      </w:r>
      <w:r>
        <w:rPr>
          <w:rFonts w:ascii="Arial" w:cs="Arial" w:eastAsia="Arial" w:hAnsi="Arial"/>
          <w:sz w:val="17"/>
          <w:szCs w:val="17"/>
          <w:color w:val="auto"/>
        </w:rPr>
        <w:t>further obligations to Amgen under Sections 5.3.1-5.3.2, and for clarity, RBNC will be free to offer, negotiate and execute agreements governing any transaction for such ROFN Product with any Third Party (“</w:t>
      </w:r>
      <w:r>
        <w:rPr>
          <w:rFonts w:ascii="Arial" w:cs="Arial" w:eastAsia="Arial" w:hAnsi="Arial"/>
          <w:sz w:val="17"/>
          <w:szCs w:val="17"/>
          <w:b w:val="1"/>
          <w:bCs w:val="1"/>
          <w:color w:val="auto"/>
        </w:rPr>
        <w:t>Third Party Transaction</w:t>
      </w:r>
      <w:r>
        <w:rPr>
          <w:rFonts w:ascii="Arial" w:cs="Arial" w:eastAsia="Arial" w:hAnsi="Arial"/>
          <w:sz w:val="17"/>
          <w:szCs w:val="17"/>
          <w:color w:val="auto"/>
        </w:rPr>
        <w:t>”), or develop or commercialize such ROFN Product itself), upon the earlier of: (a) Amgen failing to provide an Amgen Option Exercise Notice to RBNC during the Option Period for such ROFN Product, or (b) if Amgen provides a timely Amgen Option Exercise Notice, the expiration of the Option Negotiation Exclusivity Period for such ROFN Product without the Parties consummating such transaction, [***]. If [***]. Amgen’s rights and RBNC’s obligations under Sections 5.3.1-5.3.2 will expire in their entirety with respect to any ROFN Product upon the expiration of the Option Period for such ROFN Product, [***].</w:t>
      </w:r>
    </w:p>
    <w:p>
      <w:pPr>
        <w:spacing w:after="0" w:line="64" w:lineRule="exact"/>
        <w:rPr>
          <w:sz w:val="20"/>
          <w:szCs w:val="20"/>
          <w:color w:val="auto"/>
        </w:rPr>
      </w:pPr>
    </w:p>
    <w:p>
      <w:pPr>
        <w:ind w:right="40" w:firstLine="991"/>
        <w:spacing w:after="0" w:line="281" w:lineRule="auto"/>
        <w:rPr>
          <w:sz w:val="20"/>
          <w:szCs w:val="20"/>
          <w:color w:val="auto"/>
        </w:rPr>
      </w:pPr>
      <w:r>
        <w:rPr>
          <w:rFonts w:ascii="Arial" w:cs="Arial" w:eastAsia="Arial" w:hAnsi="Arial"/>
          <w:sz w:val="17"/>
          <w:szCs w:val="17"/>
          <w:b w:val="1"/>
          <w:bCs w:val="1"/>
          <w:color w:val="auto"/>
        </w:rPr>
        <w:t xml:space="preserve">5.3.4 </w:t>
      </w:r>
      <w:r>
        <w:rPr>
          <w:rFonts w:ascii="Arial" w:cs="Arial" w:eastAsia="Arial" w:hAnsi="Arial"/>
          <w:sz w:val="17"/>
          <w:szCs w:val="17"/>
          <w:color w:val="auto"/>
        </w:rPr>
        <w:t>If RBNC undergoes a Change of Control (but excluding any Change of Control resulting from an IPO) during the Option Period,</w:t>
      </w:r>
      <w:r>
        <w:rPr>
          <w:rFonts w:ascii="Arial" w:cs="Arial" w:eastAsia="Arial" w:hAnsi="Arial"/>
          <w:sz w:val="17"/>
          <w:szCs w:val="17"/>
          <w:b w:val="1"/>
          <w:bCs w:val="1"/>
          <w:color w:val="auto"/>
        </w:rPr>
        <w:t xml:space="preserve"> </w:t>
      </w:r>
      <w:r>
        <w:rPr>
          <w:rFonts w:ascii="Arial" w:cs="Arial" w:eastAsia="Arial" w:hAnsi="Arial"/>
          <w:sz w:val="17"/>
          <w:szCs w:val="17"/>
          <w:color w:val="auto"/>
        </w:rPr>
        <w:t>then RBNC shall notify Amgen in writing thereof, and notwithstanding anything to the contrary in this Agreement, Amgen will not have any rights, and RBNC will not have any obligations to Amgen, under this Section 5.3 following the closing of such transaction. For clarity, Amgen’s Option rights under this Section 5.3 shall not apply to any Change of Control transaction that RBNC may consider or execute.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5.4 Right of First Negotiation.</w:t>
      </w:r>
    </w:p>
    <w:p>
      <w:pPr>
        <w:spacing w:after="0" w:line="11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b w:val="1"/>
          <w:bCs w:val="1"/>
          <w:color w:val="auto"/>
        </w:rPr>
        <w:t xml:space="preserve">5.4.1 </w:t>
      </w:r>
      <w:r>
        <w:rPr>
          <w:rFonts w:ascii="Arial" w:cs="Arial" w:eastAsia="Arial" w:hAnsi="Arial"/>
          <w:sz w:val="17"/>
          <w:szCs w:val="17"/>
          <w:color w:val="auto"/>
        </w:rPr>
        <w:t>Subject to Section 5.5, if during the period starting on the Effective Date and ending on the date that is [***] days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to Amgen of the first Successful Phase II Study Results with respect to a ROFN Product (the “</w:t>
      </w:r>
      <w:r>
        <w:rPr>
          <w:rFonts w:ascii="Arial" w:cs="Arial" w:eastAsia="Arial" w:hAnsi="Arial"/>
          <w:sz w:val="17"/>
          <w:szCs w:val="17"/>
          <w:b w:val="1"/>
          <w:bCs w:val="1"/>
          <w:color w:val="auto"/>
        </w:rPr>
        <w:t>ROFN Period</w:t>
      </w:r>
      <w:r>
        <w:rPr>
          <w:rFonts w:ascii="Arial" w:cs="Arial" w:eastAsia="Arial" w:hAnsi="Arial"/>
          <w:sz w:val="17"/>
          <w:szCs w:val="17"/>
          <w:color w:val="auto"/>
        </w:rPr>
        <w:t>”), RBNC (i) elects to sell, transfer, license or divest its rights to develop or commercialize such ROFN Product to a Third Party, or (ii) receives a bona fide term sheet from a Third Party for rights to develop or commercialize such ROFN Product, and RBNC has decided to respond to such term sheet (each of (i) and (ii), a “</w:t>
      </w:r>
      <w:r>
        <w:rPr>
          <w:rFonts w:ascii="Arial" w:cs="Arial" w:eastAsia="Arial" w:hAnsi="Arial"/>
          <w:sz w:val="17"/>
          <w:szCs w:val="17"/>
          <w:b w:val="1"/>
          <w:bCs w:val="1"/>
          <w:color w:val="auto"/>
        </w:rPr>
        <w:t>ROFN</w:t>
      </w:r>
      <w:r>
        <w:rPr>
          <w:rFonts w:ascii="Arial" w:cs="Arial" w:eastAsia="Arial" w:hAnsi="Arial"/>
          <w:sz w:val="17"/>
          <w:szCs w:val="17"/>
          <w:color w:val="auto"/>
        </w:rPr>
        <w:t xml:space="preserve"> </w:t>
      </w:r>
      <w:r>
        <w:rPr>
          <w:rFonts w:ascii="Arial" w:cs="Arial" w:eastAsia="Arial" w:hAnsi="Arial"/>
          <w:sz w:val="17"/>
          <w:szCs w:val="17"/>
          <w:b w:val="1"/>
          <w:bCs w:val="1"/>
          <w:color w:val="auto"/>
        </w:rPr>
        <w:t>Trigger</w:t>
      </w:r>
      <w:r>
        <w:rPr>
          <w:rFonts w:ascii="Arial" w:cs="Arial" w:eastAsia="Arial" w:hAnsi="Arial"/>
          <w:sz w:val="17"/>
          <w:szCs w:val="17"/>
          <w:color w:val="auto"/>
        </w:rPr>
        <w:t>”), then within [***] days of such election or receipt, RBNC will provide AMGEN with a confidential written notice thereof (“</w:t>
      </w:r>
      <w:r>
        <w:rPr>
          <w:rFonts w:ascii="Arial" w:cs="Arial" w:eastAsia="Arial" w:hAnsi="Arial"/>
          <w:sz w:val="17"/>
          <w:szCs w:val="17"/>
          <w:b w:val="1"/>
          <w:bCs w:val="1"/>
          <w:color w:val="auto"/>
        </w:rPr>
        <w:t>ROFN Trigger Notice</w:t>
      </w:r>
      <w:r>
        <w:rPr>
          <w:rFonts w:ascii="Arial" w:cs="Arial" w:eastAsia="Arial" w:hAnsi="Arial"/>
          <w:sz w:val="17"/>
          <w:szCs w:val="17"/>
          <w:color w:val="auto"/>
        </w:rPr>
        <w:t>”), referencing whether such ROFN Trigger falls within subsection (i) or (ii), identifying the ROFN Product that is the subject of such ROFN</w:t>
      </w:r>
      <w:r>
        <w:rPr>
          <w:rFonts w:ascii="Arial" w:cs="Arial" w:eastAsia="Arial" w:hAnsi="Arial"/>
          <w:sz w:val="17"/>
          <w:szCs w:val="17"/>
          <w:b w:val="1"/>
          <w:bCs w:val="1"/>
          <w:color w:val="auto"/>
        </w:rPr>
        <w:t xml:space="preserve"> </w:t>
      </w:r>
      <w:r>
        <w:rPr>
          <w:rFonts w:ascii="Arial" w:cs="Arial" w:eastAsia="Arial" w:hAnsi="Arial"/>
          <w:sz w:val="17"/>
          <w:szCs w:val="17"/>
          <w:color w:val="auto"/>
        </w:rPr>
        <w:t>Trigger, and (a) if subsection (i) applies, summarizing [***] or (b) if subsection (ii) applies, summarizing [***]. If subsection (ii) applies, RBNC shall not engage with or provide a responsive term sheet draft to such Third Party unless Amgen declines the opportunity to negotiate with RBNC pursuant to this Section 5.4 or fails to provide an Amgen ROFN Election Notice for such ROFN Product in response to the relevant ROFN Trigger Notice, or Amgen and RBNC do not enter into an agreement with respect to such ROFN Product prior to expiration of the ROFN Negotiation Exclusivity Period for such ROFN Product after Amgen provides a timely Amgen ROFN Election Notice for such ROFN Product. Notwithstanding the foregoing, if Amgen had exercised its Option with respect to such ROFN Product under Section 5.3, but the Parties did not enter into an agreement pursuant to Section 5.3 with respect to such ROFN Product, then [***]. If [***].</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980"/>
          </w:cols>
          <w:pgMar w:left="440" w:top="270" w:right="479" w:bottom="1440" w:gutter="0" w:footer="0" w:header="0"/>
        </w:sectPr>
      </w:pPr>
    </w:p>
    <w:bookmarkStart w:id="325" w:name="page326"/>
    <w:bookmarkEnd w:id="325"/>
    <w:p>
      <w:pPr>
        <w:ind w:right="60" w:firstLine="991"/>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5.4.2 </w:t>
      </w:r>
      <w:r>
        <w:rPr>
          <w:rFonts w:ascii="Arial" w:cs="Arial" w:eastAsia="Arial" w:hAnsi="Arial"/>
          <w:sz w:val="18"/>
          <w:szCs w:val="18"/>
          <w:color w:val="auto"/>
        </w:rPr>
        <w:t>If Amgen desires to negotiate an arrangement pursuant to which it would enter into an agreement with RBNC for the ROFN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the subject of a ROFN Trigger Notice, Amgen must notify RBNC in writing thereof (the “</w:t>
      </w:r>
      <w:r>
        <w:rPr>
          <w:rFonts w:ascii="Arial" w:cs="Arial" w:eastAsia="Arial" w:hAnsi="Arial"/>
          <w:sz w:val="18"/>
          <w:szCs w:val="18"/>
          <w:b w:val="1"/>
          <w:bCs w:val="1"/>
          <w:color w:val="auto"/>
        </w:rPr>
        <w:t>Amgen ROFN Election Notice</w:t>
      </w:r>
      <w:r>
        <w:rPr>
          <w:rFonts w:ascii="Arial" w:cs="Arial" w:eastAsia="Arial" w:hAnsi="Arial"/>
          <w:sz w:val="18"/>
          <w:szCs w:val="18"/>
          <w:color w:val="auto"/>
        </w:rPr>
        <w:t>”) within [***] days of Amgen’s receipt of the ROFN Trigger Notice (“</w:t>
      </w:r>
      <w:r>
        <w:rPr>
          <w:rFonts w:ascii="Arial" w:cs="Arial" w:eastAsia="Arial" w:hAnsi="Arial"/>
          <w:sz w:val="18"/>
          <w:szCs w:val="18"/>
          <w:b w:val="1"/>
          <w:bCs w:val="1"/>
          <w:color w:val="auto"/>
        </w:rPr>
        <w:t>Notice Period</w:t>
      </w:r>
      <w:r>
        <w:rPr>
          <w:rFonts w:ascii="Arial" w:cs="Arial" w:eastAsia="Arial" w:hAnsi="Arial"/>
          <w:sz w:val="18"/>
          <w:szCs w:val="18"/>
          <w:color w:val="auto"/>
        </w:rPr>
        <w:t>”). For [***] days following Amgen’s timely delivery of the Amgen ROFN Election Notice or such longer time as the Parties may mutually agree in writing (the “</w:t>
      </w:r>
      <w:r>
        <w:rPr>
          <w:rFonts w:ascii="Arial" w:cs="Arial" w:eastAsia="Arial" w:hAnsi="Arial"/>
          <w:sz w:val="18"/>
          <w:szCs w:val="18"/>
          <w:b w:val="1"/>
          <w:bCs w:val="1"/>
          <w:color w:val="auto"/>
        </w:rPr>
        <w:t>ROFN Negotiation Exclusivity Period</w:t>
      </w:r>
      <w:r>
        <w:rPr>
          <w:rFonts w:ascii="Arial" w:cs="Arial" w:eastAsia="Arial" w:hAnsi="Arial"/>
          <w:sz w:val="18"/>
          <w:szCs w:val="18"/>
          <w:color w:val="auto"/>
        </w:rPr>
        <w:t>”), Amgen will have an exclusive right to negotiate such a transaction. During the ROFN Negotiation Exclusivity Period, RBNC shall negotiate exclusively with Amgen in good faith to reach agreement for such transaction between the Parties.</w:t>
      </w:r>
    </w:p>
    <w:p>
      <w:pPr>
        <w:spacing w:after="0" w:line="79"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b w:val="1"/>
          <w:bCs w:val="1"/>
          <w:color w:val="auto"/>
        </w:rPr>
        <w:t xml:space="preserve">5.4.3 </w:t>
      </w:r>
      <w:r>
        <w:rPr>
          <w:rFonts w:ascii="Arial" w:cs="Arial" w:eastAsia="Arial" w:hAnsi="Arial"/>
          <w:sz w:val="18"/>
          <w:szCs w:val="18"/>
          <w:color w:val="auto"/>
        </w:rPr>
        <w:t>On a ROFN Product-by-ROFN Product basis, Amgen’s rights under Sections 5.4.1-5.4.2 will terminate (and RBNC will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obligations to Amgen under Sections 5.4.1-5.4.2, and for clarity, RBNC will be free to offer, negotiate and execute a Third Party Transaction for such ROFN Product), upon the earliest of: (a) Amgen declining the opportunity to negotiate or failing to provide an Amgen ROFN Election Notice to RBNC during the Notice Period for such ROFN Product, or (b) if Amgen provides a timely Amgen ROFN Election Notice, the expiration of the ROFN Negotiation Exclusivity Period for such ROFN Product without the Parties consummating such transaction, [***]. If [***]. Amgen’s rights and RBNC’s obligations under Sections 5.4.1-5.4.2 will expire in their entirety with respect to any ROFN Product upon the expiration of the ROFN Period for such ROFN Product, [***].</w:t>
      </w:r>
    </w:p>
    <w:p>
      <w:pPr>
        <w:spacing w:after="0" w:line="81" w:lineRule="exact"/>
        <w:rPr>
          <w:sz w:val="20"/>
          <w:szCs w:val="20"/>
          <w:color w:val="auto"/>
        </w:rPr>
      </w:pPr>
    </w:p>
    <w:p>
      <w:pPr>
        <w:jc w:val="both"/>
        <w:ind w:right="220" w:firstLine="991"/>
        <w:spacing w:after="0" w:line="347" w:lineRule="auto"/>
        <w:rPr>
          <w:sz w:val="20"/>
          <w:szCs w:val="20"/>
          <w:color w:val="auto"/>
        </w:rPr>
      </w:pPr>
      <w:r>
        <w:rPr>
          <w:rFonts w:ascii="Arial" w:cs="Arial" w:eastAsia="Arial" w:hAnsi="Arial"/>
          <w:sz w:val="16"/>
          <w:szCs w:val="16"/>
          <w:b w:val="1"/>
          <w:bCs w:val="1"/>
          <w:color w:val="auto"/>
        </w:rPr>
        <w:t xml:space="preserve">5.4.4 </w:t>
      </w:r>
      <w:r>
        <w:rPr>
          <w:rFonts w:ascii="Arial" w:cs="Arial" w:eastAsia="Arial" w:hAnsi="Arial"/>
          <w:sz w:val="16"/>
          <w:szCs w:val="16"/>
          <w:color w:val="auto"/>
        </w:rPr>
        <w:t>For the sake of clarity, the foregoing provisions shall not apply to the grant of a sublicense to a contract manufacturer or a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organization or other Third Party contractor solely for the purpose of manufacturing, developing or researching a ROFN Product for RBNC.</w:t>
      </w:r>
    </w:p>
    <w:p>
      <w:pPr>
        <w:spacing w:after="0" w:line="8"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b w:val="1"/>
          <w:bCs w:val="1"/>
          <w:color w:val="auto"/>
        </w:rPr>
        <w:t xml:space="preserve">5.4.5 </w:t>
      </w:r>
      <w:r>
        <w:rPr>
          <w:rFonts w:ascii="Arial" w:cs="Arial" w:eastAsia="Arial" w:hAnsi="Arial"/>
          <w:sz w:val="18"/>
          <w:szCs w:val="18"/>
          <w:color w:val="auto"/>
        </w:rPr>
        <w:t>If RBNC undergoes a Change of Control (but excluding any Change of Control resulting from an IPO) during the ROFN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then RBNC shall notify Amgen in writing thereof, and notwithstanding anything to the contrary in this Agreement, Amgen will not have any rights, and RBNC will not have any obligations to Amgen, under this Section 5.4 following the closing of such transaction. For clarity, Amgen’s rights under this Section 5.4 shall not apply to any Change of Control transaction that RBNC may consider or execute.</w:t>
      </w:r>
    </w:p>
    <w:p>
      <w:pPr>
        <w:spacing w:after="0" w:line="180"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b w:val="1"/>
          <w:bCs w:val="1"/>
          <w:color w:val="auto"/>
        </w:rPr>
        <w:t xml:space="preserve">Section 5.5 Termination of Option and ROFN Rights. </w:t>
      </w:r>
      <w:r>
        <w:rPr>
          <w:rFonts w:ascii="Arial" w:cs="Arial" w:eastAsia="Arial" w:hAnsi="Arial"/>
          <w:sz w:val="18"/>
          <w:szCs w:val="18"/>
          <w:color w:val="auto"/>
        </w:rPr>
        <w:t>Notwithstanding anything to the contrary in the foregoing, Amgen’s rights to negotiate to</w:t>
      </w:r>
      <w:r>
        <w:rPr>
          <w:rFonts w:ascii="Arial" w:cs="Arial" w:eastAsia="Arial" w:hAnsi="Arial"/>
          <w:sz w:val="18"/>
          <w:szCs w:val="18"/>
          <w:b w:val="1"/>
          <w:bCs w:val="1"/>
          <w:color w:val="auto"/>
        </w:rPr>
        <w:t xml:space="preserve"> </w:t>
      </w:r>
      <w:r>
        <w:rPr>
          <w:rFonts w:ascii="Arial" w:cs="Arial" w:eastAsia="Arial" w:hAnsi="Arial"/>
          <w:sz w:val="18"/>
          <w:szCs w:val="18"/>
          <w:color w:val="auto"/>
        </w:rPr>
        <w:t>obtain exclusive licenses to ROFN Products under Section 5.3 and Section 5.4, collectively, apply to a total of two (2) ROFN Products (each a “</w:t>
      </w:r>
      <w:r>
        <w:rPr>
          <w:rFonts w:ascii="Arial" w:cs="Arial" w:eastAsia="Arial" w:hAnsi="Arial"/>
          <w:sz w:val="18"/>
          <w:szCs w:val="18"/>
          <w:b w:val="1"/>
          <w:bCs w:val="1"/>
          <w:color w:val="auto"/>
        </w:rPr>
        <w:t>ROFN</w:t>
      </w:r>
      <w:r>
        <w:rPr>
          <w:rFonts w:ascii="Arial" w:cs="Arial" w:eastAsia="Arial" w:hAnsi="Arial"/>
          <w:sz w:val="18"/>
          <w:szCs w:val="18"/>
          <w:color w:val="auto"/>
        </w:rPr>
        <w:t xml:space="preserve"> </w:t>
      </w:r>
      <w:r>
        <w:rPr>
          <w:rFonts w:ascii="Arial" w:cs="Arial" w:eastAsia="Arial" w:hAnsi="Arial"/>
          <w:sz w:val="18"/>
          <w:szCs w:val="18"/>
          <w:b w:val="1"/>
          <w:bCs w:val="1"/>
          <w:color w:val="auto"/>
        </w:rPr>
        <w:t>Pick</w:t>
      </w:r>
      <w:r>
        <w:rPr>
          <w:rFonts w:ascii="Arial" w:cs="Arial" w:eastAsia="Arial" w:hAnsi="Arial"/>
          <w:sz w:val="18"/>
          <w:szCs w:val="18"/>
          <w:color w:val="auto"/>
        </w:rPr>
        <w:t>”). With respect to each ROFN Pick, Amgen’s rights under Section 5.3 and Section 5.4 shall terminate, and RBNC will have no further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Amgen under either Section 5.3 or Section 5.4, if Amgen exercises its right to negotiate to obtain an exclusive license to the ROFN Product that is the subject of such ROFN Pick, whether under Section 5.3 or Section 5.4, and either (i) Amgen and RBNC enter into a definitive agreement granting Amgen rights to research, develop, commercialize and otherwise Exploit such ROFN Product or (ii) the Option Negotiation Exclusivity Period or ROFN Negotiation Exclusivity Period, as applicable, expires without the Parties consummating such transaction. For clarity, if (a) Amgen declines the opportunity to negotiate after receipt of a ROFN Trigger Notice or (b) Amgen fails to provide a response to RBNC after receipt of a ROFN Trigger Notice during the applicable Notice Period, the ROFN Product that was the subject of such ROFN Trigger Notice shall not be considered a ROFN Pick, unless and until Amgen later exercises its right to negotiate to obtain an exclusive license to such ROFN Product in accordance with Sections 5.3 and 5.4.</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0"/>
          </w:cols>
          <w:pgMar w:left="440" w:top="270" w:right="459" w:bottom="1440" w:gutter="0" w:footer="0" w:header="0"/>
        </w:sectPr>
      </w:pPr>
    </w:p>
    <w:bookmarkStart w:id="326" w:name="page327"/>
    <w:bookmarkEnd w:id="3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 FEES &amp; PAYMENTS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6.1 Collaboration Activity Fees</w:t>
      </w:r>
      <w:r>
        <w:rPr>
          <w:rFonts w:ascii="Arial" w:cs="Arial" w:eastAsia="Arial" w:hAnsi="Arial"/>
          <w:sz w:val="18"/>
          <w:szCs w:val="18"/>
          <w:color w:val="auto"/>
        </w:rPr>
        <w:t>.</w:t>
      </w:r>
    </w:p>
    <w:p>
      <w:pPr>
        <w:spacing w:after="0" w:line="117" w:lineRule="exact"/>
        <w:rPr>
          <w:sz w:val="20"/>
          <w:szCs w:val="20"/>
          <w:color w:val="auto"/>
        </w:rPr>
      </w:pPr>
    </w:p>
    <w:p>
      <w:pPr>
        <w:ind w:left="4" w:right="60" w:firstLine="1428"/>
        <w:spacing w:after="0" w:line="277" w:lineRule="auto"/>
        <w:tabs>
          <w:tab w:leader="none" w:pos="1691" w:val="left"/>
        </w:tabs>
        <w:numPr>
          <w:ilvl w:val="1"/>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Years 1 and 2</w:t>
      </w:r>
      <w:r>
        <w:rPr>
          <w:rFonts w:ascii="Arial" w:cs="Arial" w:eastAsia="Arial" w:hAnsi="Arial"/>
          <w:sz w:val="17"/>
          <w:szCs w:val="17"/>
          <w:color w:val="auto"/>
        </w:rPr>
        <w:t>. As partial consideration for Amgen’s performance of its Collaboration Activities during the first two (2) years</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the Effective Date, RBNC shall pay to Amgen [***], non-refundable, non-creditable payments of [***] (such payments, the “</w:t>
      </w:r>
      <w:r>
        <w:rPr>
          <w:rFonts w:ascii="Arial" w:cs="Arial" w:eastAsia="Arial" w:hAnsi="Arial"/>
          <w:sz w:val="17"/>
          <w:szCs w:val="17"/>
          <w:b w:val="1"/>
          <w:bCs w:val="1"/>
          <w:color w:val="auto"/>
        </w:rPr>
        <w:t>Years 1 and 2</w:t>
      </w:r>
      <w:r>
        <w:rPr>
          <w:rFonts w:ascii="Arial" w:cs="Arial" w:eastAsia="Arial" w:hAnsi="Arial"/>
          <w:sz w:val="17"/>
          <w:szCs w:val="17"/>
          <w:color w:val="auto"/>
        </w:rPr>
        <w:t xml:space="preserve"> </w:t>
      </w:r>
      <w:r>
        <w:rPr>
          <w:rFonts w:ascii="Arial" w:cs="Arial" w:eastAsia="Arial" w:hAnsi="Arial"/>
          <w:sz w:val="17"/>
          <w:szCs w:val="17"/>
          <w:b w:val="1"/>
          <w:bCs w:val="1"/>
          <w:color w:val="auto"/>
        </w:rPr>
        <w:t>Quarterly Collaboration Activity Fees</w:t>
      </w:r>
      <w:r>
        <w:rPr>
          <w:rFonts w:ascii="Arial" w:cs="Arial" w:eastAsia="Arial" w:hAnsi="Arial"/>
          <w:sz w:val="17"/>
          <w:szCs w:val="17"/>
          <w:color w:val="auto"/>
        </w:rPr>
        <w:t>”) totaling [***], in accordance with this Section 6.1(a). RBNC shall pay to Amgen the first (1</w:t>
      </w:r>
      <w:r>
        <w:rPr>
          <w:rFonts w:ascii="Arial" w:cs="Arial" w:eastAsia="Arial" w:hAnsi="Arial"/>
          <w:sz w:val="14"/>
          <w:szCs w:val="14"/>
          <w:color w:val="auto"/>
        </w:rPr>
        <w:t>st</w:t>
      </w:r>
      <w:r>
        <w:rPr>
          <w:rFonts w:ascii="Arial" w:cs="Arial" w:eastAsia="Arial" w:hAnsi="Arial"/>
          <w:sz w:val="17"/>
          <w:szCs w:val="17"/>
          <w:color w:val="auto"/>
        </w:rPr>
        <w:t>) Years 1 and 2</w:t>
      </w:r>
      <w:r>
        <w:rPr>
          <w:rFonts w:ascii="Arial" w:cs="Arial" w:eastAsia="Arial" w:hAnsi="Arial"/>
          <w:sz w:val="17"/>
          <w:szCs w:val="17"/>
          <w:b w:val="1"/>
          <w:bCs w:val="1"/>
          <w:color w:val="auto"/>
        </w:rPr>
        <w:t xml:space="preserve"> </w:t>
      </w:r>
      <w:r>
        <w:rPr>
          <w:rFonts w:ascii="Arial" w:cs="Arial" w:eastAsia="Arial" w:hAnsi="Arial"/>
          <w:sz w:val="17"/>
          <w:szCs w:val="17"/>
          <w:color w:val="auto"/>
        </w:rPr>
        <w:t>Quarterly Collaboration Activity Fee within [***] days following the Effective Date, and shall thereafter pay to Amgen each of the [***] subsequent Years 1 and 2 Quarterly Collaboration Activity Fees within [***] days following the end of each subsequent Calendar Quarter.</w:t>
      </w:r>
    </w:p>
    <w:p>
      <w:pPr>
        <w:spacing w:after="0" w:line="59" w:lineRule="exact"/>
        <w:rPr>
          <w:rFonts w:ascii="Arial" w:cs="Arial" w:eastAsia="Arial" w:hAnsi="Arial"/>
          <w:sz w:val="17"/>
          <w:szCs w:val="17"/>
          <w:b w:val="1"/>
          <w:bCs w:val="1"/>
          <w:color w:val="auto"/>
        </w:rPr>
      </w:pPr>
    </w:p>
    <w:p>
      <w:pPr>
        <w:ind w:left="4" w:right="60" w:firstLine="1428"/>
        <w:spacing w:after="0" w:line="258" w:lineRule="auto"/>
        <w:tabs>
          <w:tab w:leader="none" w:pos="1701" w:val="left"/>
        </w:tabs>
        <w:numPr>
          <w:ilvl w:val="1"/>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Year 3 Fees</w:t>
      </w:r>
      <w:r>
        <w:rPr>
          <w:rFonts w:ascii="Arial" w:cs="Arial" w:eastAsia="Arial" w:hAnsi="Arial"/>
          <w:sz w:val="18"/>
          <w:szCs w:val="18"/>
          <w:color w:val="auto"/>
        </w:rPr>
        <w:t>. RBNC shall pay to Amgen, as partial consideration for Amgen’s performance of its Collaboration Activities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(3</w:t>
      </w:r>
      <w:r>
        <w:rPr>
          <w:rFonts w:ascii="Arial" w:cs="Arial" w:eastAsia="Arial" w:hAnsi="Arial"/>
          <w:sz w:val="15"/>
          <w:szCs w:val="15"/>
          <w:color w:val="auto"/>
        </w:rPr>
        <w:t>rd</w:t>
      </w:r>
      <w:r>
        <w:rPr>
          <w:rFonts w:ascii="Arial" w:cs="Arial" w:eastAsia="Arial" w:hAnsi="Arial"/>
          <w:sz w:val="18"/>
          <w:szCs w:val="18"/>
          <w:color w:val="auto"/>
        </w:rPr>
        <w:t>) year after the Effective Date, [***], non-refundable, non-creditable payments, each a “</w:t>
      </w:r>
      <w:r>
        <w:rPr>
          <w:rFonts w:ascii="Arial" w:cs="Arial" w:eastAsia="Arial" w:hAnsi="Arial"/>
          <w:sz w:val="18"/>
          <w:szCs w:val="18"/>
          <w:b w:val="1"/>
          <w:bCs w:val="1"/>
          <w:color w:val="auto"/>
        </w:rPr>
        <w:t>Year 3 Quarterly Collaboration Activity Fee</w:t>
      </w:r>
      <w:r>
        <w:rPr>
          <w:rFonts w:ascii="Arial" w:cs="Arial" w:eastAsia="Arial" w:hAnsi="Arial"/>
          <w:sz w:val="18"/>
          <w:szCs w:val="18"/>
          <w:color w:val="auto"/>
        </w:rPr>
        <w:t>” (as calculated below). RBNC shall pay to Amgen the first (1</w:t>
      </w:r>
      <w:r>
        <w:rPr>
          <w:rFonts w:ascii="Arial" w:cs="Arial" w:eastAsia="Arial" w:hAnsi="Arial"/>
          <w:sz w:val="15"/>
          <w:szCs w:val="15"/>
          <w:color w:val="auto"/>
        </w:rPr>
        <w:t>st</w:t>
      </w:r>
      <w:r>
        <w:rPr>
          <w:rFonts w:ascii="Arial" w:cs="Arial" w:eastAsia="Arial" w:hAnsi="Arial"/>
          <w:sz w:val="18"/>
          <w:szCs w:val="18"/>
          <w:color w:val="auto"/>
        </w:rPr>
        <w:t>) Year 3 Quarterly Collaboration Activity Fee within [***] days of the second (2</w:t>
      </w:r>
      <w:r>
        <w:rPr>
          <w:rFonts w:ascii="Arial" w:cs="Arial" w:eastAsia="Arial" w:hAnsi="Arial"/>
          <w:sz w:val="15"/>
          <w:szCs w:val="15"/>
          <w:color w:val="auto"/>
        </w:rPr>
        <w:t>nd</w:t>
      </w:r>
      <w:r>
        <w:rPr>
          <w:rFonts w:ascii="Arial" w:cs="Arial" w:eastAsia="Arial" w:hAnsi="Arial"/>
          <w:sz w:val="18"/>
          <w:szCs w:val="18"/>
          <w:color w:val="auto"/>
        </w:rPr>
        <w:t>) anniversary of the Effective Date, and shall thereafter pay to [***]Year 3 Quarterly Collaboration Activity Fees within [***] days of the end of each subsequent Calendar Quarter.</w:t>
      </w:r>
    </w:p>
    <w:p>
      <w:pPr>
        <w:spacing w:after="0" w:line="75" w:lineRule="exact"/>
        <w:rPr>
          <w:rFonts w:ascii="Arial" w:cs="Arial" w:eastAsia="Arial" w:hAnsi="Arial"/>
          <w:sz w:val="18"/>
          <w:szCs w:val="18"/>
          <w:b w:val="1"/>
          <w:bCs w:val="1"/>
          <w:color w:val="auto"/>
        </w:rPr>
      </w:pPr>
    </w:p>
    <w:p>
      <w:pPr>
        <w:ind w:left="2204" w:hanging="221"/>
        <w:spacing w:after="0"/>
        <w:tabs>
          <w:tab w:leader="none" w:pos="2204" w:val="left"/>
        </w:tabs>
        <w:numPr>
          <w:ilvl w:val="2"/>
          <w:numId w:val="189"/>
        </w:numPr>
        <w:rPr>
          <w:rFonts w:ascii="Arial" w:cs="Arial" w:eastAsia="Arial" w:hAnsi="Arial"/>
          <w:sz w:val="18"/>
          <w:szCs w:val="18"/>
          <w:b w:val="1"/>
          <w:bCs w:val="1"/>
          <w:color w:val="auto"/>
        </w:rPr>
      </w:pPr>
      <w:r>
        <w:rPr>
          <w:rFonts w:ascii="Arial" w:cs="Arial" w:eastAsia="Arial" w:hAnsi="Arial"/>
          <w:sz w:val="18"/>
          <w:szCs w:val="18"/>
          <w:color w:val="auto"/>
        </w:rPr>
        <w:t xml:space="preserve">If at least one Collaboration Milestone (as defined below) is achieved [***], each [***] shall be equal to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244" w:hanging="261"/>
        <w:spacing w:after="0"/>
        <w:tabs>
          <w:tab w:leader="none" w:pos="2244" w:val="left"/>
        </w:tabs>
        <w:numPr>
          <w:ilvl w:val="2"/>
          <w:numId w:val="189"/>
        </w:numPr>
        <w:rPr>
          <w:rFonts w:ascii="Arial" w:cs="Arial" w:eastAsia="Arial" w:hAnsi="Arial"/>
          <w:sz w:val="18"/>
          <w:szCs w:val="18"/>
          <w:b w:val="1"/>
          <w:bCs w:val="1"/>
          <w:color w:val="auto"/>
        </w:rPr>
      </w:pPr>
      <w:r>
        <w:rPr>
          <w:rFonts w:ascii="Arial" w:cs="Arial" w:eastAsia="Arial" w:hAnsi="Arial"/>
          <w:sz w:val="18"/>
          <w:szCs w:val="18"/>
          <w:color w:val="auto"/>
        </w:rPr>
        <w:t xml:space="preserve">If no Collaboration Milestone is achieved [***], each [***] shall be equal to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304" w:hanging="321"/>
        <w:spacing w:after="0"/>
        <w:tabs>
          <w:tab w:leader="none" w:pos="2304" w:val="left"/>
        </w:tabs>
        <w:numPr>
          <w:ilvl w:val="2"/>
          <w:numId w:val="189"/>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Collaboration Milestone</w:t>
      </w:r>
      <w:r>
        <w:rPr>
          <w:rFonts w:ascii="Arial" w:cs="Arial" w:eastAsia="Arial" w:hAnsi="Arial"/>
          <w:sz w:val="18"/>
          <w:szCs w:val="18"/>
          <w:color w:val="auto"/>
        </w:rPr>
        <w:t>” means each of the following:</w:t>
      </w:r>
    </w:p>
    <w:p>
      <w:pPr>
        <w:spacing w:after="0" w:line="121" w:lineRule="exact"/>
        <w:rPr>
          <w:rFonts w:ascii="Arial" w:cs="Arial" w:eastAsia="Arial" w:hAnsi="Arial"/>
          <w:sz w:val="18"/>
          <w:szCs w:val="18"/>
          <w:b w:val="1"/>
          <w:bCs w:val="1"/>
          <w:color w:val="auto"/>
        </w:rPr>
      </w:pPr>
    </w:p>
    <w:p>
      <w:pPr>
        <w:ind w:left="2684" w:hanging="261"/>
        <w:spacing w:after="0"/>
        <w:tabs>
          <w:tab w:leader="none" w:pos="2684" w:val="left"/>
        </w:tabs>
        <w:numPr>
          <w:ilvl w:val="3"/>
          <w:numId w:val="18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684" w:hanging="261"/>
        <w:spacing w:after="0"/>
        <w:tabs>
          <w:tab w:leader="none" w:pos="2684" w:val="left"/>
        </w:tabs>
        <w:numPr>
          <w:ilvl w:val="3"/>
          <w:numId w:val="18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684" w:hanging="261"/>
        <w:spacing w:after="0"/>
        <w:tabs>
          <w:tab w:leader="none" w:pos="2684" w:val="left"/>
        </w:tabs>
        <w:numPr>
          <w:ilvl w:val="3"/>
          <w:numId w:val="18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2684" w:hanging="261"/>
        <w:spacing w:after="0"/>
        <w:tabs>
          <w:tab w:leader="none" w:pos="2684" w:val="left"/>
        </w:tabs>
        <w:numPr>
          <w:ilvl w:val="3"/>
          <w:numId w:val="18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left="4" w:right="20" w:firstLine="1428"/>
        <w:spacing w:after="0" w:line="289" w:lineRule="auto"/>
        <w:tabs>
          <w:tab w:leader="none" w:pos="1681" w:val="left"/>
        </w:tabs>
        <w:numPr>
          <w:ilvl w:val="1"/>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Years 4 and 5 Fees</w:t>
      </w:r>
      <w:r>
        <w:rPr>
          <w:rFonts w:ascii="Arial" w:cs="Arial" w:eastAsia="Arial" w:hAnsi="Arial"/>
          <w:sz w:val="16"/>
          <w:szCs w:val="16"/>
          <w:color w:val="auto"/>
        </w:rPr>
        <w:t>. Prior to the third (3</w:t>
      </w:r>
      <w:r>
        <w:rPr>
          <w:rFonts w:ascii="Arial" w:cs="Arial" w:eastAsia="Arial" w:hAnsi="Arial"/>
          <w:sz w:val="13"/>
          <w:szCs w:val="13"/>
          <w:color w:val="auto"/>
        </w:rPr>
        <w:t>rd</w:t>
      </w:r>
      <w:r>
        <w:rPr>
          <w:rFonts w:ascii="Arial" w:cs="Arial" w:eastAsia="Arial" w:hAnsi="Arial"/>
          <w:sz w:val="16"/>
          <w:szCs w:val="16"/>
          <w:color w:val="auto"/>
        </w:rPr>
        <w:t>) anniversary of the Effective Date, the Parties will discuss and endeavor to mutually</w:t>
      </w:r>
      <w:r>
        <w:rPr>
          <w:rFonts w:ascii="Arial" w:cs="Arial" w:eastAsia="Arial" w:hAnsi="Arial"/>
          <w:sz w:val="16"/>
          <w:szCs w:val="16"/>
          <w:b w:val="1"/>
          <w:bCs w:val="1"/>
          <w:color w:val="auto"/>
        </w:rPr>
        <w:t xml:space="preserve"> </w:t>
      </w:r>
      <w:r>
        <w:rPr>
          <w:rFonts w:ascii="Arial" w:cs="Arial" w:eastAsia="Arial" w:hAnsi="Arial"/>
          <w:sz w:val="16"/>
          <w:szCs w:val="16"/>
          <w:color w:val="auto"/>
        </w:rPr>
        <w:t>agree to a compensation structure for years four (4) and five (5) of the Collaboration Activities based upon the collaboration objectives and the number and scope of Projects anticipated to be undertaken and/or completed in the following years. Such structure will be used to govern years four (4) and five</w:t>
      </w:r>
    </w:p>
    <w:p>
      <w:pPr>
        <w:spacing w:after="0" w:line="1" w:lineRule="exact"/>
        <w:rPr>
          <w:rFonts w:ascii="Arial" w:cs="Arial" w:eastAsia="Arial" w:hAnsi="Arial"/>
          <w:sz w:val="16"/>
          <w:szCs w:val="16"/>
          <w:b w:val="1"/>
          <w:bCs w:val="1"/>
          <w:color w:val="auto"/>
        </w:rPr>
      </w:pPr>
    </w:p>
    <w:p>
      <w:pPr>
        <w:ind w:left="4" w:hanging="4"/>
        <w:spacing w:after="0" w:line="273" w:lineRule="auto"/>
        <w:tabs>
          <w:tab w:leader="none" w:pos="25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of the Collaboration Activities, with budgets being established for years four (4) and five (5) prior to the start of each year. Upon such agreement, RBNC will pay to Amgen as consideration for Amgen’s performance of its Collaboration Activities in years 4 and 5 such amounts and on such payment and invoicing schedules as agreed upon by the Parties. If, however, the Parties do not agree on such a compensation structure at least [***] prior to the third (3</w:t>
      </w:r>
      <w:r>
        <w:rPr>
          <w:rFonts w:ascii="Arial" w:cs="Arial" w:eastAsia="Arial" w:hAnsi="Arial"/>
          <w:sz w:val="14"/>
          <w:szCs w:val="14"/>
          <w:color w:val="auto"/>
        </w:rPr>
        <w:t>rd</w:t>
      </w:r>
      <w:r>
        <w:rPr>
          <w:rFonts w:ascii="Arial" w:cs="Arial" w:eastAsia="Arial" w:hAnsi="Arial"/>
          <w:sz w:val="17"/>
          <w:szCs w:val="17"/>
          <w:color w:val="auto"/>
        </w:rPr>
        <w:t>) anniversary of the Effective Date, this Agreement will terminate in accordance with Section 12.4.</w:t>
      </w:r>
    </w:p>
    <w:p>
      <w:pPr>
        <w:spacing w:after="0" w:line="108" w:lineRule="exact"/>
        <w:rPr>
          <w:rFonts w:ascii="Arial" w:cs="Arial" w:eastAsia="Arial" w:hAnsi="Arial"/>
          <w:sz w:val="17"/>
          <w:szCs w:val="17"/>
          <w:color w:val="auto"/>
        </w:rPr>
      </w:pPr>
    </w:p>
    <w:p>
      <w:pPr>
        <w:ind w:left="5424" w:hanging="111"/>
        <w:spacing w:after="0"/>
        <w:tabs>
          <w:tab w:leader="none" w:pos="5424" w:val="left"/>
        </w:tabs>
        <w:numPr>
          <w:ilvl w:val="4"/>
          <w:numId w:val="190"/>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64"/>
          </w:cols>
          <w:pgMar w:left="436" w:top="270" w:right="499" w:bottom="1440" w:gutter="0" w:footer="0" w:header="0"/>
        </w:sectPr>
      </w:pPr>
    </w:p>
    <w:bookmarkStart w:id="327" w:name="page328"/>
    <w:bookmarkEnd w:id="327"/>
    <w:p>
      <w:pPr>
        <w:ind w:right="80" w:firstLine="1428"/>
        <w:spacing w:after="0" w:line="314" w:lineRule="auto"/>
        <w:tabs>
          <w:tab w:leader="none" w:pos="1697"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Activity Fees. </w:t>
      </w:r>
      <w:r>
        <w:rPr>
          <w:rFonts w:ascii="Arial" w:cs="Arial" w:eastAsia="Arial" w:hAnsi="Arial"/>
          <w:sz w:val="16"/>
          <w:szCs w:val="16"/>
          <w:color w:val="auto"/>
        </w:rPr>
        <w:t>The consideration contemplated in this Section 6.1 is intended to compensate Amgen for its internal and external</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 performing the Collaboration Activities and, except as contemplated in Section 6.2 with respect to Pass-through Costs and Expenses, no separate charges or costs will be passed through to RBNC with respect to the Collaboration Activities relating to (1 ) [***] or (2) [***].</w:t>
      </w:r>
    </w:p>
    <w:p>
      <w:pPr>
        <w:spacing w:after="0" w:line="142"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Section 6.2 Pass-Through Expenses</w:t>
      </w:r>
      <w:r>
        <w:rPr>
          <w:rFonts w:ascii="Arial" w:cs="Arial" w:eastAsia="Arial" w:hAnsi="Arial"/>
          <w:sz w:val="18"/>
          <w:szCs w:val="18"/>
          <w:color w:val="auto"/>
        </w:rPr>
        <w:t>. RBNC shall reimburse Amgen for the direct, out-of-pocket external costs and expenses incurred by Amgen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performance of the Collaboration Activities that (a) relate to [***], or (b) [***], to the extent, in each case of (a) and (b), such costs and expenses are approved by the JRC in advance in connection with one or more Projects (collectively, “</w:t>
      </w:r>
      <w:r>
        <w:rPr>
          <w:rFonts w:ascii="Arial" w:cs="Arial" w:eastAsia="Arial" w:hAnsi="Arial"/>
          <w:sz w:val="18"/>
          <w:szCs w:val="18"/>
          <w:b w:val="1"/>
          <w:bCs w:val="1"/>
          <w:color w:val="auto"/>
        </w:rPr>
        <w:t>Pass-through Costs and Expenses</w:t>
      </w:r>
      <w:r>
        <w:rPr>
          <w:rFonts w:ascii="Arial" w:cs="Arial" w:eastAsia="Arial" w:hAnsi="Arial"/>
          <w:sz w:val="18"/>
          <w:szCs w:val="18"/>
          <w:color w:val="auto"/>
        </w:rPr>
        <w:t>”). Upon Amgen incurring any Pass-through Costs and Expenses, Amgen shall invoice RBNC, which invoice shall be accompanied by reasonable supporting documentation. RBNC will pay Amgen the invoiced amounts (which invoiced amounts shall be inclusive of VAT and VAT surcharge, if applicable) within [***] days after receipt of a corresponding invoice from Amgen.</w:t>
      </w:r>
    </w:p>
    <w:p>
      <w:pPr>
        <w:spacing w:after="0" w:line="187"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 xml:space="preserve">Section 6.3 Invoices. </w:t>
      </w:r>
      <w:r>
        <w:rPr>
          <w:rFonts w:ascii="Arial" w:cs="Arial" w:eastAsia="Arial" w:hAnsi="Arial"/>
          <w:sz w:val="17"/>
          <w:szCs w:val="17"/>
          <w:color w:val="auto"/>
        </w:rPr>
        <w:t>Amgen shall deliver an invoice to RBNC for all payments owed by RBNC to Amgen under Section 6.1.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Amgen shall deliver an invoice therefor on the Effective Date, and with respect to each of [***], Amgen shall deliver an invoice therefor on or before the end of [***]. With respect to the [***], Amgen shall deliver an invoice therefor on or before [***], and with respect to each of [***], Amgen shall deliver an invoice therefor on or before the end of each subsequent Calendar Quarter for which such payment is due.</w:t>
      </w:r>
    </w:p>
    <w:p>
      <w:pPr>
        <w:spacing w:after="0" w:line="165"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b w:val="1"/>
          <w:bCs w:val="1"/>
          <w:color w:val="auto"/>
        </w:rPr>
        <w:t xml:space="preserve">Section 6.4 Method of Payment. </w:t>
      </w:r>
      <w:r>
        <w:rPr>
          <w:rFonts w:ascii="Arial" w:cs="Arial" w:eastAsia="Arial" w:hAnsi="Arial"/>
          <w:sz w:val="17"/>
          <w:szCs w:val="17"/>
          <w:color w:val="auto"/>
        </w:rPr>
        <w:t>Unless otherwise agreed by the Parties, all payments due from RBNC to Amgen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paid in United States Dollars by wire transfer or electronic funds transfer of immediately available funds to the following account: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 xml:space="preserve">Section 6.5 Late Payments. </w:t>
      </w:r>
      <w:r>
        <w:rPr>
          <w:rFonts w:ascii="Arial" w:cs="Arial" w:eastAsia="Arial" w:hAnsi="Arial"/>
          <w:sz w:val="18"/>
          <w:szCs w:val="18"/>
          <w:color w:val="auto"/>
        </w:rPr>
        <w:t>In the event that any rightfully owed payment due hereunder is not made when due, the payment shall accrue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beginning on the day following the due date thereof, calculated at the annual rate of the sum of (a) [***] plus (b) [***];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xml:space="preserve"> that in no event shall said annual interest rate exceed the maximum rate permitted by Law. Each such payment when made shall be accompanied by all interest so accrued. Said interest and the payment and acceptance thereof shall not negate or waive the right of any Party to seek any other remedy, legal or equitable, to which it may be entitled because of the delinquency of any payment including, but not limited to termination of this Agreement as set forth in Article 12 (Term &amp; Termination). The Parties will use good faith efforts to reconcile any disputed amounts of payments due hereunder as soon as practicable.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6.6 Taxes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94" w:lineRule="auto"/>
        <w:rPr>
          <w:sz w:val="20"/>
          <w:szCs w:val="20"/>
          <w:color w:val="auto"/>
        </w:rPr>
      </w:pPr>
      <w:r>
        <w:rPr>
          <w:rFonts w:ascii="Arial" w:cs="Arial" w:eastAsia="Arial" w:hAnsi="Arial"/>
          <w:sz w:val="16"/>
          <w:szCs w:val="16"/>
          <w:b w:val="1"/>
          <w:bCs w:val="1"/>
          <w:color w:val="auto"/>
        </w:rPr>
        <w:t xml:space="preserve">6.6.1 Withholding. </w:t>
      </w:r>
      <w:r>
        <w:rPr>
          <w:rFonts w:ascii="Arial" w:cs="Arial" w:eastAsia="Arial" w:hAnsi="Arial"/>
          <w:sz w:val="16"/>
          <w:szCs w:val="16"/>
          <w:color w:val="auto"/>
        </w:rPr>
        <w:t>RBNC shall be entitled to deduct and withhold from any amounts payable under this Agreement such taxes as are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deducted or withheld therefrom under any provision of Law. In the event that any Law requires RBNC to withhold taxes with respect to any payment to be made by RBNC pursuant to this Agreement, RBNC will use commercially reasonable efforts to notify Amgen of such withholding requirement prior to making the payment to Amgen and cooperate with Amgen, including by providing standard documentation as may be required by a tax authority, as may be reasonably necessary in Amgen’s efforts to claim an exemption from or reduction of such taxes. RBNC will, in accordance with such Law withhold taxes from the amount due, remit such taxes to the appropriate tax authority, and furnish Amgen with proof of payment of such</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980"/>
          </w:cols>
          <w:pgMar w:left="440" w:top="270" w:right="479" w:bottom="1440" w:gutter="0" w:footer="0" w:header="0"/>
        </w:sectPr>
      </w:pPr>
    </w:p>
    <w:bookmarkStart w:id="328" w:name="page329"/>
    <w:bookmarkEnd w:id="328"/>
    <w:p>
      <w:pPr>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 within thirty (30) days following the payment. If any such taxes are paid to a tax authority, RBNC shall use commercially reasonable efforts to provide reasonable assistance to Amgen to obtain a refund of such taxes withheld, or obtain a credit with respect to such taxes paid. Any such amounts deducted and withheld shall be treated for all purposes of this Agreement as having been paid to the Party in respect of whom such deduction and withholding was made. On or prior to the Effective Date, Amgen will provide RBNC with a completed and duly executed IRS Form W-9.</w:t>
      </w:r>
    </w:p>
    <w:p>
      <w:pPr>
        <w:spacing w:after="0" w:line="45" w:lineRule="exact"/>
        <w:rPr>
          <w:sz w:val="20"/>
          <w:szCs w:val="20"/>
          <w:color w:val="auto"/>
        </w:rPr>
      </w:pPr>
    </w:p>
    <w:p>
      <w:pPr>
        <w:ind w:right="200" w:firstLine="991"/>
        <w:spacing w:after="0" w:line="289" w:lineRule="auto"/>
        <w:rPr>
          <w:sz w:val="20"/>
          <w:szCs w:val="20"/>
          <w:color w:val="auto"/>
        </w:rPr>
      </w:pPr>
      <w:r>
        <w:rPr>
          <w:rFonts w:ascii="Arial" w:cs="Arial" w:eastAsia="Arial" w:hAnsi="Arial"/>
          <w:sz w:val="17"/>
          <w:szCs w:val="17"/>
          <w:b w:val="1"/>
          <w:bCs w:val="1"/>
          <w:color w:val="auto"/>
        </w:rPr>
        <w:t xml:space="preserve">6.6.2 VAT. </w:t>
      </w:r>
      <w:r>
        <w:rPr>
          <w:rFonts w:ascii="Arial" w:cs="Arial" w:eastAsia="Arial" w:hAnsi="Arial"/>
          <w:sz w:val="17"/>
          <w:szCs w:val="17"/>
          <w:color w:val="auto"/>
        </w:rPr>
        <w:t>All payments due to Amgen from RBNC pursuant to this Agreement shall be paid exclusive of any value-added tax (“</w:t>
      </w:r>
      <w:r>
        <w:rPr>
          <w:rFonts w:ascii="Arial" w:cs="Arial" w:eastAsia="Arial" w:hAnsi="Arial"/>
          <w:sz w:val="17"/>
          <w:szCs w:val="17"/>
          <w:b w:val="1"/>
          <w:bCs w:val="1"/>
          <w:color w:val="auto"/>
        </w:rPr>
        <w:t>VAT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(which, if applicable, shall be payable by RBNC upon receipt of a valid VAT invoice). If Amgen determines that it is required to report any such tax, RBNC shall promptly provide Amgen with applicable receipts and other documentation necessary or appropriate for such report.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INTELLECTUAL PROPERTY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7.1 Intellectual Property Ownership</w:t>
      </w:r>
      <w:r>
        <w:rPr>
          <w:rFonts w:ascii="Arial" w:cs="Arial" w:eastAsia="Arial" w:hAnsi="Arial"/>
          <w:sz w:val="18"/>
          <w:szCs w:val="18"/>
          <w:color w:val="auto"/>
        </w:rPr>
        <w:t>.</w:t>
      </w:r>
    </w:p>
    <w:p>
      <w:pPr>
        <w:spacing w:after="0" w:line="117" w:lineRule="exact"/>
        <w:rPr>
          <w:sz w:val="20"/>
          <w:szCs w:val="20"/>
          <w:color w:val="auto"/>
        </w:rPr>
      </w:pPr>
    </w:p>
    <w:p>
      <w:pPr>
        <w:ind w:right="320" w:firstLine="991"/>
        <w:spacing w:after="0" w:line="312" w:lineRule="auto"/>
        <w:rPr>
          <w:sz w:val="20"/>
          <w:szCs w:val="20"/>
          <w:color w:val="auto"/>
        </w:rPr>
      </w:pPr>
      <w:r>
        <w:rPr>
          <w:rFonts w:ascii="Arial" w:cs="Arial" w:eastAsia="Arial" w:hAnsi="Arial"/>
          <w:sz w:val="17"/>
          <w:szCs w:val="17"/>
          <w:b w:val="1"/>
          <w:bCs w:val="1"/>
          <w:color w:val="auto"/>
        </w:rPr>
        <w:t xml:space="preserve">7.1.1 Background IP. </w:t>
      </w:r>
      <w:r>
        <w:rPr>
          <w:rFonts w:ascii="Arial" w:cs="Arial" w:eastAsia="Arial" w:hAnsi="Arial"/>
          <w:sz w:val="17"/>
          <w:szCs w:val="17"/>
          <w:color w:val="auto"/>
        </w:rPr>
        <w:t>Each Party owns and shall own all right, title and interest in its Background IP, including Ideas it presents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JRC in accordance with Section 2.2, and no licenses are granted hereunder, except as expressly contemplated in Section 4.1.3.</w:t>
      </w:r>
    </w:p>
    <w:p>
      <w:pPr>
        <w:spacing w:after="0" w:line="32"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b w:val="1"/>
          <w:bCs w:val="1"/>
          <w:color w:val="auto"/>
        </w:rPr>
        <w:t xml:space="preserve">7.1.2 Platform Technology. </w:t>
      </w:r>
      <w:r>
        <w:rPr>
          <w:rFonts w:ascii="Arial" w:cs="Arial" w:eastAsia="Arial" w:hAnsi="Arial"/>
          <w:sz w:val="18"/>
          <w:szCs w:val="18"/>
          <w:color w:val="auto"/>
        </w:rPr>
        <w:t>It is the expectation of the Parties that Amgen will not share with or disclose to RBNC any Amgen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 RBNC will not share with or disclose to Amgen any RBNC Platform Technology. In the event the Parties agree to disclose any Amgen Platform Technology and/or any RBNC Platform Technology in connection with the performance of the Collaboration Activities, or incorporate any Amgen Platform Technology and/or any RBNC Platform Technology into the Collaboration Activities, the Parties will discuss in good faith and agree in writing to protections and processes to ensure:</w:t>
      </w:r>
    </w:p>
    <w:p>
      <w:pPr>
        <w:spacing w:after="0" w:line="79" w:lineRule="exact"/>
        <w:rPr>
          <w:sz w:val="20"/>
          <w:szCs w:val="20"/>
          <w:color w:val="auto"/>
        </w:rPr>
      </w:pPr>
    </w:p>
    <w:p>
      <w:pPr>
        <w:ind w:right="40" w:firstLine="1979"/>
        <w:spacing w:after="0" w:line="263" w:lineRule="auto"/>
        <w:tabs>
          <w:tab w:leader="none" w:pos="2237"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Amgen retains and shall be the exclusive owner of all right, title and interest in and to any and all inventions to the extent such inventions are modifications of or improvements to the Amgen Platform Technology that are invented or generated in the course of either Party performing Collaboration Activities.</w:t>
      </w:r>
    </w:p>
    <w:p>
      <w:pPr>
        <w:spacing w:after="0" w:line="75" w:lineRule="exact"/>
        <w:rPr>
          <w:rFonts w:ascii="Arial" w:cs="Arial" w:eastAsia="Arial" w:hAnsi="Arial"/>
          <w:sz w:val="18"/>
          <w:szCs w:val="18"/>
          <w:b w:val="1"/>
          <w:bCs w:val="1"/>
          <w:color w:val="auto"/>
        </w:rPr>
      </w:pPr>
    </w:p>
    <w:p>
      <w:pPr>
        <w:ind w:right="60" w:firstLine="1979"/>
        <w:spacing w:after="0" w:line="263" w:lineRule="auto"/>
        <w:tabs>
          <w:tab w:leader="none" w:pos="2248"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RBNC retains and shall be the exclusive owner of all right, title and interest in and to any and all inventions to the extent such inventions are modifications of or improvements to the RBNC Platform Technology that are invented or generated in the course of either Party performing Collaboration Activities.</w:t>
      </w:r>
    </w:p>
    <w:p>
      <w:pPr>
        <w:spacing w:after="0" w:line="72"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7.1.3 Collaboration IP</w:t>
      </w:r>
      <w:r>
        <w:rPr>
          <w:rFonts w:ascii="Arial" w:cs="Arial" w:eastAsia="Arial" w:hAnsi="Arial"/>
          <w:sz w:val="17"/>
          <w:szCs w:val="17"/>
          <w:color w:val="auto"/>
        </w:rPr>
        <w:t>. Subject to Section 7.1.2, (a) each Party shall retain and own (and hereby retains and owns) all right, title,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interest in and to all inventions, discoveries, Know-How, trade secrets, proprietary rights and other intellectual property rights (collectively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Inventions</w:t>
      </w:r>
      <w:r>
        <w:rPr>
          <w:rFonts w:ascii="Arial" w:cs="Arial" w:eastAsia="Arial" w:hAnsi="Arial"/>
          <w:sz w:val="16"/>
          <w:szCs w:val="16"/>
          <w:color w:val="auto"/>
        </w:rPr>
        <w:t>”) conceived or created solely by or on behalf of such Party in the conduct of the Collaboration Activities, including all intellectual property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rights therein, and (b) the Parties shall jointly own all right, title, and interest in and to Inventions conceived or created jointly by the Parties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conduct of the Collaboration Activities (“</w:t>
      </w:r>
      <w:r>
        <w:rPr>
          <w:rFonts w:ascii="Arial" w:cs="Arial" w:eastAsia="Arial" w:hAnsi="Arial"/>
          <w:sz w:val="16"/>
          <w:szCs w:val="16"/>
          <w:b w:val="1"/>
          <w:bCs w:val="1"/>
          <w:color w:val="auto"/>
        </w:rPr>
        <w:t>Joint Inventions</w:t>
      </w:r>
      <w:r>
        <w:rPr>
          <w:rFonts w:ascii="Arial" w:cs="Arial" w:eastAsia="Arial" w:hAnsi="Arial"/>
          <w:sz w:val="16"/>
          <w:szCs w:val="16"/>
          <w:color w:val="auto"/>
        </w:rPr>
        <w:t>”), including all intellectual property rights therein (Patent Rights included in the intellectual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rights in such Joint Inventions, the “</w:t>
      </w:r>
      <w:r>
        <w:rPr>
          <w:rFonts w:ascii="Arial" w:cs="Arial" w:eastAsia="Arial" w:hAnsi="Arial"/>
          <w:sz w:val="16"/>
          <w:szCs w:val="16"/>
          <w:b w:val="1"/>
          <w:bCs w:val="1"/>
          <w:color w:val="auto"/>
        </w:rPr>
        <w:t>Joint Collaboration Patents</w:t>
      </w:r>
      <w:r>
        <w:rPr>
          <w:rFonts w:ascii="Arial" w:cs="Arial" w:eastAsia="Arial" w:hAnsi="Arial"/>
          <w:sz w:val="16"/>
          <w:szCs w:val="16"/>
          <w:color w:val="auto"/>
        </w:rPr>
        <w:t>”). Each Party will disclose to the other any Joint Inventions promptly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conception or creation. Subject to the provisions of this Agreement (including the exclusive licenses granted in Section 4.1), neither Party will have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obligation to obtain any approval or consent of, nor pay a share of the proceeds to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000"/>
          </w:cols>
          <w:pgMar w:left="440" w:top="274" w:right="459" w:bottom="1440" w:gutter="0" w:footer="0" w:header="0"/>
        </w:sectPr>
      </w:pPr>
    </w:p>
    <w:bookmarkStart w:id="329" w:name="page330"/>
    <w:bookmarkEnd w:id="329"/>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 to, the other Party to practice, enforce, license, assign or otherwise exploit Joint Inventions or Joint Patents, and each Party hereby waives any right it may have under the laws of any jurisdiction to require such approval, consent or accounting. Subject to the exclusive licenses granted in Section 4.1 and the restrictions on usage contemplated in Section 4.3, with respect to Joint Inventions and Joint Collaboration Patents, to the extent necessary to effect the foregoing in a country other than the United States, each Party hereby grants to the other Party a non-exclusive, irrevocable, perpetual, fully-paid, worldwide license, with the right to grant sublicenses, under the granting Party’s interest in Joint Inventions and Joint Collaboration Patents. Each Party agrees to cooperate with the other Party, as reasonably requested, and to take (and cause its Affiliates and its and their employees, contractors and agents to take) such actions as may be required to give effect to this Section 7.1.3 in a particular country, including the execution of any assignments or other legal documentation. Each Party shall, at the other Party’s expense, take (and cause its Affiliates to take) such further actions reasonably requested by such other Party to assist such other Party in obtaining, perfecting, maintaining, enforcing, and defending patent and other intellectual property rights protection for such Joint Collaboration Patents. Inventorship and authorship of any Invention or work of authorship conceived or created by either Party or jointly by the Parties pursuant to this Agreement, shall follow the rules of the U.S. Patent and Trademark Office and the Laws of the U.S., respectively (without reference to any conflict of law principles).</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7.1.4 Patent Prosecution and Maintenance</w:t>
      </w:r>
    </w:p>
    <w:p>
      <w:pPr>
        <w:spacing w:after="0" w:line="113" w:lineRule="exact"/>
        <w:rPr>
          <w:sz w:val="20"/>
          <w:szCs w:val="20"/>
          <w:color w:val="auto"/>
        </w:rPr>
      </w:pPr>
    </w:p>
    <w:p>
      <w:pPr>
        <w:ind w:right="60" w:firstLine="1979"/>
        <w:spacing w:after="0" w:line="256" w:lineRule="auto"/>
        <w:tabs>
          <w:tab w:leader="none" w:pos="2238"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RBNC Patent(s)</w:t>
      </w:r>
      <w:r>
        <w:rPr>
          <w:rFonts w:ascii="Arial" w:cs="Arial" w:eastAsia="Arial" w:hAnsi="Arial"/>
          <w:sz w:val="18"/>
          <w:szCs w:val="18"/>
          <w:color w:val="auto"/>
        </w:rPr>
        <w:t>. RBNC will be solely responsible, at its own cost, for preparing, filing, prosecuting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provisional, reissue, continuing, continuation-in-part, and substitute applications and any foreign counterparts thereof), and maintaining all RBNC Collaboration Patents and defending such Patent Rights, including conducting any interferences and oppositions or similar proceedings relating to RBNC Collaboration Patents. Amgen shall, at RBNC’s expense, take (and cause its Affiliates to take) such further actions reasonably requested by RBNC to assist RBNC in obtaining, perfecting, maintaining, enforcing, and defending patent and other intellectual property rights protection for RBNC Collaboration Patents.</w:t>
      </w:r>
    </w:p>
    <w:p>
      <w:pPr>
        <w:spacing w:after="0" w:line="79" w:lineRule="exact"/>
        <w:rPr>
          <w:rFonts w:ascii="Arial" w:cs="Arial" w:eastAsia="Arial" w:hAnsi="Arial"/>
          <w:sz w:val="18"/>
          <w:szCs w:val="18"/>
          <w:b w:val="1"/>
          <w:bCs w:val="1"/>
          <w:color w:val="auto"/>
        </w:rPr>
      </w:pPr>
    </w:p>
    <w:p>
      <w:pPr>
        <w:ind w:right="20" w:firstLine="1979"/>
        <w:spacing w:after="0" w:line="256" w:lineRule="auto"/>
        <w:tabs>
          <w:tab w:leader="none" w:pos="2248"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Amgen Patent(s). </w:t>
      </w:r>
      <w:r>
        <w:rPr>
          <w:rFonts w:ascii="Arial" w:cs="Arial" w:eastAsia="Arial" w:hAnsi="Arial"/>
          <w:sz w:val="18"/>
          <w:szCs w:val="18"/>
          <w:color w:val="auto"/>
        </w:rPr>
        <w:t>Amgen will be solely responsible, at its own cost, for preparing, filing, prosecuting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provisional, reissue, continuing, continuation-in-part, and substitute applications and any foreign counterparts thereof), and maintaining all Amgen Collaboration Patents and defending such Patent Rights, including conducting any interferences and oppositions or similar proceedings relating Amgen Collaboration Patents. RBNC shall, at Amgen’s expense, take (and cause its Affiliates to take) such further actions reasonably requested by Amgen to assist Amgen in obtaining, perfecting, enforcing, maintaining, and defending patent and other intellectual property rights protection for Amgen Collaboration Patents.</w:t>
      </w:r>
    </w:p>
    <w:p>
      <w:pPr>
        <w:spacing w:after="0" w:line="79" w:lineRule="exact"/>
        <w:rPr>
          <w:rFonts w:ascii="Arial" w:cs="Arial" w:eastAsia="Arial" w:hAnsi="Arial"/>
          <w:sz w:val="18"/>
          <w:szCs w:val="18"/>
          <w:b w:val="1"/>
          <w:bCs w:val="1"/>
          <w:color w:val="auto"/>
        </w:rPr>
      </w:pPr>
    </w:p>
    <w:p>
      <w:pPr>
        <w:ind w:firstLine="1979"/>
        <w:spacing w:after="0" w:line="289" w:lineRule="auto"/>
        <w:tabs>
          <w:tab w:leader="none" w:pos="2227"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Joint Collaboration Patents. </w:t>
      </w:r>
      <w:r>
        <w:rPr>
          <w:rFonts w:ascii="Arial" w:cs="Arial" w:eastAsia="Arial" w:hAnsi="Arial"/>
          <w:sz w:val="16"/>
          <w:szCs w:val="16"/>
          <w:color w:val="auto"/>
        </w:rPr>
        <w:t>RBNC will be primarily responsible, at its own cost, for preparing, filing, prosecuting</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provisional, reissue, continuing, continuation-in-part, and substitute applications and any foreign counterparts thereof), and maintaining all Patent Rights constituting Joint Collaboration Patents and defending such Patent Rights, including conducting any interferences and oppositions or similar proceedings relating to such Patent Rights. Amgen shall have the right to comment on and to discuss prosecution and maintenance activities for Joint Collaboration Patents with RBNC, and RBNC shall consider the same in good faith and shall provide Amgen with copies of all proposed filings and correspondence relating to the Joint Collaboration Patents to give Amgen the opportunity to review and comment. In addition, RBNC will provide Amgen with a copy of each official filing and submission made to and document received from a patent authority, court or other tribunal regarding any Joint Collaboration Patent reasonably promptly after making such filing or receiving such document, including a copy of each application for each Joint Collaboration Patent as filed together with notice of its filing date and application number. RBNC will keep Amgen</w:t>
      </w:r>
    </w:p>
    <w:p>
      <w:pPr>
        <w:spacing w:after="0" w:line="102" w:lineRule="exact"/>
        <w:rPr>
          <w:rFonts w:ascii="Arial" w:cs="Arial" w:eastAsia="Arial" w:hAnsi="Arial"/>
          <w:sz w:val="16"/>
          <w:szCs w:val="16"/>
          <w:b w:val="1"/>
          <w:bCs w:val="1"/>
          <w:color w:val="auto"/>
        </w:rPr>
      </w:pPr>
    </w:p>
    <w:p>
      <w:pPr>
        <w:ind w:left="5420" w:hanging="111"/>
        <w:spacing w:after="0"/>
        <w:tabs>
          <w:tab w:leader="none" w:pos="54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000"/>
          </w:cols>
          <w:pgMar w:left="440" w:top="274" w:right="459" w:bottom="1440" w:gutter="0" w:footer="0" w:header="0"/>
        </w:sectPr>
      </w:pPr>
    </w:p>
    <w:bookmarkStart w:id="330" w:name="page331"/>
    <w:bookmarkEnd w:id="330"/>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advised of the status of all material communications, and filings or submissions regarding the Joint Collaboration Patents. With respect to any filings or other materials provided to Amgen under this Section 7.1.4(c), RBNC will have the right to redact information relating to any product other than Collaboration Derived Products or any Know-How other than Collaboration Know-How from any such filings and materials. In the event RBNC declines to file, prosecute or maintain any of the foregoing Patent Rights, elects to allow any Patent Rights to lapse in any country, or elects to abandon any Patent Rights (in each case to the extent contained in the Joint Collaboration Patents) before all appeals within the respective patent office have been exhausted (each, an “</w:t>
      </w:r>
      <w:r>
        <w:rPr>
          <w:rFonts w:ascii="Arial" w:cs="Arial" w:eastAsia="Arial" w:hAnsi="Arial"/>
          <w:sz w:val="17"/>
          <w:szCs w:val="17"/>
          <w:b w:val="1"/>
          <w:bCs w:val="1"/>
          <w:color w:val="auto"/>
        </w:rPr>
        <w:t>Abandoned Patent Right</w:t>
      </w:r>
      <w:r>
        <w:rPr>
          <w:rFonts w:ascii="Arial" w:cs="Arial" w:eastAsia="Arial" w:hAnsi="Arial"/>
          <w:sz w:val="17"/>
          <w:szCs w:val="17"/>
          <w:color w:val="auto"/>
        </w:rPr>
        <w:t>”), then: (i) RBNC shall provide Amgen with reasonable notice of such decision so as to permit Amgen to decide whether to file, prosecute or maintain such Abandoned Patent Right and to take any necessary action prior to the next deadline for any action that may be taken with respect to such Abandoned Patent Right with the U.S. Patent &amp; Trademark Office or any foreign patent office); (ii) Amgen, at Amgen’s expense, may assume control of the filing, prosecution or maintenance of such Abandoned Patent Rights; and (iii) Amgen shall have the right, at its expense, to transfer the responsibility for such filing, prosecution and maintenance of such Abandoned Patent Rights to patent counsel (outside or internal) selected by Amgen.</w:t>
      </w:r>
    </w:p>
    <w:p>
      <w:pPr>
        <w:spacing w:after="0" w:line="70" w:lineRule="exact"/>
        <w:rPr>
          <w:sz w:val="20"/>
          <w:szCs w:val="20"/>
          <w:color w:val="auto"/>
        </w:rPr>
      </w:pPr>
    </w:p>
    <w:p>
      <w:pPr>
        <w:ind w:firstLine="1979"/>
        <w:spacing w:after="0" w:line="291" w:lineRule="auto"/>
        <w:tabs>
          <w:tab w:leader="none" w:pos="2248"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Platform Technology Modifications or Improvements</w:t>
      </w:r>
      <w:r>
        <w:rPr>
          <w:rFonts w:ascii="Arial" w:cs="Arial" w:eastAsia="Arial" w:hAnsi="Arial"/>
          <w:sz w:val="16"/>
          <w:szCs w:val="16"/>
          <w:color w:val="auto"/>
        </w:rPr>
        <w:t>. Amgen will be solely responsible, at its own cost and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for preparing, filing, prosecuting (including, but not limited to provisional, reissue, continuing, continuation-in-part, and substitute applications and any foreign counterparts thereof), and maintaining all Patent Rights in any Amgen Platform Technology modifications or improvements set forth in Section 7.1.2(a), and defending such Patent Rights, including conducting any interferences and oppositions or similar proceedings relating to such Patent Rights. RBNC will be solely responsible, at its own cost and in its sole discretion, for preparing, filing, prosecuting (including, but not limited to provisional, reissue, continuing, continuation-in-part, and substitute applications and any foreign counterparts thereof), and maintaining all Patent Rights in any RBNC Platform Technology modifications or improvements set forth in Section 7.1.2(b), and defending such Patent Rights, including conducting any interferences and oppositions or similar proceedings relating to such Patent Rights.</w:t>
      </w:r>
    </w:p>
    <w:p>
      <w:pPr>
        <w:spacing w:after="0" w:line="51" w:lineRule="exact"/>
        <w:rPr>
          <w:rFonts w:ascii="Arial" w:cs="Arial" w:eastAsia="Arial" w:hAnsi="Arial"/>
          <w:sz w:val="16"/>
          <w:szCs w:val="16"/>
          <w:b w:val="1"/>
          <w:bCs w:val="1"/>
          <w:color w:val="auto"/>
        </w:rPr>
      </w:pPr>
    </w:p>
    <w:p>
      <w:pPr>
        <w:ind w:right="100" w:firstLine="1979"/>
        <w:spacing w:after="0" w:line="258" w:lineRule="auto"/>
        <w:tabs>
          <w:tab w:leader="none" w:pos="2227"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Therapeutic Compound Activities IP</w:t>
      </w:r>
      <w:r>
        <w:rPr>
          <w:rFonts w:ascii="Arial" w:cs="Arial" w:eastAsia="Arial" w:hAnsi="Arial"/>
          <w:sz w:val="18"/>
          <w:szCs w:val="18"/>
          <w:color w:val="auto"/>
        </w:rPr>
        <w:t>. Each Party will be solely responsible, at its own cost and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preparing, filing, prosecuting (including, but not limited to provisional, reissue, continuing, continuation-in-part, and substitute applications and any foreign counterparts thereof), and maintaining all Patent Rights generated by or on behalf of such Party in the course of conducting Therapeutic Compound Activities, and defending such Patent Rights, including conducting any interferences and oppositions or similar proceedings relating to such Patent Rights.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7.2 Defense and Settlement of Third Party Claims.</w:t>
      </w:r>
    </w:p>
    <w:p>
      <w:pPr>
        <w:spacing w:after="0" w:line="121" w:lineRule="exact"/>
        <w:rPr>
          <w:sz w:val="20"/>
          <w:szCs w:val="20"/>
          <w:color w:val="auto"/>
        </w:rPr>
      </w:pPr>
    </w:p>
    <w:p>
      <w:pPr>
        <w:ind w:right="20" w:firstLine="1428"/>
        <w:spacing w:after="0" w:line="288" w:lineRule="auto"/>
        <w:tabs>
          <w:tab w:leader="none" w:pos="1687" w:val="left"/>
        </w:tabs>
        <w:numPr>
          <w:ilvl w:val="0"/>
          <w:numId w:val="195"/>
        </w:numPr>
        <w:rPr>
          <w:rFonts w:ascii="Arial" w:cs="Arial" w:eastAsia="Arial" w:hAnsi="Arial"/>
          <w:sz w:val="16"/>
          <w:szCs w:val="16"/>
          <w:b w:val="1"/>
          <w:bCs w:val="1"/>
          <w:color w:val="auto"/>
        </w:rPr>
      </w:pPr>
      <w:r>
        <w:rPr>
          <w:rFonts w:ascii="Arial" w:cs="Arial" w:eastAsia="Arial" w:hAnsi="Arial"/>
          <w:sz w:val="16"/>
          <w:szCs w:val="16"/>
          <w:color w:val="auto"/>
        </w:rPr>
        <w:t>If either (i) any Collaboration Patent becomes the subject of a Third Party’s claim or assertion of invalidity or nullity, or (ii) a declaratory judgment action is brought naming either Party as a defendant and alleging invalidity of any of the Patent Rights contained in Collaboration Patents, the Party first having notice of the claim or assertion shall promptly notify the other Party, and the Parties shall promptly confer to consider the claim or assertion and the appropriate course of action. Unless the Parties otherwise agree in writing, each Party shall have the right to defend itself against a suit that names it as a defendant (the “</w:t>
      </w:r>
      <w:r>
        <w:rPr>
          <w:rFonts w:ascii="Arial" w:cs="Arial" w:eastAsia="Arial" w:hAnsi="Arial"/>
          <w:sz w:val="16"/>
          <w:szCs w:val="16"/>
          <w:b w:val="1"/>
          <w:bCs w:val="1"/>
          <w:color w:val="auto"/>
        </w:rPr>
        <w:t>Defending Party</w:t>
      </w:r>
      <w:r>
        <w:rPr>
          <w:rFonts w:ascii="Arial" w:cs="Arial" w:eastAsia="Arial" w:hAnsi="Arial"/>
          <w:sz w:val="16"/>
          <w:szCs w:val="16"/>
          <w:color w:val="auto"/>
        </w:rPr>
        <w:t>”). Neither Party shall enter into any settlement of any claim described in this Section 7.2(a) that admits to the invalidity or unenforceability of any Patent Right Controlled by the other Party or jointly by the Parties (or otherwise affects the scope, validity or enforceability of such Patent Right), incurs any financial liability on the part of any other Party or requires an admission of liability, wrongdoing or fault on the part of the other Party without such other Party’s written consent, not to be unreasonably withheld. In any event, the other Party shall reasonably assist the Defending Party and cooperate in any such litigation at the Defending Party’s request and expense. Additionally, if the Defending Party is not the Party that Controls the Patent Right in question, then the other Party has the right to join any such action.</w:t>
      </w:r>
    </w:p>
    <w:p>
      <w:pPr>
        <w:spacing w:after="0" w:line="100" w:lineRule="exact"/>
        <w:rPr>
          <w:rFonts w:ascii="Arial" w:cs="Arial" w:eastAsia="Arial" w:hAnsi="Arial"/>
          <w:sz w:val="16"/>
          <w:szCs w:val="16"/>
          <w:b w:val="1"/>
          <w:bCs w:val="1"/>
          <w:color w:val="auto"/>
        </w:rPr>
      </w:pPr>
    </w:p>
    <w:p>
      <w:pPr>
        <w:ind w:left="5420" w:hanging="111"/>
        <w:spacing w:after="0"/>
        <w:tabs>
          <w:tab w:leader="none" w:pos="54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020"/>
          </w:cols>
          <w:pgMar w:left="440" w:top="274" w:right="439" w:bottom="1440" w:gutter="0" w:footer="0" w:header="0"/>
        </w:sectPr>
      </w:pPr>
    </w:p>
    <w:bookmarkStart w:id="331" w:name="page332"/>
    <w:bookmarkEnd w:id="331"/>
    <w:p>
      <w:pPr>
        <w:ind w:firstLine="1428"/>
        <w:spacing w:after="0" w:line="253" w:lineRule="auto"/>
        <w:tabs>
          <w:tab w:leader="none" w:pos="1697"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Collaboration Derived Product Exploited by or under authority of RBNC becomes the subject of a Third Party’s claim or assertion of infringement of a patent relating to the manufacture, use, sale, offer for sale or importation of such Collaboration Derived Product in the CNS Field anywhere in the world, the Party first having notice of the claim or assertion shall promptly notify the other Party, and the Parties shall promptly confer to consider the claim or assertion and the appropriate course of action. Subject to Article 9 (Indemnification), each Party shall have the right to defend itself against a suit that names it as a defendant at its expense. Neither Party shall enter into any settlement of any claim described in this Section 7.2(b) that admits to the invalidity or unenforceability of any Patent Right Controlled by the other Party or jointly by the Parties (or otherwise affects the scope, validity or enforceability of such Patent Right), incurs any financial liability on the part of the other Party, or requires an admission of liability, wrongdoing or fault on the part of the other Party without such other Party’s prior written consent. In any event, the other Party shall reasonably assist the Party defending a claim, assertion or action in accordance with this Section 7.2(b) and cooperate in any such litigation at such Party’s request and expense.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7.3 Enforcement</w:t>
      </w:r>
      <w:r>
        <w:rPr>
          <w:rFonts w:ascii="Arial" w:cs="Arial" w:eastAsia="Arial" w:hAnsi="Arial"/>
          <w:sz w:val="18"/>
          <w:szCs w:val="18"/>
          <w:color w:val="auto"/>
        </w:rPr>
        <w:t>.</w:t>
      </w:r>
    </w:p>
    <w:p>
      <w:pPr>
        <w:spacing w:after="0" w:line="117" w:lineRule="exact"/>
        <w:rPr>
          <w:sz w:val="20"/>
          <w:szCs w:val="20"/>
          <w:color w:val="auto"/>
        </w:rPr>
      </w:pPr>
    </w:p>
    <w:p>
      <w:pPr>
        <w:ind w:right="340" w:firstLine="991"/>
        <w:spacing w:after="0" w:line="266" w:lineRule="auto"/>
        <w:rPr>
          <w:sz w:val="20"/>
          <w:szCs w:val="20"/>
          <w:color w:val="auto"/>
        </w:rPr>
      </w:pPr>
      <w:r>
        <w:rPr>
          <w:rFonts w:ascii="Arial" w:cs="Arial" w:eastAsia="Arial" w:hAnsi="Arial"/>
          <w:sz w:val="18"/>
          <w:szCs w:val="18"/>
          <w:b w:val="1"/>
          <w:bCs w:val="1"/>
          <w:color w:val="auto"/>
        </w:rPr>
        <w:t xml:space="preserve">7.3.1 Notice of Infringement. </w:t>
      </w:r>
      <w:r>
        <w:rPr>
          <w:rFonts w:ascii="Arial" w:cs="Arial" w:eastAsia="Arial" w:hAnsi="Arial"/>
          <w:sz w:val="18"/>
          <w:szCs w:val="18"/>
          <w:color w:val="auto"/>
        </w:rPr>
        <w:t>The Parties shall inform each other promptly of any infringement or threatened infringement or alleged</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of any Patent Right within the Collaboration Patents, and the Parties shall promptly confer to consider the best appropriate course of action.</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7.3.2 Enforcement.</w:t>
      </w:r>
    </w:p>
    <w:p>
      <w:pPr>
        <w:spacing w:after="0" w:line="117" w:lineRule="exact"/>
        <w:rPr>
          <w:sz w:val="20"/>
          <w:szCs w:val="20"/>
          <w:color w:val="auto"/>
        </w:rPr>
      </w:pPr>
    </w:p>
    <w:p>
      <w:pPr>
        <w:ind w:right="200" w:firstLine="1428"/>
        <w:spacing w:after="0" w:line="261" w:lineRule="auto"/>
        <w:tabs>
          <w:tab w:leader="none" w:pos="1687"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Amgen Solely-Owned Collaboration Patents and RBNC Solely-Owned Collaboration Patents</w:t>
      </w:r>
      <w:r>
        <w:rPr>
          <w:rFonts w:ascii="Arial" w:cs="Arial" w:eastAsia="Arial" w:hAnsi="Arial"/>
          <w:sz w:val="18"/>
          <w:szCs w:val="18"/>
          <w:color w:val="auto"/>
        </w:rPr>
        <w:t>. Amgen shall have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bring and control any suit, proceeding or other legal action to enforce any Collaboration Patent solely owned by Amgen, using counsel of its own choice, at its sole expense. RBNC shall have the sole right to bring and control any suit, proceeding or other legal action to enforce any Collaboration Patent solely owned by RBNC, using counsel of its own choice, at its sole expense.</w:t>
      </w:r>
    </w:p>
    <w:p>
      <w:pPr>
        <w:spacing w:after="0" w:line="71" w:lineRule="exact"/>
        <w:rPr>
          <w:rFonts w:ascii="Arial" w:cs="Arial" w:eastAsia="Arial" w:hAnsi="Arial"/>
          <w:sz w:val="18"/>
          <w:szCs w:val="18"/>
          <w:b w:val="1"/>
          <w:bCs w:val="1"/>
          <w:color w:val="auto"/>
        </w:rPr>
      </w:pPr>
    </w:p>
    <w:p>
      <w:pPr>
        <w:ind w:right="20" w:firstLine="1428"/>
        <w:spacing w:after="0" w:line="269" w:lineRule="auto"/>
        <w:tabs>
          <w:tab w:leader="none" w:pos="1697"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t>Joint Collaboration Patents</w:t>
      </w:r>
      <w:r>
        <w:rPr>
          <w:rFonts w:ascii="Arial" w:cs="Arial" w:eastAsia="Arial" w:hAnsi="Arial"/>
          <w:sz w:val="17"/>
          <w:szCs w:val="17"/>
          <w:color w:val="auto"/>
        </w:rPr>
        <w:t>. If any Joint Collaboration Patent is infringed, threatened to be infringed or allegedly infringed,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shall discuss in good faith to determine which Party is best suited to bring and control any suit, proceeding or other legal action to enforce such Joint Collaboration Patent against such infringement or threatened infringement or alleged infringement (the “</w:t>
      </w:r>
      <w:r>
        <w:rPr>
          <w:rFonts w:ascii="Arial" w:cs="Arial" w:eastAsia="Arial" w:hAnsi="Arial"/>
          <w:sz w:val="17"/>
          <w:szCs w:val="17"/>
          <w:b w:val="1"/>
          <w:bCs w:val="1"/>
          <w:color w:val="auto"/>
        </w:rPr>
        <w:t>Enforcing Party</w:t>
      </w:r>
      <w:r>
        <w:rPr>
          <w:rFonts w:ascii="Arial" w:cs="Arial" w:eastAsia="Arial" w:hAnsi="Arial"/>
          <w:sz w:val="17"/>
          <w:szCs w:val="17"/>
          <w:color w:val="auto"/>
        </w:rPr>
        <w:t>”). Unless otherwise mutually agreed to by the Parties, RBNC will be the Enforcing Party. The Enforcing Party may, at its own expense, institute suit against any infringer or alleged infringer and control and defend such suit in a manner consistent with the terms and provisions hereof, including the response to any defense or defense of any counterclaim. The Enforcing Party shall keep the non-Enforcing Party reasonably informed of the progress of any such enforcement action and provide copies of material documents filed in connection with such action, and the non-Enforcing Party shall have the individual right to participate with counsel of its own choice at its own expense provided that the Enforcing Party retains control over the proceeding. The non-Enforcing Party shall reasonably cooperate in any such litigation at the Enforcing Party’s expense, including making available the inventor(s) of the patent(s)-in-suit as well as applicable records and documents (including laboratory notebooks), and where necessary, joining in or being named as a necessary party to such action. The Enforcing Party shall not enter into any settlement of any claim described in this Section 7.3.2(b) that admits to the invalidity or unenforceability of</w:t>
      </w:r>
    </w:p>
    <w:p>
      <w:pPr>
        <w:spacing w:after="0" w:line="115" w:lineRule="exact"/>
        <w:rPr>
          <w:rFonts w:ascii="Arial" w:cs="Arial" w:eastAsia="Arial" w:hAnsi="Arial"/>
          <w:sz w:val="17"/>
          <w:szCs w:val="17"/>
          <w:b w:val="1"/>
          <w:bCs w:val="1"/>
          <w:color w:val="auto"/>
        </w:rPr>
      </w:pPr>
    </w:p>
    <w:p>
      <w:pPr>
        <w:ind w:left="5420" w:hanging="111"/>
        <w:spacing w:after="0"/>
        <w:tabs>
          <w:tab w:leader="none" w:pos="54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000"/>
          </w:cols>
          <w:pgMar w:left="440" w:top="274" w:right="459" w:bottom="1440" w:gutter="0" w:footer="0" w:header="0"/>
        </w:sectPr>
      </w:pPr>
    </w:p>
    <w:bookmarkStart w:id="332" w:name="page333"/>
    <w:bookmarkEnd w:id="332"/>
    <w:p>
      <w:pPr>
        <w:ind w:left="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Joint Collaboration Patents (or otherwise affects the scope, validity or enforceability of such Joint Collaboration Patents), incurs any financial liability on the part of the non-Enforcing Party or requires an admission of liability, wrongdoing or fault on the part of the non-Enforcing Party without the non-Enforcing Party’s prior written consent. In the event that the Enforcing Party does not elect to enforce or elects to discontinue the enforcement of any Joint Collaboration Patents, then the non-Enforcing Party shall be entitled to do so, subject to the rights and obligations of the Enforcing Party set forth above in this Section 7.3.2(b),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76" w:lineRule="exact"/>
        <w:rPr>
          <w:sz w:val="20"/>
          <w:szCs w:val="20"/>
          <w:color w:val="auto"/>
        </w:rPr>
      </w:pPr>
    </w:p>
    <w:p>
      <w:pPr>
        <w:ind w:left="4" w:right="180" w:firstLine="1428"/>
        <w:spacing w:after="0" w:line="258" w:lineRule="auto"/>
        <w:tabs>
          <w:tab w:leader="none" w:pos="1681"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Platform Technology Modifications or Improvements</w:t>
      </w:r>
      <w:r>
        <w:rPr>
          <w:rFonts w:ascii="Arial" w:cs="Arial" w:eastAsia="Arial" w:hAnsi="Arial"/>
          <w:sz w:val="18"/>
          <w:szCs w:val="18"/>
          <w:color w:val="auto"/>
        </w:rPr>
        <w:t>. Amgen shall have the sole right, without any obligation, to bring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any suit, proceeding or other legal action to enforce any Patent Right in any Amgen Platform Technology modifications or improvements set forth in Section 7.1.2(a), using counsel of its own choice, at its sole expense. RBNC shall have the sole right, without any obligation, to bring and control any suit, proceeding or other legal action to enforce any Patent Right in any RBNC Platform Technology modifications or improvements set forth in Section 7.1.2(b), using counsel of its own choice, at its sole expense.</w:t>
      </w:r>
    </w:p>
    <w:p>
      <w:pPr>
        <w:spacing w:after="0" w:line="75" w:lineRule="exact"/>
        <w:rPr>
          <w:rFonts w:ascii="Arial" w:cs="Arial" w:eastAsia="Arial" w:hAnsi="Arial"/>
          <w:sz w:val="18"/>
          <w:szCs w:val="18"/>
          <w:b w:val="1"/>
          <w:bCs w:val="1"/>
          <w:color w:val="auto"/>
        </w:rPr>
      </w:pPr>
    </w:p>
    <w:p>
      <w:pPr>
        <w:ind w:left="4" w:firstLine="1428"/>
        <w:spacing w:after="0" w:line="266" w:lineRule="auto"/>
        <w:tabs>
          <w:tab w:leader="none" w:pos="1701"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Therapeutic Compound Activities IP</w:t>
      </w:r>
      <w:r>
        <w:rPr>
          <w:rFonts w:ascii="Arial" w:cs="Arial" w:eastAsia="Arial" w:hAnsi="Arial"/>
          <w:sz w:val="18"/>
          <w:szCs w:val="18"/>
          <w:color w:val="auto"/>
        </w:rPr>
        <w:t>. Each Party shall have the sole right, without any obligation to bring and control any suit,</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or other legal action to enforce any Patent Right generated by or on behalf of such Party in the course of conducting Therapeutic Compound Activities, using counsel of such Party’s own choice, at such Party’s sole expense.</w:t>
      </w:r>
    </w:p>
    <w:p>
      <w:pPr>
        <w:spacing w:after="0" w:line="67" w:lineRule="exact"/>
        <w:rPr>
          <w:rFonts w:ascii="Arial" w:cs="Arial" w:eastAsia="Arial" w:hAnsi="Arial"/>
          <w:sz w:val="18"/>
          <w:szCs w:val="18"/>
          <w:b w:val="1"/>
          <w:bCs w:val="1"/>
          <w:color w:val="auto"/>
        </w:rPr>
      </w:pPr>
    </w:p>
    <w:p>
      <w:pPr>
        <w:jc w:val="both"/>
        <w:ind w:left="4" w:right="200" w:firstLine="1428"/>
        <w:spacing w:after="0" w:line="293" w:lineRule="auto"/>
        <w:tabs>
          <w:tab w:leader="none" w:pos="1681" w:val="left"/>
        </w:tabs>
        <w:numPr>
          <w:ilvl w:val="1"/>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Allocation of Recoveries. </w:t>
      </w:r>
      <w:r>
        <w:rPr>
          <w:rFonts w:ascii="Arial" w:cs="Arial" w:eastAsia="Arial" w:hAnsi="Arial"/>
          <w:sz w:val="16"/>
          <w:szCs w:val="16"/>
          <w:color w:val="auto"/>
        </w:rPr>
        <w:t>Except as otherwise expressly provided herein, the costs and expenses of the Enforcing Party under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7.3.2(b) shall be borne by such Enforcing Party, and any damages, settlements or other monetary awards recovered shall be shared as follows:</w:t>
      </w:r>
    </w:p>
    <w:p>
      <w:pPr>
        <w:spacing w:after="0" w:line="1" w:lineRule="exact"/>
        <w:rPr>
          <w:rFonts w:ascii="Arial" w:cs="Arial" w:eastAsia="Arial" w:hAnsi="Arial"/>
          <w:sz w:val="16"/>
          <w:szCs w:val="16"/>
          <w:b w:val="1"/>
          <w:bCs w:val="1"/>
          <w:color w:val="auto"/>
        </w:rPr>
      </w:pPr>
    </w:p>
    <w:p>
      <w:pPr>
        <w:ind w:left="4" w:hanging="4"/>
        <w:spacing w:after="0" w:line="260" w:lineRule="auto"/>
        <w:tabs>
          <w:tab w:leader="none" w:pos="25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amount of such recovery actually received by the Enforcing Party shall first be applied on a pro-rata basis to the out-of-pocket costs of each Party in connection with such action; and then (2) [***].</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8 REPRESENTATIONS, WARRANTIES AND COVENANTS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Section 8.1 Mutual Representations and Warranties. </w:t>
      </w:r>
      <w:r>
        <w:rPr>
          <w:rFonts w:ascii="Arial" w:cs="Arial" w:eastAsia="Arial" w:hAnsi="Arial"/>
          <w:sz w:val="16"/>
          <w:szCs w:val="16"/>
          <w:color w:val="auto"/>
        </w:rPr>
        <w:t>Each of Amgen and RBNC represents and warrants to the other Party that, as of the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Execution Date:</w:t>
      </w:r>
    </w:p>
    <w:p>
      <w:pPr>
        <w:spacing w:after="0" w:line="103" w:lineRule="exact"/>
        <w:rPr>
          <w:sz w:val="20"/>
          <w:szCs w:val="20"/>
          <w:color w:val="auto"/>
        </w:rPr>
      </w:pPr>
    </w:p>
    <w:p>
      <w:pPr>
        <w:ind w:left="4" w:right="160" w:firstLine="1428"/>
        <w:spacing w:after="0" w:line="277" w:lineRule="auto"/>
        <w:tabs>
          <w:tab w:leader="none" w:pos="1691"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it is duly incorporated and validly existing under the Laws of Delaware and has full corporate power and authority to enter into this Agreement and to carry out the provisions hereof;</w:t>
      </w:r>
    </w:p>
    <w:p>
      <w:pPr>
        <w:spacing w:after="0" w:line="62" w:lineRule="exact"/>
        <w:rPr>
          <w:rFonts w:ascii="Arial" w:cs="Arial" w:eastAsia="Arial" w:hAnsi="Arial"/>
          <w:sz w:val="18"/>
          <w:szCs w:val="18"/>
          <w:b w:val="1"/>
          <w:bCs w:val="1"/>
          <w:color w:val="auto"/>
        </w:rPr>
      </w:pPr>
    </w:p>
    <w:p>
      <w:pPr>
        <w:ind w:left="4" w:right="40" w:firstLine="1428"/>
        <w:spacing w:after="0" w:line="277" w:lineRule="auto"/>
        <w:tabs>
          <w:tab w:leader="none" w:pos="1701"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it is duly authorized to execute and deliver this Agreement and to perform its obligations hereunder, and the individual executing this Agreement on its behalf has been duly authorized to do so by all requisite corporate action; and</w:t>
      </w:r>
    </w:p>
    <w:p>
      <w:pPr>
        <w:spacing w:after="0" w:line="62" w:lineRule="exact"/>
        <w:rPr>
          <w:rFonts w:ascii="Arial" w:cs="Arial" w:eastAsia="Arial" w:hAnsi="Arial"/>
          <w:sz w:val="18"/>
          <w:szCs w:val="18"/>
          <w:b w:val="1"/>
          <w:bCs w:val="1"/>
          <w:color w:val="auto"/>
        </w:rPr>
      </w:pPr>
    </w:p>
    <w:p>
      <w:pPr>
        <w:ind w:left="4" w:right="80" w:firstLine="1428"/>
        <w:spacing w:after="0" w:line="259" w:lineRule="auto"/>
        <w:tabs>
          <w:tab w:leader="none" w:pos="1681"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this Agreement is legally binding upon it and enforceable in accordance with its terms and the execution, delivery and performance of this Agreement by it have been duly authorized by all necessary corporate action and do not and will not: (x) conflict with, or constitute a default under, any agreement, instrument or understanding, oral or written, to which it is a party or by which it may be bound, or violate any material applicable Law or (y) require any consent or approval of its stockholders or similar action.</w:t>
      </w:r>
    </w:p>
    <w:p>
      <w:pPr>
        <w:spacing w:after="0" w:line="183" w:lineRule="exact"/>
        <w:rPr>
          <w:sz w:val="20"/>
          <w:szCs w:val="20"/>
          <w:color w:val="auto"/>
        </w:rPr>
      </w:pPr>
    </w:p>
    <w:p>
      <w:pPr>
        <w:jc w:val="center"/>
        <w:ind w:right="-43"/>
        <w:spacing w:after="0"/>
        <w:rPr>
          <w:sz w:val="20"/>
          <w:szCs w:val="20"/>
          <w:color w:val="auto"/>
        </w:rPr>
      </w:pPr>
      <w:r>
        <w:rPr>
          <w:rFonts w:ascii="Arial" w:cs="Arial" w:eastAsia="Arial" w:hAnsi="Arial"/>
          <w:sz w:val="17"/>
          <w:szCs w:val="17"/>
          <w:b w:val="1"/>
          <w:bCs w:val="1"/>
          <w:color w:val="auto"/>
        </w:rPr>
        <w:t xml:space="preserve">Section 8.2 Additional Amgen Representations and Warranties . </w:t>
      </w:r>
      <w:r>
        <w:rPr>
          <w:rFonts w:ascii="Arial" w:cs="Arial" w:eastAsia="Arial" w:hAnsi="Arial"/>
          <w:sz w:val="17"/>
          <w:szCs w:val="17"/>
          <w:color w:val="auto"/>
        </w:rPr>
        <w:t>Amgen represents and warrants to RBNC that, as of the Execution Date:</w:t>
      </w:r>
    </w:p>
    <w:p>
      <w:pPr>
        <w:spacing w:after="0" w:line="17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004"/>
          </w:cols>
          <w:pgMar w:left="436" w:top="274" w:right="459" w:bottom="1440" w:gutter="0" w:footer="0" w:header="0"/>
        </w:sectPr>
      </w:pPr>
    </w:p>
    <w:bookmarkStart w:id="333" w:name="page334"/>
    <w:bookmarkEnd w:id="333"/>
    <w:p>
      <w:pPr>
        <w:ind w:firstLine="1428"/>
        <w:spacing w:after="0" w:line="255" w:lineRule="auto"/>
        <w:tabs>
          <w:tab w:leader="none" w:pos="1687"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Amgen does not have knowledge that any applicable Law, including applicable privacy and data protection Laws, or any consents it has obtained in relation to databases that will be used in performing Amgen’s Collaboration Activities, prevents it from fulfilling its obligations under this Agreement, and, to Amgen’s knowledge, Amgen has the rights, including through representations from Third Party database holders and collaborators that all necessary consents have been obtained, where applicable, to use the results of database analyses, and to grant RBNC such rights to use the results of database analyses, as contemplated by this Agreement and without causing RBNC to incur obligations to any Third Party as a result of RBNC’s practice of such rights;</w:t>
      </w:r>
    </w:p>
    <w:p>
      <w:pPr>
        <w:spacing w:after="0" w:line="84" w:lineRule="exact"/>
        <w:rPr>
          <w:rFonts w:ascii="Arial" w:cs="Arial" w:eastAsia="Arial" w:hAnsi="Arial"/>
          <w:sz w:val="18"/>
          <w:szCs w:val="18"/>
          <w:b w:val="1"/>
          <w:bCs w:val="1"/>
          <w:color w:val="auto"/>
        </w:rPr>
      </w:pPr>
    </w:p>
    <w:p>
      <w:pPr>
        <w:ind w:right="120" w:firstLine="1428"/>
        <w:spacing w:after="0" w:line="259" w:lineRule="auto"/>
        <w:tabs>
          <w:tab w:leader="none" w:pos="1697"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Amgen has the rights necessary to grant the licenses to RBNC under the Amgen Collaboration IP that Amgen purports to grant pursuant to this Agreement, and there are no agreements or arrangements to which Amgen or any of its Affiliates is a party relating to Amgen Collaboration IP that would restrict or result in a restriction on RBNC’s ability to Exploit Collaboration Derived Products in the CNS Field worldwide; and</w:t>
      </w:r>
    </w:p>
    <w:p>
      <w:pPr>
        <w:spacing w:after="0" w:line="78" w:lineRule="exact"/>
        <w:rPr>
          <w:rFonts w:ascii="Arial" w:cs="Arial" w:eastAsia="Arial" w:hAnsi="Arial"/>
          <w:sz w:val="18"/>
          <w:szCs w:val="18"/>
          <w:b w:val="1"/>
          <w:bCs w:val="1"/>
          <w:color w:val="auto"/>
        </w:rPr>
      </w:pPr>
    </w:p>
    <w:p>
      <w:pPr>
        <w:ind w:right="140" w:firstLine="1428"/>
        <w:spacing w:after="0" w:line="263" w:lineRule="auto"/>
        <w:tabs>
          <w:tab w:leader="none" w:pos="1677"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Amgen does not have knowledge that the use of any Amgen Platform Technology and the databases available to Amgen and its Affiliates to conduct the Collaboration Activities, as contemplated under this Agreement, infringes or will infringe any Patent Rights of any Person or misappropriates any Know-How of any Person.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Section 8.3 Additional Mutual Representations, Warranties and Covenants. </w:t>
      </w:r>
      <w:r>
        <w:rPr>
          <w:rFonts w:ascii="Arial" w:cs="Arial" w:eastAsia="Arial" w:hAnsi="Arial"/>
          <w:sz w:val="16"/>
          <w:szCs w:val="16"/>
          <w:color w:val="auto"/>
        </w:rPr>
        <w:t>Each of Amgen and RBNC represents and warrants as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Execution Date and covenants during the Term, as applicable, to the other Party that:</w:t>
      </w:r>
    </w:p>
    <w:p>
      <w:pPr>
        <w:spacing w:after="0" w:line="103" w:lineRule="exact"/>
        <w:rPr>
          <w:sz w:val="20"/>
          <w:szCs w:val="20"/>
          <w:color w:val="auto"/>
        </w:rPr>
      </w:pPr>
    </w:p>
    <w:p>
      <w:pPr>
        <w:ind w:right="100" w:firstLine="1428"/>
        <w:spacing w:after="0" w:line="255" w:lineRule="auto"/>
        <w:tabs>
          <w:tab w:leader="none" w:pos="1687"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with respect to any Personal Information disclosed to the other Party and its Affiliates, it has complied and will comply with all applicable Law, applicable contractual obligations, and published or posted company policies, notices and disclosures, in each case, governing the collection, sharing, processing, use, safeguarding, transmission and destruction of Personal Information, and it has not received any written notice or claim alleging a breach or violation of the same. Without limiting the generality of foregoing, it shall ensure that it has the requisite rights, including, as applicable, any required consents and authorizations necessary to disclose Personal Information to the other Party in connection with its obligation hereunder and for the purpose contemplated under this Agreement; and</w:t>
      </w:r>
    </w:p>
    <w:p>
      <w:pPr>
        <w:spacing w:after="0" w:line="84" w:lineRule="exact"/>
        <w:rPr>
          <w:rFonts w:ascii="Arial" w:cs="Arial" w:eastAsia="Arial" w:hAnsi="Arial"/>
          <w:sz w:val="18"/>
          <w:szCs w:val="18"/>
          <w:b w:val="1"/>
          <w:bCs w:val="1"/>
          <w:color w:val="auto"/>
        </w:rPr>
      </w:pPr>
    </w:p>
    <w:p>
      <w:pPr>
        <w:ind w:right="40" w:firstLine="1428"/>
        <w:spacing w:after="0" w:line="254" w:lineRule="auto"/>
        <w:tabs>
          <w:tab w:leader="none" w:pos="1697"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(1) it and, to its knowledge, its owners, directors, officers, employees, or any agent, representative, subcontractor or other Third Party acting for or on its behalf (collectively, “</w:t>
      </w:r>
      <w:r>
        <w:rPr>
          <w:rFonts w:ascii="Arial" w:cs="Arial" w:eastAsia="Arial" w:hAnsi="Arial"/>
          <w:sz w:val="18"/>
          <w:szCs w:val="18"/>
          <w:b w:val="1"/>
          <w:bCs w:val="1"/>
          <w:color w:val="auto"/>
        </w:rPr>
        <w:t>Representatives</w:t>
      </w:r>
      <w:r>
        <w:rPr>
          <w:rFonts w:ascii="Arial" w:cs="Arial" w:eastAsia="Arial" w:hAnsi="Arial"/>
          <w:sz w:val="18"/>
          <w:szCs w:val="18"/>
          <w:color w:val="auto"/>
        </w:rPr>
        <w:t>”), shall not, directly or indirectly, offer, pay, promise to pay, or authorize such offer, promise or payment, of anything of value, to any Person for the purposes of obtaining or retaining business or any improper advantage in connection with this Agreement, or that would otherwise violate any applicable Laws, rules and regulations concerning or relating to public or commercial bribery or corruption (“</w:t>
      </w:r>
      <w:r>
        <w:rPr>
          <w:rFonts w:ascii="Arial" w:cs="Arial" w:eastAsia="Arial" w:hAnsi="Arial"/>
          <w:sz w:val="18"/>
          <w:szCs w:val="18"/>
          <w:b w:val="1"/>
          <w:bCs w:val="1"/>
          <w:color w:val="auto"/>
        </w:rPr>
        <w:t>Anti-Corruption Laws</w:t>
      </w:r>
      <w:r>
        <w:rPr>
          <w:rFonts w:ascii="Arial" w:cs="Arial" w:eastAsia="Arial" w:hAnsi="Arial"/>
          <w:sz w:val="18"/>
          <w:szCs w:val="18"/>
          <w:color w:val="auto"/>
        </w:rPr>
        <w:t>”), (2) its books, accounts, records and invoices related to this Agreement are and will be complete and accurate, and (3) the other Party may terminate this Agreement if it or its Representatives fails to comply with the Anti-Corruption Laws or with this provision, which shall be considered a material breach of this Agreement giving rise to termination rights in accordance with Section 12.2.1 or Section 12.3.1, as applicable.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8.4 Additional Mutual Covenants</w:t>
      </w:r>
      <w:r>
        <w:rPr>
          <w:rFonts w:ascii="Arial" w:cs="Arial" w:eastAsia="Arial" w:hAnsi="Arial"/>
          <w:sz w:val="18"/>
          <w:szCs w:val="18"/>
          <w:color w:val="auto"/>
        </w:rPr>
        <w:t>.</w:t>
      </w:r>
    </w:p>
    <w:p>
      <w:pPr>
        <w:spacing w:after="0" w:line="117" w:lineRule="exact"/>
        <w:rPr>
          <w:sz w:val="20"/>
          <w:szCs w:val="20"/>
          <w:color w:val="auto"/>
        </w:rPr>
      </w:pPr>
    </w:p>
    <w:p>
      <w:pPr>
        <w:ind w:right="200" w:firstLine="1428"/>
        <w:spacing w:after="0" w:line="261" w:lineRule="auto"/>
        <w:tabs>
          <w:tab w:leader="none" w:pos="1687"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Employees, Consultants and Contractors. </w:t>
      </w:r>
      <w:r>
        <w:rPr>
          <w:rFonts w:ascii="Arial" w:cs="Arial" w:eastAsia="Arial" w:hAnsi="Arial"/>
          <w:sz w:val="18"/>
          <w:szCs w:val="18"/>
          <w:color w:val="auto"/>
        </w:rPr>
        <w:t>Each Party covenants that it has obtained or will obtain written agreements from</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employees, consultants and contractors who perform research or development activities pursuant to this Agreement, which agreements will obligate such persons to obligations of confidentiality and non-use and to assign inventions in a manner consistent with the provisions of this Agreement.</w:t>
      </w:r>
    </w:p>
    <w:p>
      <w:pPr>
        <w:spacing w:after="0" w:line="116" w:lineRule="exact"/>
        <w:rPr>
          <w:rFonts w:ascii="Arial" w:cs="Arial" w:eastAsia="Arial" w:hAnsi="Arial"/>
          <w:sz w:val="18"/>
          <w:szCs w:val="18"/>
          <w:b w:val="1"/>
          <w:bCs w:val="1"/>
          <w:color w:val="auto"/>
        </w:rPr>
      </w:pPr>
    </w:p>
    <w:p>
      <w:pPr>
        <w:ind w:left="5420" w:hanging="111"/>
        <w:spacing w:after="0"/>
        <w:tabs>
          <w:tab w:leader="none" w:pos="54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00"/>
          </w:cols>
          <w:pgMar w:left="440" w:top="274" w:right="459" w:bottom="1440" w:gutter="0" w:footer="0" w:header="0"/>
        </w:sectPr>
      </w:pPr>
    </w:p>
    <w:bookmarkStart w:id="334" w:name="page335"/>
    <w:bookmarkEnd w:id="334"/>
    <w:p>
      <w:pPr>
        <w:ind w:right="220" w:firstLine="1428"/>
        <w:spacing w:after="0" w:line="293" w:lineRule="auto"/>
        <w:tabs>
          <w:tab w:leader="none" w:pos="1697" w:val="left"/>
        </w:tabs>
        <w:numPr>
          <w:ilvl w:val="1"/>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Debarment. </w:t>
      </w:r>
      <w:r>
        <w:rPr>
          <w:rFonts w:ascii="Arial" w:cs="Arial" w:eastAsia="Arial" w:hAnsi="Arial"/>
          <w:sz w:val="16"/>
          <w:szCs w:val="16"/>
          <w:color w:val="auto"/>
        </w:rPr>
        <w:t>Each Party represents, warrants and covenants to the other Party that it is not debarred, excluded, disqualified, or</w:t>
      </w:r>
      <w:r>
        <w:rPr>
          <w:rFonts w:ascii="Arial" w:cs="Arial" w:eastAsia="Arial" w:hAnsi="Arial"/>
          <w:sz w:val="16"/>
          <w:szCs w:val="16"/>
          <w:b w:val="1"/>
          <w:bCs w:val="1"/>
          <w:color w:val="auto"/>
        </w:rPr>
        <w:t xml:space="preserve"> </w:t>
      </w:r>
      <w:r>
        <w:rPr>
          <w:rFonts w:ascii="Arial" w:cs="Arial" w:eastAsia="Arial" w:hAnsi="Arial"/>
          <w:sz w:val="16"/>
          <w:szCs w:val="16"/>
          <w:color w:val="auto"/>
        </w:rPr>
        <w:t>the subject of debarment, exclusion or disqualification proceedings under United States Law, including under 21 U.S.C. § 335a and 42 U.S.C. §</w:t>
      </w:r>
    </w:p>
    <w:p>
      <w:pPr>
        <w:spacing w:after="0" w:line="1" w:lineRule="exact"/>
        <w:rPr>
          <w:rFonts w:ascii="Arial" w:cs="Arial" w:eastAsia="Arial" w:hAnsi="Arial"/>
          <w:sz w:val="16"/>
          <w:szCs w:val="16"/>
          <w:b w:val="1"/>
          <w:bCs w:val="1"/>
          <w:color w:val="auto"/>
        </w:rPr>
      </w:pPr>
    </w:p>
    <w:p>
      <w:pPr>
        <w:ind w:right="12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1320a-7(a), or any foreign equivalent thereof and, to its knowledge, does not, and will not during the Term knowingly, employ or use, directly or indirectly, including through Affiliates or Sublicensees, the services of any Person who is debarred, excluded, disqualified, or the subject of debarment, exclusion or disqualification proceedings in connection with activities relating to any Collaboration Derived Product. In the event that either Party becomes aware of the debarment, exclusion or disqualification or threatened debarment, exclusion or disqualification of any Person providing services to such Party, directly or indirectly, including through Affiliates or Sublicensees, which directly or indirectly relate to activities contemplated by this Agreement, such Party shall promptly notify the other Party in writing and such Party shall cease employing, contracting with, or retaining any such Person to perform any such services.</w:t>
      </w:r>
    </w:p>
    <w:p>
      <w:pPr>
        <w:spacing w:after="0" w:line="80" w:lineRule="exact"/>
        <w:rPr>
          <w:rFonts w:ascii="Arial" w:cs="Arial" w:eastAsia="Arial" w:hAnsi="Arial"/>
          <w:sz w:val="16"/>
          <w:szCs w:val="16"/>
          <w:b w:val="1"/>
          <w:bCs w:val="1"/>
          <w:color w:val="auto"/>
        </w:rPr>
      </w:pPr>
    </w:p>
    <w:p>
      <w:pPr>
        <w:ind w:right="40" w:firstLine="1428"/>
        <w:spacing w:after="0" w:line="347" w:lineRule="auto"/>
        <w:tabs>
          <w:tab w:leader="none" w:pos="1677" w:val="left"/>
        </w:tabs>
        <w:numPr>
          <w:ilvl w:val="1"/>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t>
      </w:r>
      <w:r>
        <w:rPr>
          <w:rFonts w:ascii="Arial" w:cs="Arial" w:eastAsia="Arial" w:hAnsi="Arial"/>
          <w:sz w:val="16"/>
          <w:szCs w:val="16"/>
          <w:color w:val="auto"/>
        </w:rPr>
        <w:t>Each Party agrees, on behalf of itself and its officers, directors, employees, Affiliates and agents, that,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matters that are the subject of this Agreement, and the performance of its obligations hereunder, it will comply with applicable Law.</w:t>
      </w:r>
    </w:p>
    <w:p>
      <w:pPr>
        <w:spacing w:after="0" w:line="7" w:lineRule="exact"/>
        <w:rPr>
          <w:rFonts w:ascii="Arial" w:cs="Arial" w:eastAsia="Arial" w:hAnsi="Arial"/>
          <w:sz w:val="16"/>
          <w:szCs w:val="16"/>
          <w:b w:val="1"/>
          <w:bCs w:val="1"/>
          <w:color w:val="auto"/>
        </w:rPr>
      </w:pPr>
    </w:p>
    <w:p>
      <w:pPr>
        <w:ind w:firstLine="1428"/>
        <w:spacing w:after="0" w:line="254" w:lineRule="auto"/>
        <w:tabs>
          <w:tab w:leader="none" w:pos="1697" w:val="left"/>
        </w:tabs>
        <w:numPr>
          <w:ilvl w:val="1"/>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 and Privacy</w:t>
      </w:r>
      <w:r>
        <w:rPr>
          <w:rFonts w:ascii="Arial" w:cs="Arial" w:eastAsia="Arial" w:hAnsi="Arial"/>
          <w:sz w:val="18"/>
          <w:szCs w:val="18"/>
          <w:color w:val="auto"/>
        </w:rPr>
        <w:t>. Without limiting each Party’s respective obligations elsewhere in the Agreement, each Party,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agrees that where a Party determines the purpose and means of processing Personal Information, such Party is: (a) acting as a “controller” (as defined under applicable Law) of such information, and (b) shall comply with all applicable Law (inclusive of data privacy and protection laws) applicable to a controller, which shall include employing and maintaining appropriate Security (as defined below) to protect such information. “Security” means technological, physical and administrative controls, including policies, procedures, organizational structures, hardware and software functions, as well as physical security measures, the purpose of which is, in whole or part, to ensure the confidentiality, integrity or availability of Personal Information. If, and only to the extent, a Party or its Affiliate is deemed as “processor” (as defined under applicable Law) of the other Party’s Personal Information, such processing Party shall:</w:t>
      </w:r>
    </w:p>
    <w:p>
      <w:pPr>
        <w:spacing w:after="0" w:line="87" w:lineRule="exact"/>
        <w:rPr>
          <w:rFonts w:ascii="Arial" w:cs="Arial" w:eastAsia="Arial" w:hAnsi="Arial"/>
          <w:sz w:val="18"/>
          <w:szCs w:val="18"/>
          <w:b w:val="1"/>
          <w:bCs w:val="1"/>
          <w:color w:val="auto"/>
        </w:rPr>
      </w:pPr>
    </w:p>
    <w:p>
      <w:pPr>
        <w:ind w:left="980" w:firstLine="7"/>
        <w:spacing w:after="0" w:line="259" w:lineRule="auto"/>
        <w:tabs>
          <w:tab w:leader="none" w:pos="1195"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process the Personal Information only on documented instructions from the controller and in accordance with applicable Law, including with regard to transfers of Personal Information to a third country or an international organization, unless required to do so by Law to which the processor is subject; in such a case, the processor shall inform the controller of that legal requirement before processing, unless that law prohibits such information on important grounds of public interest;</w:t>
      </w:r>
    </w:p>
    <w:p>
      <w:pPr>
        <w:spacing w:after="0" w:line="78" w:lineRule="exact"/>
        <w:rPr>
          <w:rFonts w:ascii="Arial" w:cs="Arial" w:eastAsia="Arial" w:hAnsi="Arial"/>
          <w:sz w:val="18"/>
          <w:szCs w:val="18"/>
          <w:b w:val="1"/>
          <w:bCs w:val="1"/>
          <w:color w:val="auto"/>
        </w:rPr>
      </w:pPr>
    </w:p>
    <w:p>
      <w:pPr>
        <w:ind w:left="980" w:right="500" w:firstLine="7"/>
        <w:spacing w:after="0" w:line="277" w:lineRule="auto"/>
        <w:tabs>
          <w:tab w:leader="none" w:pos="1245"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ensure that persons authorized to process the Personal Information have committed themselves to confidentiality or are under an appropriate statutory obligation of confidentiality;</w:t>
      </w:r>
    </w:p>
    <w:p>
      <w:pPr>
        <w:spacing w:after="0" w:line="62" w:lineRule="exact"/>
        <w:rPr>
          <w:rFonts w:ascii="Arial" w:cs="Arial" w:eastAsia="Arial" w:hAnsi="Arial"/>
          <w:sz w:val="18"/>
          <w:szCs w:val="18"/>
          <w:b w:val="1"/>
          <w:bCs w:val="1"/>
          <w:color w:val="auto"/>
        </w:rPr>
      </w:pPr>
    </w:p>
    <w:p>
      <w:pPr>
        <w:jc w:val="both"/>
        <w:ind w:left="980" w:right="160" w:firstLine="7"/>
        <w:spacing w:after="0" w:line="286" w:lineRule="auto"/>
        <w:tabs>
          <w:tab w:leader="none" w:pos="1295" w:val="left"/>
        </w:tabs>
        <w:numPr>
          <w:ilvl w:val="0"/>
          <w:numId w:val="205"/>
        </w:numPr>
        <w:rPr>
          <w:rFonts w:ascii="Arial" w:cs="Arial" w:eastAsia="Arial" w:hAnsi="Arial"/>
          <w:sz w:val="17"/>
          <w:szCs w:val="17"/>
          <w:b w:val="1"/>
          <w:bCs w:val="1"/>
          <w:color w:val="auto"/>
        </w:rPr>
      </w:pPr>
      <w:r>
        <w:rPr>
          <w:rFonts w:ascii="Arial" w:cs="Arial" w:eastAsia="Arial" w:hAnsi="Arial"/>
          <w:sz w:val="17"/>
          <w:szCs w:val="17"/>
          <w:color w:val="auto"/>
        </w:rPr>
        <w:t>without limiting obligation elsewhere under the Agreement, ensure that Security is implemented, maintained and enforced to protect Personal Information from a breach of security leading to the accidental or unlawful destruction, loss, alteration, unauthorized disclosure of, or access to, Personal Information transmitted, stored or otherwise processed (“Privacy Incident”);</w:t>
      </w:r>
    </w:p>
    <w:p>
      <w:pPr>
        <w:spacing w:after="0" w:line="97" w:lineRule="exact"/>
        <w:rPr>
          <w:rFonts w:ascii="Arial" w:cs="Arial" w:eastAsia="Arial" w:hAnsi="Arial"/>
          <w:sz w:val="17"/>
          <w:szCs w:val="17"/>
          <w:b w:val="1"/>
          <w:bCs w:val="1"/>
          <w:color w:val="auto"/>
        </w:rPr>
      </w:pPr>
    </w:p>
    <w:p>
      <w:pPr>
        <w:ind w:left="5420" w:hanging="111"/>
        <w:spacing w:after="0"/>
        <w:tabs>
          <w:tab w:leader="none" w:pos="542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000"/>
          </w:cols>
          <w:pgMar w:left="440" w:top="270" w:right="459" w:bottom="1440" w:gutter="0" w:footer="0" w:header="0"/>
        </w:sectPr>
      </w:pPr>
    </w:p>
    <w:bookmarkStart w:id="335" w:name="page336"/>
    <w:bookmarkEnd w:id="335"/>
    <w:p>
      <w:pPr>
        <w:ind w:left="1300" w:hanging="313"/>
        <w:spacing w:after="0"/>
        <w:tabs>
          <w:tab w:leader="none" w:pos="1300"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notify (but in no event later than [***]) controller after discovering or becoming aware of a Privacy Incident;</w:t>
      </w:r>
    </w:p>
    <w:p>
      <w:pPr>
        <w:spacing w:after="0" w:line="117" w:lineRule="exact"/>
        <w:rPr>
          <w:rFonts w:ascii="Arial" w:cs="Arial" w:eastAsia="Arial" w:hAnsi="Arial"/>
          <w:sz w:val="18"/>
          <w:szCs w:val="18"/>
          <w:b w:val="1"/>
          <w:bCs w:val="1"/>
          <w:color w:val="auto"/>
        </w:rPr>
      </w:pPr>
    </w:p>
    <w:p>
      <w:pPr>
        <w:ind w:left="980" w:firstLine="7"/>
        <w:spacing w:after="0" w:line="277" w:lineRule="auto"/>
        <w:tabs>
          <w:tab w:leader="none" w:pos="1235"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ensure that its processing activities under the Agreement are not subcontracted to another processor without the prior written consent of controller;</w:t>
      </w:r>
    </w:p>
    <w:p>
      <w:pPr>
        <w:spacing w:after="0" w:line="62" w:lineRule="exact"/>
        <w:rPr>
          <w:rFonts w:ascii="Arial" w:cs="Arial" w:eastAsia="Arial" w:hAnsi="Arial"/>
          <w:sz w:val="18"/>
          <w:szCs w:val="18"/>
          <w:b w:val="1"/>
          <w:bCs w:val="1"/>
          <w:color w:val="auto"/>
        </w:rPr>
      </w:pPr>
    </w:p>
    <w:p>
      <w:pPr>
        <w:ind w:left="980" w:right="280" w:firstLine="7"/>
        <w:spacing w:after="0" w:line="263" w:lineRule="auto"/>
        <w:tabs>
          <w:tab w:leader="none" w:pos="1285"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taking into account the nature of the processing, reasonably assist the controller by implementing appropriate technical and organizational measures, insofar as this is possible, for the fulfilment of the controller’s obligation to respond to subject access requests exercised under applicable Law;</w:t>
      </w:r>
    </w:p>
    <w:p>
      <w:pPr>
        <w:spacing w:after="0" w:line="75" w:lineRule="exact"/>
        <w:rPr>
          <w:rFonts w:ascii="Arial" w:cs="Arial" w:eastAsia="Arial" w:hAnsi="Arial"/>
          <w:sz w:val="18"/>
          <w:szCs w:val="18"/>
          <w:b w:val="1"/>
          <w:bCs w:val="1"/>
          <w:color w:val="auto"/>
        </w:rPr>
      </w:pPr>
    </w:p>
    <w:p>
      <w:pPr>
        <w:ind w:left="980" w:right="20" w:firstLine="7"/>
        <w:spacing w:after="0" w:line="257" w:lineRule="auto"/>
        <w:tabs>
          <w:tab w:leader="none" w:pos="1335"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cooperate with controller’s requests for information reasonably necessary to: (a) demonstrate processor’s compliance with the requirements set forth in this Agreement, (b) support controller’s cooperation or consultations with, or responses to any inquiries, requests, or demands (including, but not limited to any subpoena or other discovery requests, or court order) of, any governmental authorities including without limitation a national data protection authority, and (c) support controller in conducting a privacy impact assessment of the processing activities subject to this Agreement;</w:t>
      </w:r>
    </w:p>
    <w:p>
      <w:pPr>
        <w:spacing w:after="0" w:line="79" w:lineRule="exact"/>
        <w:rPr>
          <w:rFonts w:ascii="Arial" w:cs="Arial" w:eastAsia="Arial" w:hAnsi="Arial"/>
          <w:sz w:val="18"/>
          <w:szCs w:val="18"/>
          <w:b w:val="1"/>
          <w:bCs w:val="1"/>
          <w:color w:val="auto"/>
        </w:rPr>
      </w:pPr>
    </w:p>
    <w:p>
      <w:pPr>
        <w:ind w:left="980" w:right="180" w:firstLine="7"/>
        <w:spacing w:after="0" w:line="277" w:lineRule="auto"/>
        <w:tabs>
          <w:tab w:leader="none" w:pos="1385"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allow for and contribute to audits, including inspections, conducted by the controller or another auditor mandated by the controller, provided that such audits are not conducted more than once per [***] period; and</w:t>
      </w:r>
    </w:p>
    <w:p>
      <w:pPr>
        <w:spacing w:after="0" w:line="62" w:lineRule="exact"/>
        <w:rPr>
          <w:rFonts w:ascii="Arial" w:cs="Arial" w:eastAsia="Arial" w:hAnsi="Arial"/>
          <w:sz w:val="18"/>
          <w:szCs w:val="18"/>
          <w:b w:val="1"/>
          <w:bCs w:val="1"/>
          <w:color w:val="auto"/>
        </w:rPr>
      </w:pPr>
    </w:p>
    <w:p>
      <w:pPr>
        <w:ind w:left="980" w:right="200" w:firstLine="7"/>
        <w:spacing w:after="0" w:line="311" w:lineRule="auto"/>
        <w:tabs>
          <w:tab w:leader="none" w:pos="1285" w:val="left"/>
        </w:tabs>
        <w:numPr>
          <w:ilvl w:val="0"/>
          <w:numId w:val="206"/>
        </w:numPr>
        <w:rPr>
          <w:rFonts w:ascii="Arial" w:cs="Arial" w:eastAsia="Arial" w:hAnsi="Arial"/>
          <w:sz w:val="16"/>
          <w:szCs w:val="16"/>
          <w:b w:val="1"/>
          <w:bCs w:val="1"/>
          <w:color w:val="auto"/>
        </w:rPr>
      </w:pPr>
      <w:r>
        <w:rPr>
          <w:rFonts w:ascii="Arial" w:cs="Arial" w:eastAsia="Arial" w:hAnsi="Arial"/>
          <w:sz w:val="16"/>
          <w:szCs w:val="16"/>
          <w:color w:val="auto"/>
        </w:rPr>
        <w:t>upon controller’s written request, either delete or return all Personal Information to the controller after the end of the provision of activities relating to processing, and delete existing copies unless the processor is required to retain such information in accordance with applicable Law (in which case processor shall continue to protect such information consistent with the terms of this Agreement).</w:t>
      </w:r>
    </w:p>
    <w:p>
      <w:pPr>
        <w:spacing w:after="0" w:line="14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b w:val="1"/>
          <w:bCs w:val="1"/>
          <w:color w:val="auto"/>
        </w:rPr>
        <w:t xml:space="preserve">Section 8.5 Disclaimer. </w:t>
      </w:r>
      <w:r>
        <w:rPr>
          <w:rFonts w:ascii="Arial" w:cs="Arial" w:eastAsia="Arial" w:hAnsi="Arial"/>
          <w:sz w:val="18"/>
          <w:szCs w:val="18"/>
          <w:color w:val="auto"/>
        </w:rPr>
        <w:t>EXCEPT AS OTHERWISE EXPRESSLY SET FORTH IN THIS ARTICLE 8, NEITHER PARTY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OR EXTENDS ANY WARRANTIES OF ANY KIND, EITHER EXPRESS OR IMPLIED, INCLUDING WARRANTIES OF MERCHANTABILITY, QUALITY, FITNESS FOR A PARTICULAR PURPOSE, NONINFRINGEMENT, OR VALIDITY OF PATENT CLAIMS. NOTHING IN THIS AGREEMENT SHALL BE CONSTRUED AS A REPRESENTATION MADE OR WARRANTY GIVEN BY EITHER PARTY THAT EITHER PARTY WILL BE SUCCESSFUL IN CONDUCTING THE COLLABORATION ACTIVITIES, OBTAINING ANY RESULTS OR PATENT RIGHTS, OR THAT ANY PATENT RIGHTS WILL ISSUE BASED ON A PENDING APPLICATION. WITHOUT LIMITING THE RESPECTIVE RIGHTS AND OBLIGATIONS OF THE PARTIES EXPRESSLY SET FORTH HEREIN, EACH PARTY SPECIFICALLY DISCLAIMS ANY GUARANTEE THAT THE COLLABORATION ACTIVITIES OR ANY COLLABORATION DERIVED PRODUCTS WILL BE SUCCESSFUL, IN WHOLE OR IN PART.</w:t>
      </w:r>
    </w:p>
    <w:p>
      <w:pPr>
        <w:spacing w:after="0" w:line="188" w:lineRule="exact"/>
        <w:rPr>
          <w:sz w:val="20"/>
          <w:szCs w:val="20"/>
          <w:color w:val="auto"/>
        </w:rPr>
      </w:pPr>
    </w:p>
    <w:p>
      <w:pPr>
        <w:jc w:val="center"/>
        <w:ind w:right="220"/>
        <w:spacing w:after="0" w:line="454" w:lineRule="auto"/>
        <w:rPr>
          <w:sz w:val="20"/>
          <w:szCs w:val="20"/>
          <w:color w:val="auto"/>
        </w:rPr>
      </w:pPr>
      <w:r>
        <w:rPr>
          <w:rFonts w:ascii="Arial" w:cs="Arial" w:eastAsia="Arial" w:hAnsi="Arial"/>
          <w:sz w:val="18"/>
          <w:szCs w:val="18"/>
          <w:b w:val="1"/>
          <w:bCs w:val="1"/>
          <w:color w:val="auto"/>
        </w:rPr>
        <w:t>Section 8.6 Information Security</w:t>
      </w:r>
      <w:r>
        <w:rPr>
          <w:rFonts w:ascii="Arial" w:cs="Arial" w:eastAsia="Arial" w:hAnsi="Arial"/>
          <w:sz w:val="18"/>
          <w:szCs w:val="18"/>
          <w:color w:val="auto"/>
        </w:rPr>
        <w:t>. RBNC agrees to comply with the Information Security Requirements Schedule attached as 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- 29 -</w:t>
      </w:r>
    </w:p>
    <w:p>
      <w:pPr>
        <w:sectPr>
          <w:pgSz w:w="11900" w:h="16838" w:orient="portrait"/>
          <w:cols w:equalWidth="0" w:num="1">
            <w:col w:w="11000"/>
          </w:cols>
          <w:pgMar w:left="440" w:top="274" w:right="459" w:bottom="1440" w:gutter="0" w:footer="0" w:header="0"/>
        </w:sectPr>
      </w:pPr>
    </w:p>
    <w:bookmarkStart w:id="336" w:name="page337"/>
    <w:bookmarkEnd w:id="33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9 INDEMNIFICATION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9.1 Indemnity.</w:t>
      </w:r>
    </w:p>
    <w:p>
      <w:pPr>
        <w:spacing w:after="0" w:line="117" w:lineRule="exact"/>
        <w:rPr>
          <w:sz w:val="20"/>
          <w:szCs w:val="20"/>
          <w:color w:val="auto"/>
        </w:rPr>
      </w:pPr>
    </w:p>
    <w:p>
      <w:pPr>
        <w:ind w:left="4" w:right="20" w:firstLine="991"/>
        <w:spacing w:after="0" w:line="272" w:lineRule="auto"/>
        <w:rPr>
          <w:sz w:val="20"/>
          <w:szCs w:val="20"/>
          <w:color w:val="auto"/>
        </w:rPr>
      </w:pPr>
      <w:r>
        <w:rPr>
          <w:rFonts w:ascii="Arial" w:cs="Arial" w:eastAsia="Arial" w:hAnsi="Arial"/>
          <w:sz w:val="17"/>
          <w:szCs w:val="17"/>
          <w:b w:val="1"/>
          <w:bCs w:val="1"/>
          <w:color w:val="auto"/>
        </w:rPr>
        <w:t>9.1.1 By Amgen</w:t>
      </w:r>
      <w:r>
        <w:rPr>
          <w:rFonts w:ascii="Arial" w:cs="Arial" w:eastAsia="Arial" w:hAnsi="Arial"/>
          <w:sz w:val="17"/>
          <w:szCs w:val="17"/>
          <w:color w:val="auto"/>
        </w:rPr>
        <w:t>. Amgen agrees to defend RBNC, its Affiliates, and each of their respective directors, officers, employees and agents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RBNC Indemnified Parties</w:t>
      </w:r>
      <w:r>
        <w:rPr>
          <w:rFonts w:ascii="Arial" w:cs="Arial" w:eastAsia="Arial" w:hAnsi="Arial"/>
          <w:sz w:val="17"/>
          <w:szCs w:val="17"/>
          <w:color w:val="auto"/>
        </w:rPr>
        <w:t>”), at Amgen’s cost and expense, and will indemnify and hold RBNC and the other RBNC Indemnified Parties harmless from and against any claims, losses, costs, damages, fees or expenses (including reasonable legal fees and expenses) (collectively, “</w:t>
      </w:r>
      <w:r>
        <w:rPr>
          <w:rFonts w:ascii="Arial" w:cs="Arial" w:eastAsia="Arial" w:hAnsi="Arial"/>
          <w:sz w:val="17"/>
          <w:szCs w:val="17"/>
          <w:b w:val="1"/>
          <w:bCs w:val="1"/>
          <w:color w:val="auto"/>
        </w:rPr>
        <w:t>Losses</w:t>
      </w:r>
      <w:r>
        <w:rPr>
          <w:rFonts w:ascii="Arial" w:cs="Arial" w:eastAsia="Arial" w:hAnsi="Arial"/>
          <w:sz w:val="17"/>
          <w:szCs w:val="17"/>
          <w:color w:val="auto"/>
        </w:rPr>
        <w:t>”) to the extent resulting from any claims, actions, suits or proceedings brought by a Third Party (including product liability claims) (a “</w:t>
      </w:r>
      <w:r>
        <w:rPr>
          <w:rFonts w:ascii="Arial" w:cs="Arial" w:eastAsia="Arial" w:hAnsi="Arial"/>
          <w:sz w:val="17"/>
          <w:szCs w:val="17"/>
          <w:b w:val="1"/>
          <w:bCs w:val="1"/>
          <w:color w:val="auto"/>
        </w:rPr>
        <w:t>Third Party Claim</w:t>
      </w:r>
      <w:r>
        <w:rPr>
          <w:rFonts w:ascii="Arial" w:cs="Arial" w:eastAsia="Arial" w:hAnsi="Arial"/>
          <w:sz w:val="17"/>
          <w:szCs w:val="17"/>
          <w:color w:val="auto"/>
        </w:rPr>
        <w:t>”) arising out of (a) the negligence or willful misconduct of Amgen or its Affiliates in connection with its activities under this Agreement; (b) the breach of this Agreement or the representations, warranties and covenants made hereunder by Amgen; (c) the breach by Amgen or its Affiliates of any agreement or arrangement with a subcontractor performing its obligations under this Agreement pursuant to Section 3.5; and (d) [***]; except, in each case, to the extent such Losses result from clause (a), (b), (c) or (d) of Section 9.1.2.</w:t>
      </w:r>
    </w:p>
    <w:p>
      <w:pPr>
        <w:spacing w:after="0" w:line="64" w:lineRule="exact"/>
        <w:rPr>
          <w:sz w:val="20"/>
          <w:szCs w:val="20"/>
          <w:color w:val="auto"/>
        </w:rPr>
      </w:pPr>
    </w:p>
    <w:p>
      <w:pPr>
        <w:ind w:left="4" w:right="20" w:firstLine="991"/>
        <w:spacing w:after="0" w:line="294" w:lineRule="auto"/>
        <w:rPr>
          <w:sz w:val="20"/>
          <w:szCs w:val="20"/>
          <w:color w:val="auto"/>
        </w:rPr>
      </w:pPr>
      <w:r>
        <w:rPr>
          <w:rFonts w:ascii="Arial" w:cs="Arial" w:eastAsia="Arial" w:hAnsi="Arial"/>
          <w:sz w:val="16"/>
          <w:szCs w:val="16"/>
          <w:b w:val="1"/>
          <w:bCs w:val="1"/>
          <w:color w:val="auto"/>
        </w:rPr>
        <w:t xml:space="preserve">9.1.2 By RBNC. </w:t>
      </w:r>
      <w:r>
        <w:rPr>
          <w:rFonts w:ascii="Arial" w:cs="Arial" w:eastAsia="Arial" w:hAnsi="Arial"/>
          <w:sz w:val="16"/>
          <w:szCs w:val="16"/>
          <w:color w:val="auto"/>
        </w:rPr>
        <w:t>RBNC agrees to defend Amgen, its Affiliates and their respective directors, officers, employees and agents (the “</w:t>
      </w:r>
      <w:r>
        <w:rPr>
          <w:rFonts w:ascii="Arial" w:cs="Arial" w:eastAsia="Arial" w:hAnsi="Arial"/>
          <w:sz w:val="16"/>
          <w:szCs w:val="16"/>
          <w:b w:val="1"/>
          <w:bCs w:val="1"/>
          <w:color w:val="auto"/>
        </w:rPr>
        <w:t>Amgen Indemnified Parties</w:t>
      </w:r>
      <w:r>
        <w:rPr>
          <w:rFonts w:ascii="Arial" w:cs="Arial" w:eastAsia="Arial" w:hAnsi="Arial"/>
          <w:sz w:val="16"/>
          <w:szCs w:val="16"/>
          <w:color w:val="auto"/>
        </w:rPr>
        <w:t>”), at RBNC’s cost and expense, and will indemnify and hold Amgen and the other Amgen Indemnified Parties harmless from and</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any Losses to the extent resulting from any Third Party Claims arising out of (a) the negligence or willful misconduct of RBNC or its Affiliates in connection with its activities under this Agreement; (b) the breach of this Agreement or the representations, warranties and covenants made hereunder by RBNC; (c) the breach by RBNC or its Affiliates of any agreement or arrangement with a subcontractor performing its obligations under this Agreement pursuant to Section 3.5; and (d) [***]; except, in each case, to the extent such Losses result from clause (a), (b), (c) or (d) of Section 9.1.1.</w:t>
      </w:r>
    </w:p>
    <w:p>
      <w:pPr>
        <w:spacing w:after="0" w:line="52"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b w:val="1"/>
          <w:bCs w:val="1"/>
          <w:color w:val="auto"/>
        </w:rPr>
        <w:t xml:space="preserve">9.1.3 Procedure. </w:t>
      </w:r>
      <w:r>
        <w:rPr>
          <w:rFonts w:ascii="Arial" w:cs="Arial" w:eastAsia="Arial" w:hAnsi="Arial"/>
          <w:sz w:val="16"/>
          <w:szCs w:val="16"/>
          <w:color w:val="auto"/>
        </w:rPr>
        <w:t>The foregoing indemnity obligations shall be conditioned upon (a) the indemnified Party (“</w:t>
      </w:r>
      <w:r>
        <w:rPr>
          <w:rFonts w:ascii="Arial" w:cs="Arial" w:eastAsia="Arial" w:hAnsi="Arial"/>
          <w:sz w:val="16"/>
          <w:szCs w:val="16"/>
          <w:b w:val="1"/>
          <w:bCs w:val="1"/>
          <w:color w:val="auto"/>
        </w:rPr>
        <w:t>Indemnitee</w:t>
      </w:r>
      <w:r>
        <w:rPr>
          <w:rFonts w:ascii="Arial" w:cs="Arial" w:eastAsia="Arial" w:hAnsi="Arial"/>
          <w:sz w:val="16"/>
          <w:szCs w:val="16"/>
          <w:color w:val="auto"/>
        </w:rPr>
        <w:t>”)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notifying the indemnifying Party (“</w:t>
      </w:r>
      <w:r>
        <w:rPr>
          <w:rFonts w:ascii="Arial" w:cs="Arial" w:eastAsia="Arial" w:hAnsi="Arial"/>
          <w:sz w:val="16"/>
          <w:szCs w:val="16"/>
          <w:b w:val="1"/>
          <w:bCs w:val="1"/>
          <w:color w:val="auto"/>
        </w:rPr>
        <w:t>Indemnitor</w:t>
      </w:r>
      <w:r>
        <w:rPr>
          <w:rFonts w:ascii="Arial" w:cs="Arial" w:eastAsia="Arial" w:hAnsi="Arial"/>
          <w:sz w:val="16"/>
          <w:szCs w:val="16"/>
          <w:color w:val="auto"/>
        </w:rPr>
        <w:t xml:space="preserve">”) in writing of the assertion or the commencement of the relevant Third Party Claim,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failure or delay to notify shall not excuse any obligation of the Indemnitor, except to the extent the Indemnitor is actually prejudiced thereby,</w:t>
      </w:r>
    </w:p>
    <w:p>
      <w:pPr>
        <w:spacing w:after="0" w:line="2" w:lineRule="exact"/>
        <w:rPr>
          <w:sz w:val="20"/>
          <w:szCs w:val="20"/>
          <w:color w:val="auto"/>
        </w:rPr>
      </w:pPr>
    </w:p>
    <w:p>
      <w:pPr>
        <w:ind w:left="4" w:right="20" w:hanging="4"/>
        <w:spacing w:after="0" w:line="281" w:lineRule="auto"/>
        <w:tabs>
          <w:tab w:leader="none" w:pos="25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the Indemnitee granting the Indemnitor sole management and control, at the Indemnitor’s sole expense, of the defense of such Third Party Claim and its settlement,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Indemnitor shall not settle any such Third Party Claim without the prior written consent of the Indemnitee if such settlement does not include a complete release from liability or if such settlement would involve the Indemnitee undertaking an obligation (including the payment of money by the Indemnitee), would bind or impair the Indemnitee, or includes any admission of wrongdoing by the Indemnitee or that any intellectual property or proprietary right of Indemnitee or this Agreement is invalid, narrowed in scope or unenforceable, and (c) the Indemnitee reasonably cooperating with the Indemnitor, at the Indemnitor’s expense. The Indemnitee shall have the right, at its own expense, to be present in person or through counsel at all legal proceedings giving rise to the right of indemnification. Notwithstanding the foregoing, the Indemnitee will have the right to employ separate counsel at the Indemnitee’s expense and to control its own defense of the applicable Third Party Claim only if:</w:t>
      </w:r>
    </w:p>
    <w:p>
      <w:pPr>
        <w:spacing w:after="0" w:line="4" w:lineRule="exact"/>
        <w:rPr>
          <w:rFonts w:ascii="Arial" w:cs="Arial" w:eastAsia="Arial" w:hAnsi="Arial"/>
          <w:sz w:val="16"/>
          <w:szCs w:val="16"/>
          <w:color w:val="auto"/>
        </w:rPr>
      </w:pPr>
    </w:p>
    <w:p>
      <w:pPr>
        <w:ind w:left="4" w:right="60" w:hanging="4"/>
        <w:spacing w:after="0" w:line="253" w:lineRule="auto"/>
        <w:tabs>
          <w:tab w:leader="none" w:pos="21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there are or may be legal defenses available to the Indemnitee that are different from or additional to those available to the Indemnitor or (ii) in the reasonable opinion of counsel to the Indemnitee, a conflict or potential conflict exists between the Indemnitee and the Indemnitor that would make such separate representation advisable. The Indemnitee shall not settle or compromise such Third Party claim without the prior written consent of the Indemnitor, such consent not to be unreasonably withheld, conditioned or delayed.</w:t>
      </w:r>
    </w:p>
    <w:p>
      <w:pPr>
        <w:spacing w:after="0" w:line="125" w:lineRule="exact"/>
        <w:rPr>
          <w:rFonts w:ascii="Arial" w:cs="Arial" w:eastAsia="Arial" w:hAnsi="Arial"/>
          <w:sz w:val="18"/>
          <w:szCs w:val="18"/>
          <w:color w:val="auto"/>
        </w:rPr>
      </w:pPr>
    </w:p>
    <w:p>
      <w:pPr>
        <w:ind w:left="5424" w:hanging="111"/>
        <w:spacing w:after="0"/>
        <w:tabs>
          <w:tab w:leader="none" w:pos="542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004"/>
          </w:cols>
          <w:pgMar w:left="436" w:top="270" w:right="45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 LIMITATIONS OF LIABILITY</w:t>
      </w:r>
    </w:p>
    <w:p>
      <w:pPr>
        <w:spacing w:after="0" w:line="22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b w:val="1"/>
          <w:bCs w:val="1"/>
          <w:color w:val="auto"/>
        </w:rPr>
        <w:t xml:space="preserve">Section 10.1 LIMITATION OF DAMAGES. </w:t>
      </w:r>
      <w:r>
        <w:rPr>
          <w:rFonts w:ascii="Arial" w:cs="Arial" w:eastAsia="Arial" w:hAnsi="Arial"/>
          <w:sz w:val="18"/>
          <w:szCs w:val="18"/>
          <w:color w:val="auto"/>
        </w:rPr>
        <w:t>EXCEPT WITH RESPECT TO INDEMNIFICATION OBLIGATIONS OF A PARTY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9 WITH RESPECT TO ANY DAMAGES REQUIRED TO BE PAID TO A THIRD PARTY IN CONNECTION WITH A THIRD PARTY CLAIM, IN NO EVENT SHALL A PARTY BE LIABLE HEREUNDER TO THE OTHER PARTY FOR ANY PUNITIVE, INDIRECT, SPECIAL, INCIDENTAL OR CONSEQUENTIAL DAMAGES (INCLUDING LOST REVENUE, LOST PROFITS, OR LOST SAVINGS) HOWEVER CAUSED AND UNDER ANY THEORY, EVEN IF IT HAS NOTICE OF THE POSSIBILITY OF SUCH DAMAGES. EXCEPT WITH RESPECT TO INDEMNIFICATION OBLIGATIONS OF A PARTY UNDER ARTICLE 9 WITH RESPECT TO ANY DAMAGES REQUIRED TO BE PAID TO A THIRD PARTY IN CONNECTION WITH A THIRD PARTY CLAIM, IN NO EVENT WILL EITHER PARTY’S TOTAL AGGREGATE LIABILITY FOR CLAIMS OR CAUSES OF ACTION ARISING FROM THIS AGREEMENT EXCEED [***] TIMES THE TOTAL OF ALL AMOUNTS PAYABLE UNDER THIS AGREEMENT IN THE [***] PERIOD IMMEDIATELY PRECEDING THE ACTIVITY OR INACTIVITY THAT GIVES RISE TO THE CLAIM OR CAUSE OF ACTION. THE LIMITATIONS SET FORTH IN THIS SECTION 10.1 SHALL NOT APPLY WITH RESPECT TO ANY BREACH OF ARTICLE 11.</w:t>
      </w:r>
    </w:p>
    <w:p>
      <w:pPr>
        <w:spacing w:after="0" w:line="192" w:lineRule="exact"/>
        <w:rPr>
          <w:sz w:val="20"/>
          <w:szCs w:val="20"/>
          <w:color w:val="auto"/>
        </w:rPr>
      </w:pPr>
    </w:p>
    <w:p>
      <w:pPr>
        <w:ind w:right="520" w:firstLine="440"/>
        <w:spacing w:after="0" w:line="258" w:lineRule="auto"/>
        <w:rPr>
          <w:sz w:val="20"/>
          <w:szCs w:val="20"/>
          <w:color w:val="auto"/>
        </w:rPr>
      </w:pPr>
      <w:r>
        <w:rPr>
          <w:rFonts w:ascii="Arial" w:cs="Arial" w:eastAsia="Arial" w:hAnsi="Arial"/>
          <w:sz w:val="18"/>
          <w:szCs w:val="18"/>
          <w:b w:val="1"/>
          <w:bCs w:val="1"/>
          <w:color w:val="auto"/>
        </w:rPr>
        <w:t xml:space="preserve">Section 10.2 Insurance. </w:t>
      </w:r>
      <w:r>
        <w:rPr>
          <w:rFonts w:ascii="Arial" w:cs="Arial" w:eastAsia="Arial" w:hAnsi="Arial"/>
          <w:sz w:val="18"/>
          <w:szCs w:val="18"/>
          <w:color w:val="auto"/>
        </w:rPr>
        <w:t>Each of the Parties will, at their own respective expense procure and maintain during the Term and for [***] years</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insurance policies adequate to cover their obligations hereunder and consistent with the normal business practices of prudent biopharmaceutical companies of similar size and scope (or reasonable self-insurance sufficient to provide materially the same level and type of protection), and will upon request provide the other Party with a certificate of insurance in that regard, along with any amendments and revisions thereto. Such insurance will not create a limit to either Party’s liability hereunder.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CONFIDENTIALITY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11.1 Confidential Information.</w:t>
      </w:r>
    </w:p>
    <w:p>
      <w:pPr>
        <w:spacing w:after="0" w:line="117" w:lineRule="exact"/>
        <w:rPr>
          <w:sz w:val="20"/>
          <w:szCs w:val="20"/>
          <w:color w:val="auto"/>
        </w:rPr>
      </w:pPr>
    </w:p>
    <w:p>
      <w:pPr>
        <w:ind w:right="120" w:firstLine="991"/>
        <w:spacing w:after="0" w:line="298" w:lineRule="auto"/>
        <w:rPr>
          <w:sz w:val="20"/>
          <w:szCs w:val="20"/>
          <w:color w:val="auto"/>
        </w:rPr>
      </w:pPr>
      <w:r>
        <w:rPr>
          <w:rFonts w:ascii="Arial" w:cs="Arial" w:eastAsia="Arial" w:hAnsi="Arial"/>
          <w:sz w:val="16"/>
          <w:szCs w:val="16"/>
          <w:b w:val="1"/>
          <w:bCs w:val="1"/>
          <w:color w:val="auto"/>
        </w:rPr>
        <w:t xml:space="preserve">11.1.1 Confidential Information. </w:t>
      </w:r>
      <w:r>
        <w:rPr>
          <w:rFonts w:ascii="Arial" w:cs="Arial" w:eastAsia="Arial" w:hAnsi="Arial"/>
          <w:sz w:val="16"/>
          <w:szCs w:val="16"/>
          <w:color w:val="auto"/>
        </w:rPr>
        <w:t>Each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may receive during the course and conduct of activities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certain information of the other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as furnished to the Receiving Party by or on behalf of the Disclosing Party. 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all ideas, information and materials of any kind, whether in written, oral, graphical, machine-readable or other form, whether or not marked as confidential or proprietary, which are transferred, disclosed or made available to Receiving Party by Disclosing Party or at the request of Receiving Party under this Agreement, including any of the foregoing of Affiliates or Third Parties.</w:t>
      </w:r>
    </w:p>
    <w:p>
      <w:pPr>
        <w:spacing w:after="0" w:line="46"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b w:val="1"/>
          <w:bCs w:val="1"/>
          <w:color w:val="auto"/>
        </w:rPr>
        <w:t xml:space="preserve">11.1.2 Restrictions. </w:t>
      </w:r>
      <w:r>
        <w:rPr>
          <w:rFonts w:ascii="Arial" w:cs="Arial" w:eastAsia="Arial" w:hAnsi="Arial"/>
          <w:sz w:val="17"/>
          <w:szCs w:val="17"/>
          <w:color w:val="auto"/>
        </w:rPr>
        <w:t>During the Term and for [***] years thereafter, Receiving Party will keep all Disclosing Party’s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in confidence with the same degree of care with which Receiving Party holds its own confidential information (but in no event less than a commercially reasonable degree of care), and will not disclose Disclosing Party’s Confidential Information to a Third Party without Disclosing Party’s prior written consent except as expressly permitted by the terms of this Agreement. Receiving Party will not use Disclosing Party’s Confidential Information except in connection with the performance of its obligations and exercise of its rights under this Agreement. Receiving Party has the right to disclose Disclosing Party’s Confidential Information without Disclosing Party’s prior written consent to Receiving Party’s Affiliates and its and their directors, officers, employees, subcontractors, consultants or agents who have a need to know such Confidential Information in order to perform its obligations and exercise its rights under this Agreement and who are bound in writing, prior to disclosure, by restrictions on use and disclosure consistent with this Section 11.1.2. Receiving Party will use diligent efforts to cause those entities and persons to comply with the restrictions on use and disclosure in this Section 11.1.2. Receiving Party assumes responsibility for any breach of this ARTICLE 11 by any entities and persons receiving Disclosing Party’s Confidential Information from or on behalf of Receiving Party.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000"/>
          </w:cols>
          <w:pgMar w:left="440" w:top="270" w:right="459" w:bottom="1440" w:gutter="0" w:footer="0" w:header="0"/>
        </w:sectPr>
      </w:pPr>
    </w:p>
    <w:bookmarkStart w:id="338" w:name="page339"/>
    <w:bookmarkEnd w:id="338"/>
    <w:p>
      <w:pPr>
        <w:ind w:right="20" w:firstLine="991"/>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11.1.3 Exceptions. </w:t>
      </w:r>
      <w:r>
        <w:rPr>
          <w:rFonts w:ascii="Arial" w:cs="Arial" w:eastAsia="Arial" w:hAnsi="Arial"/>
          <w:sz w:val="18"/>
          <w:szCs w:val="18"/>
          <w:color w:val="auto"/>
        </w:rPr>
        <w:t>Receiving Party’s obligation of nondisclosure and the limitations upon the right to use the Disclosing Party’s</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will not apply to the extent that Receiving Party can demonstrate that the Disclosing Party’s Confidential Information: (a) was known to Receiving Party or any of its Affiliates prior to the time of disclosure by Disclosing Party hereunder; (b) is or becomes public knowledge through no fault or omission of Receiving Party or any of its Affiliates; (c) is obtained by Receiving Party or any of its Affiliates from a Third Party not known by the Receiving Party to be under an obligation of confidentiality to Disclosing Party; (d) has been independently discovered or developed by employees, subcontractors, consultants or agents of Receiving Party or any of its Affiliates without the reference to or use of Disclosing Party’s Confidential Information, as evidenced by contemporaneous written records; or (e) was released from the restrictions set forth in this Agreement by express prior written consent of the Disclosing Party.</w:t>
      </w:r>
    </w:p>
    <w:p>
      <w:pPr>
        <w:spacing w:after="0" w:line="84" w:lineRule="exact"/>
        <w:rPr>
          <w:sz w:val="20"/>
          <w:szCs w:val="20"/>
          <w:color w:val="auto"/>
        </w:rPr>
      </w:pPr>
    </w:p>
    <w:p>
      <w:pPr>
        <w:ind w:right="140" w:firstLine="991"/>
        <w:spacing w:after="0" w:line="347" w:lineRule="auto"/>
        <w:rPr>
          <w:sz w:val="20"/>
          <w:szCs w:val="20"/>
          <w:color w:val="auto"/>
        </w:rPr>
      </w:pPr>
      <w:r>
        <w:rPr>
          <w:rFonts w:ascii="Arial" w:cs="Arial" w:eastAsia="Arial" w:hAnsi="Arial"/>
          <w:sz w:val="16"/>
          <w:szCs w:val="16"/>
          <w:b w:val="1"/>
          <w:bCs w:val="1"/>
          <w:color w:val="auto"/>
        </w:rPr>
        <w:t xml:space="preserve">11.1.4 Permitted Disclosures. </w:t>
      </w:r>
      <w:r>
        <w:rPr>
          <w:rFonts w:ascii="Arial" w:cs="Arial" w:eastAsia="Arial" w:hAnsi="Arial"/>
          <w:sz w:val="16"/>
          <w:szCs w:val="16"/>
          <w:color w:val="auto"/>
        </w:rPr>
        <w:t>In addition to each Party’s disclosure rights under Section 11.3, Receiving Party may disclose Disclosing</w:t>
      </w:r>
      <w:r>
        <w:rPr>
          <w:rFonts w:ascii="Arial" w:cs="Arial" w:eastAsia="Arial" w:hAnsi="Arial"/>
          <w:sz w:val="16"/>
          <w:szCs w:val="16"/>
          <w:b w:val="1"/>
          <w:bCs w:val="1"/>
          <w:color w:val="auto"/>
        </w:rPr>
        <w:t xml:space="preserve"> </w:t>
      </w:r>
      <w:r>
        <w:rPr>
          <w:rFonts w:ascii="Arial" w:cs="Arial" w:eastAsia="Arial" w:hAnsi="Arial"/>
          <w:sz w:val="16"/>
          <w:szCs w:val="16"/>
          <w:color w:val="auto"/>
        </w:rPr>
        <w:t>Party’s Confidential Information to the extent (and only to the extent) such disclosure is reasonably necessary in the following instances:</w:t>
      </w:r>
    </w:p>
    <w:p>
      <w:pPr>
        <w:spacing w:after="0" w:line="12" w:lineRule="exact"/>
        <w:rPr>
          <w:sz w:val="20"/>
          <w:szCs w:val="20"/>
          <w:color w:val="auto"/>
        </w:rPr>
      </w:pPr>
    </w:p>
    <w:p>
      <w:pPr>
        <w:ind w:left="1680" w:hanging="252"/>
        <w:spacing w:after="0"/>
        <w:tabs>
          <w:tab w:leader="none" w:pos="1680" w:val="left"/>
        </w:tabs>
        <w:numPr>
          <w:ilvl w:val="0"/>
          <w:numId w:val="209"/>
        </w:numPr>
        <w:rPr>
          <w:rFonts w:ascii="Arial" w:cs="Arial" w:eastAsia="Arial" w:hAnsi="Arial"/>
          <w:sz w:val="17"/>
          <w:szCs w:val="17"/>
          <w:b w:val="1"/>
          <w:bCs w:val="1"/>
          <w:color w:val="auto"/>
        </w:rPr>
      </w:pPr>
      <w:r>
        <w:rPr>
          <w:rFonts w:ascii="Arial" w:cs="Arial" w:eastAsia="Arial" w:hAnsi="Arial"/>
          <w:sz w:val="17"/>
          <w:szCs w:val="17"/>
          <w:color w:val="auto"/>
        </w:rPr>
        <w:t>in order to comply with applicable Law (including any securities law or regulation or the like) or with a legal or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proceeding;</w:t>
      </w:r>
    </w:p>
    <w:p>
      <w:pPr>
        <w:spacing w:after="0" w:line="103" w:lineRule="exact"/>
        <w:rPr>
          <w:sz w:val="20"/>
          <w:szCs w:val="20"/>
          <w:color w:val="auto"/>
        </w:rPr>
      </w:pPr>
    </w:p>
    <w:p>
      <w:pPr>
        <w:ind w:firstLine="1428"/>
        <w:spacing w:after="0" w:line="263" w:lineRule="auto"/>
        <w:tabs>
          <w:tab w:leader="none" w:pos="1697"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to disclose such Confidential Information, including Results, in connection with prosecuting and defending litigation, Marketing Approvals and other Regulatory Filings and communications, and filing, prosecuting and enforcing Patent Rights in connection with Receiving Party’s rights and obligations pursuant to this Agreement;</w:t>
      </w:r>
    </w:p>
    <w:p>
      <w:pPr>
        <w:spacing w:after="0" w:line="75" w:lineRule="exact"/>
        <w:rPr>
          <w:rFonts w:ascii="Arial" w:cs="Arial" w:eastAsia="Arial" w:hAnsi="Arial"/>
          <w:sz w:val="18"/>
          <w:szCs w:val="18"/>
          <w:b w:val="1"/>
          <w:bCs w:val="1"/>
          <w:color w:val="auto"/>
        </w:rPr>
      </w:pPr>
    </w:p>
    <w:p>
      <w:pPr>
        <w:ind w:right="80" w:firstLine="1428"/>
        <w:spacing w:after="0" w:line="277" w:lineRule="auto"/>
        <w:tabs>
          <w:tab w:leader="none" w:pos="1677"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 xml:space="preserve">to disclose such Confidential Information, including Results, in connection with exercising its rights hereunder, to its Affiliates, and to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existing, potential and/or future collaborators (including Sublicensees), permitted acquirers or assignees; and</w:t>
      </w:r>
    </w:p>
    <w:p>
      <w:pPr>
        <w:spacing w:after="0" w:line="62" w:lineRule="exact"/>
        <w:rPr>
          <w:rFonts w:ascii="Arial" w:cs="Arial" w:eastAsia="Arial" w:hAnsi="Arial"/>
          <w:sz w:val="18"/>
          <w:szCs w:val="18"/>
          <w:b w:val="1"/>
          <w:bCs w:val="1"/>
          <w:color w:val="auto"/>
        </w:rPr>
      </w:pPr>
    </w:p>
    <w:p>
      <w:pPr>
        <w:ind w:right="360" w:firstLine="1428"/>
        <w:spacing w:after="0" w:line="277" w:lineRule="auto"/>
        <w:tabs>
          <w:tab w:leader="none" w:pos="1697"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 xml:space="preserve">to disclose the existence and terms of this Agreement in connection with financing activities to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existing, potential and/or future investors, lenders and investment bankers;</w:t>
      </w:r>
    </w:p>
    <w:p>
      <w:pPr>
        <w:spacing w:after="0" w:line="62" w:lineRule="exact"/>
        <w:rPr>
          <w:sz w:val="20"/>
          <w:szCs w:val="20"/>
          <w:color w:val="auto"/>
        </w:rPr>
      </w:pPr>
    </w:p>
    <w:p>
      <w:pPr>
        <w:ind w:left="440" w:right="140"/>
        <w:spacing w:after="0" w:line="25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(1) with respect to each of Sections 11.1.4(a) and 11.1.4(b), where reasonably possible, Receiving Party will notify</w:t>
      </w:r>
      <w:r>
        <w:rPr>
          <w:rFonts w:ascii="Arial" w:cs="Arial" w:eastAsia="Arial" w:hAnsi="Arial"/>
          <w:sz w:val="18"/>
          <w:szCs w:val="18"/>
          <w:i w:val="1"/>
          <w:iCs w:val="1"/>
          <w:color w:val="auto"/>
        </w:rPr>
        <w:t xml:space="preserve"> </w:t>
      </w:r>
      <w:r>
        <w:rPr>
          <w:rFonts w:ascii="Arial" w:cs="Arial" w:eastAsia="Arial" w:hAnsi="Arial"/>
          <w:sz w:val="18"/>
          <w:szCs w:val="18"/>
          <w:color w:val="auto"/>
        </w:rPr>
        <w:t>Disclosing Party of Receiving Party’s intent to make any disclosure pursuant thereto sufficiently prior to making such disclosure so as to allow Disclosing Party adequate time to take whatever action it may deem appropriate to protect the confidentiality of the information to be disclosed and reasonably cooperate with the Disclosing Party in such action; and (2) with respect to Sections 11.1.4(c) and 11.1.4(d), each of those named people and entities are bound in writing, prior to disclosure, by restrictions on use and disclosure consistent with Section 11.1.2 (other than investment bankers, investors and lenders, which must be bound prior to disclosure by commercially reasonable and customary obligations of confidentiality).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0940"/>
          </w:cols>
          <w:pgMar w:left="440" w:top="270" w:right="519" w:bottom="1440" w:gutter="0" w:footer="0" w:header="0"/>
        </w:sectPr>
      </w:pPr>
    </w:p>
    <w:bookmarkStart w:id="339" w:name="page340"/>
    <w:bookmarkEnd w:id="339"/>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11.2 Terms of this Agreement; Publicity.</w:t>
      </w:r>
    </w:p>
    <w:p>
      <w:pPr>
        <w:spacing w:after="0" w:line="117" w:lineRule="exact"/>
        <w:rPr>
          <w:sz w:val="20"/>
          <w:szCs w:val="20"/>
          <w:color w:val="auto"/>
        </w:rPr>
      </w:pPr>
    </w:p>
    <w:p>
      <w:pPr>
        <w:ind w:left="4" w:firstLine="991"/>
        <w:spacing w:after="0" w:line="274" w:lineRule="auto"/>
        <w:rPr>
          <w:sz w:val="20"/>
          <w:szCs w:val="20"/>
          <w:color w:val="auto"/>
        </w:rPr>
      </w:pPr>
      <w:r>
        <w:rPr>
          <w:rFonts w:ascii="Arial" w:cs="Arial" w:eastAsia="Arial" w:hAnsi="Arial"/>
          <w:sz w:val="17"/>
          <w:szCs w:val="17"/>
          <w:b w:val="1"/>
          <w:bCs w:val="1"/>
          <w:color w:val="auto"/>
        </w:rPr>
        <w:t xml:space="preserve">11.2.1 Restrictions. </w:t>
      </w:r>
      <w:r>
        <w:rPr>
          <w:rFonts w:ascii="Arial" w:cs="Arial" w:eastAsia="Arial" w:hAnsi="Arial"/>
          <w:sz w:val="17"/>
          <w:szCs w:val="17"/>
          <w:color w:val="auto"/>
        </w:rPr>
        <w:t>The Parties agree that the existence of and the terms of this Agreement will be treated as Confidential Information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both Parties, and thus a summary of the terms of this Agreement may be disclosed only as permitted by Section 11.1.4. Except as required by Law or as may be agreed upon by the Parties, and subject to the first sentence of Section 11.2.2, each Party agrees not to issue any press release or public statement disclosing information relating to this Agreement or the transactions contemplated hereby or the terms hereof without the prior written consent of the other Party, and the content of any such press release or public statement shall be reviewed by each Party in accordance with Section 11.2.2 and shall be subject to each Party’s prior written approval.</w:t>
      </w:r>
    </w:p>
    <w:p>
      <w:pPr>
        <w:spacing w:after="0" w:line="65" w:lineRule="exact"/>
        <w:rPr>
          <w:sz w:val="20"/>
          <w:szCs w:val="20"/>
          <w:color w:val="auto"/>
        </w:rPr>
      </w:pPr>
    </w:p>
    <w:p>
      <w:pPr>
        <w:ind w:left="4" w:right="60" w:firstLine="991"/>
        <w:spacing w:after="0" w:line="254" w:lineRule="auto"/>
        <w:rPr>
          <w:sz w:val="20"/>
          <w:szCs w:val="20"/>
          <w:color w:val="auto"/>
        </w:rPr>
      </w:pPr>
      <w:r>
        <w:rPr>
          <w:rFonts w:ascii="Arial" w:cs="Arial" w:eastAsia="Arial" w:hAnsi="Arial"/>
          <w:sz w:val="18"/>
          <w:szCs w:val="18"/>
          <w:b w:val="1"/>
          <w:bCs w:val="1"/>
          <w:color w:val="auto"/>
        </w:rPr>
        <w:t xml:space="preserve">11.2.2 Review. </w:t>
      </w:r>
      <w:r>
        <w:rPr>
          <w:rFonts w:ascii="Arial" w:cs="Arial" w:eastAsia="Arial" w:hAnsi="Arial"/>
          <w:sz w:val="18"/>
          <w:szCs w:val="18"/>
          <w:color w:val="auto"/>
        </w:rPr>
        <w:t>The Parties have agreed to issue a press release announcing the Transaction and this Agreement on a date, and in a form to</w:t>
      </w:r>
      <w:r>
        <w:rPr>
          <w:rFonts w:ascii="Arial" w:cs="Arial" w:eastAsia="Arial" w:hAnsi="Arial"/>
          <w:sz w:val="18"/>
          <w:szCs w:val="18"/>
          <w:b w:val="1"/>
          <w:bCs w:val="1"/>
          <w:color w:val="auto"/>
        </w:rPr>
        <w:t xml:space="preserve"> </w:t>
      </w:r>
      <w:r>
        <w:rPr>
          <w:rFonts w:ascii="Arial" w:cs="Arial" w:eastAsia="Arial" w:hAnsi="Arial"/>
          <w:sz w:val="18"/>
          <w:szCs w:val="18"/>
          <w:color w:val="auto"/>
        </w:rPr>
        <w:t>be mutually agreed upon by the Parties. In the event either Party (the “</w:t>
      </w:r>
      <w:r>
        <w:rPr>
          <w:rFonts w:ascii="Arial" w:cs="Arial" w:eastAsia="Arial" w:hAnsi="Arial"/>
          <w:sz w:val="18"/>
          <w:szCs w:val="18"/>
          <w:b w:val="1"/>
          <w:bCs w:val="1"/>
          <w:color w:val="auto"/>
        </w:rPr>
        <w:t>Issuing Party</w:t>
      </w:r>
      <w:r>
        <w:rPr>
          <w:rFonts w:ascii="Arial" w:cs="Arial" w:eastAsia="Arial" w:hAnsi="Arial"/>
          <w:sz w:val="18"/>
          <w:szCs w:val="18"/>
          <w:color w:val="auto"/>
        </w:rPr>
        <w:t>”) desires to issue a subsequent press release or other public statement disclosing information relating to this Agreement or the transactions contemplated hereby or the terms hereof, the Issuing Party will provide the other Party (the “</w:t>
      </w:r>
      <w:r>
        <w:rPr>
          <w:rFonts w:ascii="Arial" w:cs="Arial" w:eastAsia="Arial" w:hAnsi="Arial"/>
          <w:sz w:val="18"/>
          <w:szCs w:val="18"/>
          <w:b w:val="1"/>
          <w:bCs w:val="1"/>
          <w:color w:val="auto"/>
        </w:rPr>
        <w:t>Reviewing Party</w:t>
      </w:r>
      <w:r>
        <w:rPr>
          <w:rFonts w:ascii="Arial" w:cs="Arial" w:eastAsia="Arial" w:hAnsi="Arial"/>
          <w:sz w:val="18"/>
          <w:szCs w:val="18"/>
          <w:color w:val="auto"/>
        </w:rPr>
        <w:t>”) with a copy of the proposed press release or public statement (the “</w:t>
      </w:r>
      <w:r>
        <w:rPr>
          <w:rFonts w:ascii="Arial" w:cs="Arial" w:eastAsia="Arial" w:hAnsi="Arial"/>
          <w:sz w:val="18"/>
          <w:szCs w:val="18"/>
          <w:b w:val="1"/>
          <w:bCs w:val="1"/>
          <w:color w:val="auto"/>
        </w:rPr>
        <w:t>Release</w:t>
      </w:r>
      <w:r>
        <w:rPr>
          <w:rFonts w:ascii="Arial" w:cs="Arial" w:eastAsia="Arial" w:hAnsi="Arial"/>
          <w:sz w:val="18"/>
          <w:szCs w:val="18"/>
          <w:color w:val="auto"/>
        </w:rPr>
        <w:t>”). The Issuing Party will specify with each such Release, taking into account the urgency of the matter being disclosed, a reasonable period of time within which the Reviewing Party may provide any comments on such Release (but in any event within [***] business days). If the Reviewing Party provides any comments, the Parties will consult on such Release and work in good faith to prepare a mutually acceptable Release. Either Party may subsequently publicly disclose any information previously contained in any Release, provided that circumstances have not changed such that such previous disclosure is rendered inaccurate or misleading.</w:t>
      </w:r>
    </w:p>
    <w:p>
      <w:pPr>
        <w:spacing w:after="0" w:line="188"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b w:val="1"/>
          <w:bCs w:val="1"/>
          <w:color w:val="auto"/>
        </w:rPr>
        <w:t xml:space="preserve">Section 11.3 Publication. </w:t>
      </w:r>
      <w:r>
        <w:rPr>
          <w:rFonts w:ascii="Arial" w:cs="Arial" w:eastAsia="Arial" w:hAnsi="Arial"/>
          <w:sz w:val="16"/>
          <w:szCs w:val="16"/>
          <w:color w:val="auto"/>
        </w:rPr>
        <w:t>Notwithstanding anything contained in this Agreement to the contrary, RBNC, in its sole discretion, may make</w:t>
      </w:r>
      <w:r>
        <w:rPr>
          <w:rFonts w:ascii="Arial" w:cs="Arial" w:eastAsia="Arial" w:hAnsi="Arial"/>
          <w:sz w:val="16"/>
          <w:szCs w:val="16"/>
          <w:b w:val="1"/>
          <w:bCs w:val="1"/>
          <w:color w:val="auto"/>
        </w:rPr>
        <w:t xml:space="preserve"> </w:t>
      </w:r>
      <w:r>
        <w:rPr>
          <w:rFonts w:ascii="Arial" w:cs="Arial" w:eastAsia="Arial" w:hAnsi="Arial"/>
          <w:sz w:val="16"/>
          <w:szCs w:val="16"/>
          <w:color w:val="auto"/>
        </w:rPr>
        <w:t>disclosures relating to the Exploitation of any Collaboration Derived Product, including the results of research and any clinical trial conducted by or on behalf of RBNC or any health or safety matter related to any Collaboration Derived Product. Subject to the foregoing and the rest of this Section 11.3, the Party discovering or inventing Collaboration IP and/or Results will have the right to publish and make scientific presentations of such Collaboration IP or Results (the “</w:t>
      </w:r>
      <w:r>
        <w:rPr>
          <w:rFonts w:ascii="Arial" w:cs="Arial" w:eastAsia="Arial" w:hAnsi="Arial"/>
          <w:sz w:val="16"/>
          <w:szCs w:val="16"/>
          <w:b w:val="1"/>
          <w:bCs w:val="1"/>
          <w:color w:val="auto"/>
        </w:rPr>
        <w:t>Publishing Party</w:t>
      </w:r>
      <w:r>
        <w:rPr>
          <w:rFonts w:ascii="Arial" w:cs="Arial" w:eastAsia="Arial" w:hAnsi="Arial"/>
          <w:sz w:val="16"/>
          <w:szCs w:val="16"/>
          <w:color w:val="auto"/>
        </w:rPr>
        <w:t>”). Where the Publishing Party is [***] contained in the proposed publication, it will endeavor to [***]. When the Publishing Party seeks to publish or present [***], it shall discuss with [***]. Each Party has the right to address good faith scientific concerns in any proposed publication or presentation, whether such publication is made jointly or by a sole Party. The Publishing Party will deliver to the Non-Publishing Party a copy of any proposed written publication or outline of presentation (or, where appropriate, a draft of such publication or a description of such presentation) to be made by the Publishing Party [***] of submission for publication or presentation, with [***]for the Non-Publishing Party to exercise its rights under this Section 11.3. The Non-Publishing Party will have the right to:[***], (b) submit patent applications protecting any Collaboration IP controlled by such Non-Publishing Party in accordance with Section 7.1.4, and the Publishing Party shall use reasonable efforts to postpone the publication or presentation upon request of the Non-Publishing Party to allow for such patent application submission; and</w:t>
      </w:r>
    </w:p>
    <w:p>
      <w:pPr>
        <w:spacing w:after="0" w:line="7" w:lineRule="exact"/>
        <w:rPr>
          <w:sz w:val="20"/>
          <w:szCs w:val="20"/>
          <w:color w:val="auto"/>
        </w:rPr>
      </w:pPr>
    </w:p>
    <w:p>
      <w:pPr>
        <w:ind w:left="4" w:hanging="4"/>
        <w:spacing w:after="0" w:line="267" w:lineRule="auto"/>
        <w:tabs>
          <w:tab w:leader="none" w:pos="24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prohibit disclosure of any of its Confidential Information in any such proposed publication or presentation. If there is any dispute between the Parties with regard to a proposed publication, presentation or other communication regarding this Agreement, such dispute shall be referred to the JRC for resolution. Each Party agrees that it will not unreasonably withhold, condition or delay its consent to requests for (i) extensions of the above timelines in the event that material late-breaking data becomes available or (ii) shortening of the above timelines if the requesting Party has a good faith belief that circumstances warrant such acceleration. Publications shall be developed in accordance with the Publishing Party’s publications policies and processes. In addition, the Parties acknowledge and agree that all publications and presentations pursuant to this Section 11.3 shall comply with the International Committee of Medical Journal Editors (ICMJE) Recommendations for the Conduct, Reporting, Editing, and Publication of Scholarly Work in Medical Journals. Consistent with those guidelines, authorship will be based upon substantial contribution to the design, analysis, interpretation of data, drafting and/or critically revising any publication(s) derived from this Agreement, and authors must engage in the drafting of the publication or revise it critically for important intellectual content. Each Party agrees to maintain evidence of its compliance with the ICMJE guidelines for authorship, and that it will provide such evidence to the other Party upon request. Each Party shall also acknowledge the other Party’s contributions in any publications or presentations in accordance with good scientific practice.</w:t>
      </w:r>
    </w:p>
    <w:p>
      <w:pPr>
        <w:spacing w:after="0" w:line="116" w:lineRule="exact"/>
        <w:rPr>
          <w:rFonts w:ascii="Arial" w:cs="Arial" w:eastAsia="Arial" w:hAnsi="Arial"/>
          <w:sz w:val="17"/>
          <w:szCs w:val="17"/>
          <w:color w:val="auto"/>
        </w:rPr>
      </w:pPr>
    </w:p>
    <w:p>
      <w:pPr>
        <w:ind w:left="5424" w:hanging="111"/>
        <w:spacing w:after="0"/>
        <w:tabs>
          <w:tab w:leader="none" w:pos="542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004"/>
          </w:cols>
          <w:pgMar w:left="436" w:top="270" w:right="459" w:bottom="1440" w:gutter="0" w:footer="0" w:header="0"/>
        </w:sectPr>
      </w:pPr>
    </w:p>
    <w:bookmarkStart w:id="340" w:name="page341"/>
    <w:bookmarkEnd w:id="340"/>
    <w:p>
      <w:pPr>
        <w:ind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11.4 Relationship to the Confidentiality Agreement. </w:t>
      </w:r>
      <w:r>
        <w:rPr>
          <w:rFonts w:ascii="Arial" w:cs="Arial" w:eastAsia="Arial" w:hAnsi="Arial"/>
          <w:sz w:val="16"/>
          <w:szCs w:val="16"/>
          <w:color w:val="auto"/>
        </w:rPr>
        <w:t>This Agreement supersedes the Confidential Disclosure Agreement;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all “Confidential Information” disclosed or received by the Parties thereunder will be deemed either “Confidential Information”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and will be subject to the terms and conditions of this Agreement or treated as “Confidential Information” under either of the Exclusive License Agreements and subject to the terms and conditions of such agreements, as applicable in light of the subject matter of such disclosure; provided that if such information relates to both this Agreement and either of the Exclusive License Agreements, or does not relate specifically to any such agreement, then such information will be deemed “Confidential Information” hereunder and subject to the terms and conditions of this Agreement.</w:t>
      </w:r>
    </w:p>
    <w:p>
      <w:pPr>
        <w:spacing w:after="0" w:line="160"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 xml:space="preserve">Section 11.5 Attorney-Client Privilege. </w:t>
      </w:r>
      <w:r>
        <w:rPr>
          <w:rFonts w:ascii="Arial" w:cs="Arial" w:eastAsia="Arial" w:hAnsi="Arial"/>
          <w:sz w:val="16"/>
          <w:szCs w:val="16"/>
          <w:color w:val="auto"/>
        </w:rPr>
        <w:t>Neither Party is waiving, nor will be deemed to have waived or diminished, any of its attorney work</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protections, attorney-client privileges or similar protections and privileges recognized under the applicable Law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TERM &amp; TERMINATION</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 xml:space="preserve">Section 12.1 Term. </w:t>
      </w:r>
      <w:r>
        <w:rPr>
          <w:rFonts w:ascii="Arial" w:cs="Arial" w:eastAsia="Arial" w:hAnsi="Arial"/>
          <w:sz w:val="16"/>
          <w:szCs w:val="16"/>
          <w:color w:val="auto"/>
        </w:rPr>
        <w:t>Except for the terms and conditions of Article 8 (Representations, Warranties and Covenants), Article 9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11 (Confidentiality), Article 13 (Miscellaneous), Section 2.8 (Filings, Consents and Approvals), and Section 10.1 (Limitation of Damages), which shall become effective on the Execution Date, this Agreement shall become effective on the Closing Date (such date, the “</w:t>
      </w:r>
      <w:r>
        <w:rPr>
          <w:rFonts w:ascii="Arial" w:cs="Arial" w:eastAsia="Arial" w:hAnsi="Arial"/>
          <w:sz w:val="16"/>
          <w:szCs w:val="16"/>
          <w:b w:val="1"/>
          <w:bCs w:val="1"/>
          <w:color w:val="auto"/>
        </w:rPr>
        <w:t>Effective Date</w:t>
      </w:r>
      <w:r>
        <w:rPr>
          <w:rFonts w:ascii="Arial" w:cs="Arial" w:eastAsia="Arial" w:hAnsi="Arial"/>
          <w:sz w:val="16"/>
          <w:szCs w:val="16"/>
          <w:color w:val="auto"/>
        </w:rPr>
        <w:t>”); provided, however, in the event that the Effective Date does not occur within [***] days of the Execution Date, either Party will have the right to terminate this Agreement in its entirety immediately upon notice to the other Party; provided, further, such notice of termination is delivered to the other Party before the date on which the Parties obtain all necessary antitrust or competition law clearances, consents and approvals for the closing of this Agreement. The term of this Agreement shall commence on the Effective Date, and unless terminated earlier as provided in this Article 12 or as otherwise agreed by the Parties, shall continue for a period of five (5) years (such term, the “</w:t>
      </w:r>
      <w:r>
        <w:rPr>
          <w:rFonts w:ascii="Arial" w:cs="Arial" w:eastAsia="Arial" w:hAnsi="Arial"/>
          <w:sz w:val="16"/>
          <w:szCs w:val="16"/>
          <w:b w:val="1"/>
          <w:bCs w:val="1"/>
          <w:color w:val="auto"/>
        </w:rPr>
        <w:t>Term</w:t>
      </w:r>
      <w:r>
        <w:rPr>
          <w:rFonts w:ascii="Arial" w:cs="Arial" w:eastAsia="Arial" w:hAnsi="Arial"/>
          <w:sz w:val="16"/>
          <w:szCs w:val="16"/>
          <w:color w:val="auto"/>
        </w:rPr>
        <w:t>”).</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12.2 Termination by RBNC</w:t>
      </w:r>
      <w:r>
        <w:rPr>
          <w:rFonts w:ascii="Arial" w:cs="Arial" w:eastAsia="Arial" w:hAnsi="Arial"/>
          <w:sz w:val="18"/>
          <w:szCs w:val="18"/>
          <w:color w:val="auto"/>
        </w:rPr>
        <w:t>.</w:t>
      </w:r>
    </w:p>
    <w:p>
      <w:pPr>
        <w:spacing w:after="0" w:line="117" w:lineRule="exact"/>
        <w:rPr>
          <w:sz w:val="20"/>
          <w:szCs w:val="20"/>
          <w:color w:val="auto"/>
        </w:rPr>
      </w:pPr>
    </w:p>
    <w:p>
      <w:pPr>
        <w:ind w:right="120" w:firstLine="991"/>
        <w:spacing w:after="0" w:line="258" w:lineRule="auto"/>
        <w:rPr>
          <w:sz w:val="20"/>
          <w:szCs w:val="20"/>
          <w:color w:val="auto"/>
        </w:rPr>
      </w:pPr>
      <w:r>
        <w:rPr>
          <w:rFonts w:ascii="Arial" w:cs="Arial" w:eastAsia="Arial" w:hAnsi="Arial"/>
          <w:sz w:val="18"/>
          <w:szCs w:val="18"/>
          <w:b w:val="1"/>
          <w:bCs w:val="1"/>
          <w:color w:val="auto"/>
        </w:rPr>
        <w:t xml:space="preserve">12.2.1 Amgen Breach. </w:t>
      </w:r>
      <w:r>
        <w:rPr>
          <w:rFonts w:ascii="Arial" w:cs="Arial" w:eastAsia="Arial" w:hAnsi="Arial"/>
          <w:sz w:val="18"/>
          <w:szCs w:val="18"/>
          <w:color w:val="auto"/>
        </w:rPr>
        <w:t>RBNC will have the right to terminate this Agreement in the event of any material breach by Amgen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Amgen’s material and repeated failure to perform the Collaboration Activities) of any terms and conditions of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termination will not be effective if such breach has been cured within ninety (90) days after written notice thereof is given by RBNC to Amgen specifying the nature of the alleged breach;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to the extent such material breach involves Amgen’s material and repeated failure to perform the Collaboration Activities, such breach must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960"/>
          </w:cols>
          <w:pgMar w:left="440" w:top="270" w:right="499" w:bottom="1440" w:gutter="0" w:footer="0" w:header="0"/>
        </w:sectPr>
      </w:pPr>
    </w:p>
    <w:bookmarkStart w:id="341" w:name="page342"/>
    <w:bookmarkEnd w:id="341"/>
    <w:p>
      <w:pPr>
        <w:ind w:left="4"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cured within [***] days after written notice thereof is given by RBNC to Amgen. Notwithstanding the foregoing in this Section 12.2.1, in the event of a good faith dispute as to whether performance has been made by either Party pursuant to this Agreement, the foregoing cure period with respect thereto will be tolled pending final resolution of such dispute in accordance with the terms of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if such dispute relates to payment, such tolling of the cure period will only apply with respect to payment of the disputed amounts, and not with respect to any undisputed amount.</w:t>
      </w:r>
    </w:p>
    <w:p>
      <w:pPr>
        <w:spacing w:after="0" w:line="76" w:lineRule="exact"/>
        <w:rPr>
          <w:sz w:val="20"/>
          <w:szCs w:val="20"/>
          <w:color w:val="auto"/>
        </w:rPr>
      </w:pPr>
    </w:p>
    <w:p>
      <w:pPr>
        <w:ind w:left="4" w:right="60" w:firstLine="991"/>
        <w:spacing w:after="0" w:line="281" w:lineRule="auto"/>
        <w:rPr>
          <w:sz w:val="20"/>
          <w:szCs w:val="20"/>
          <w:color w:val="auto"/>
        </w:rPr>
      </w:pPr>
      <w:r>
        <w:rPr>
          <w:rFonts w:ascii="Arial" w:cs="Arial" w:eastAsia="Arial" w:hAnsi="Arial"/>
          <w:sz w:val="17"/>
          <w:szCs w:val="17"/>
          <w:b w:val="1"/>
          <w:bCs w:val="1"/>
          <w:color w:val="auto"/>
        </w:rPr>
        <w:t>12.2.2 Amgen Bankruptcy</w:t>
      </w:r>
      <w:r>
        <w:rPr>
          <w:rFonts w:ascii="Arial" w:cs="Arial" w:eastAsia="Arial" w:hAnsi="Arial"/>
          <w:sz w:val="17"/>
          <w:szCs w:val="17"/>
          <w:color w:val="auto"/>
        </w:rPr>
        <w:t>. RBNC may terminate this Agreement if, at any time, Amgen files in any court or agency pursuant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statute or regulation of any state, country or jurisdiction, a petition in bankruptcy or insolvency or for the appointment of a receiver or trustee of Amgen or of its assets, or if Amgen is served with an involuntary petition against it, filed in any insolvency proceeding, and such petition is not dismissed within sixty (60) days after the filing thereof, or if Amgen makes an assignment for the benefit of its creditors.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12.3 Termination by Amgen</w:t>
      </w:r>
      <w:r>
        <w:rPr>
          <w:rFonts w:ascii="Arial" w:cs="Arial" w:eastAsia="Arial" w:hAnsi="Arial"/>
          <w:sz w:val="18"/>
          <w:szCs w:val="18"/>
          <w:color w:val="auto"/>
        </w:rPr>
        <w:t>.</w:t>
      </w:r>
    </w:p>
    <w:p>
      <w:pPr>
        <w:spacing w:after="0" w:line="117" w:lineRule="exact"/>
        <w:rPr>
          <w:sz w:val="20"/>
          <w:szCs w:val="20"/>
          <w:color w:val="auto"/>
        </w:rPr>
      </w:pPr>
    </w:p>
    <w:p>
      <w:pPr>
        <w:ind w:left="4" w:right="100" w:firstLine="991"/>
        <w:spacing w:after="0" w:line="271" w:lineRule="auto"/>
        <w:rPr>
          <w:sz w:val="20"/>
          <w:szCs w:val="20"/>
          <w:color w:val="auto"/>
        </w:rPr>
      </w:pPr>
      <w:r>
        <w:rPr>
          <w:rFonts w:ascii="Arial" w:cs="Arial" w:eastAsia="Arial" w:hAnsi="Arial"/>
          <w:sz w:val="17"/>
          <w:szCs w:val="17"/>
          <w:b w:val="1"/>
          <w:bCs w:val="1"/>
          <w:color w:val="auto"/>
        </w:rPr>
        <w:t>12.3.1 RBNC Breach</w:t>
      </w:r>
      <w:r>
        <w:rPr>
          <w:rFonts w:ascii="Arial" w:cs="Arial" w:eastAsia="Arial" w:hAnsi="Arial"/>
          <w:sz w:val="17"/>
          <w:szCs w:val="17"/>
          <w:color w:val="auto"/>
        </w:rPr>
        <w:t>. Amgen will have the right to terminate this Agreement in the event of any material breach by RBNC of any terms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conditions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termination will not be effective if such breach has been cured within ninety (90) days after written notice thereof is given by Amgen to RBNC specifying the nature of the alleged breach;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to the extent such material breach involves the material undisputed failure to make a payment when due, such breach must be cured within [***] days after written notice thereof is given by Amgen to RBNC. Notwithstanding the foregoing in this Section 12.3.1, in the event of a good faith dispute as to whether performance has been made by either Party pursuant to this Agreement, including any good faith dispute as to any payment due under this Agreement, the foregoing cure period with respect thereto will be tolled pending final resolution of such dispute in accordance with the terms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if such dispute relates to payment, such tolling of the cure period will only apply with respect to payment of the disputed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and not with respect to any undisputed amount.</w:t>
      </w:r>
    </w:p>
    <w:p>
      <w:pPr>
        <w:spacing w:after="0" w:line="66" w:lineRule="exact"/>
        <w:rPr>
          <w:sz w:val="20"/>
          <w:szCs w:val="20"/>
          <w:color w:val="auto"/>
        </w:rPr>
      </w:pPr>
    </w:p>
    <w:p>
      <w:pPr>
        <w:ind w:left="4" w:firstLine="991"/>
        <w:spacing w:after="0" w:line="261" w:lineRule="auto"/>
        <w:rPr>
          <w:sz w:val="20"/>
          <w:szCs w:val="20"/>
          <w:color w:val="auto"/>
        </w:rPr>
      </w:pPr>
      <w:r>
        <w:rPr>
          <w:rFonts w:ascii="Arial" w:cs="Arial" w:eastAsia="Arial" w:hAnsi="Arial"/>
          <w:sz w:val="18"/>
          <w:szCs w:val="18"/>
          <w:b w:val="1"/>
          <w:bCs w:val="1"/>
          <w:color w:val="auto"/>
        </w:rPr>
        <w:t>12.3.2 RBNC Bankruptcy</w:t>
      </w:r>
      <w:r>
        <w:rPr>
          <w:rFonts w:ascii="Arial" w:cs="Arial" w:eastAsia="Arial" w:hAnsi="Arial"/>
          <w:sz w:val="18"/>
          <w:szCs w:val="18"/>
          <w:color w:val="auto"/>
        </w:rPr>
        <w:t>. Amgen may terminate this Agreement if, at any time, RBNC files in any court or agency pursuant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statute or regulation of any state, country or jurisdiction, a petition in bankruptcy or insolvency or for the appointment of a receiver or trustee of RBNC or of its assets, or if RBNC is served with an involuntary petition against it, filed in any insolvency proceeding, and such petition is not dismissed within sixty (60) days after the filing thereof, or if RBNC makes an assignment for the benefit of its creditors.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Section 12.4 Termination for Failure to Agree on Fee Structure</w:t>
      </w:r>
      <w:r>
        <w:rPr>
          <w:rFonts w:ascii="Arial" w:cs="Arial" w:eastAsia="Arial" w:hAnsi="Arial"/>
          <w:sz w:val="16"/>
          <w:szCs w:val="16"/>
          <w:color w:val="auto"/>
        </w:rPr>
        <w:t>. If the Parties are unable to agree on a compensation structure for Amgen’s</w:t>
      </w:r>
    </w:p>
    <w:p>
      <w:pPr>
        <w:spacing w:after="0" w:line="49" w:lineRule="exact"/>
        <w:rPr>
          <w:sz w:val="20"/>
          <w:szCs w:val="20"/>
          <w:color w:val="auto"/>
        </w:rPr>
      </w:pPr>
    </w:p>
    <w:p>
      <w:pPr>
        <w:ind w:left="4" w:right="120" w:hanging="4"/>
        <w:spacing w:after="0" w:line="325" w:lineRule="auto"/>
        <w:tabs>
          <w:tab w:leader="none" w:pos="439" w:val="left"/>
        </w:tabs>
        <w:numPr>
          <w:ilvl w:val="0"/>
          <w:numId w:val="212"/>
        </w:numPr>
        <w:rPr>
          <w:rFonts w:ascii="Arial" w:cs="Arial" w:eastAsia="Arial" w:hAnsi="Arial"/>
          <w:sz w:val="16"/>
          <w:szCs w:val="16"/>
          <w:color w:val="auto"/>
        </w:rPr>
      </w:pPr>
      <w:r>
        <w:rPr>
          <w:rFonts w:ascii="Arial" w:cs="Arial" w:eastAsia="Arial" w:hAnsi="Arial"/>
          <w:sz w:val="16"/>
          <w:szCs w:val="16"/>
          <w:color w:val="auto"/>
        </w:rPr>
        <w:t>of the Collaboration Activities during years 4 and 5 of this Agreement at least [***] prior to the third (3</w:t>
      </w:r>
      <w:r>
        <w:rPr>
          <w:rFonts w:ascii="Arial" w:cs="Arial" w:eastAsia="Arial" w:hAnsi="Arial"/>
          <w:sz w:val="13"/>
          <w:szCs w:val="13"/>
          <w:color w:val="auto"/>
        </w:rPr>
        <w:t>rd</w:t>
      </w:r>
      <w:r>
        <w:rPr>
          <w:rFonts w:ascii="Arial" w:cs="Arial" w:eastAsia="Arial" w:hAnsi="Arial"/>
          <w:sz w:val="16"/>
          <w:szCs w:val="16"/>
          <w:color w:val="auto"/>
        </w:rPr>
        <w:t>) anniversary of the Effective Date, unless otherwise agreed to by the Parties in writing, this Agreement will terminate automatically upon the third (3</w:t>
      </w:r>
      <w:r>
        <w:rPr>
          <w:rFonts w:ascii="Arial" w:cs="Arial" w:eastAsia="Arial" w:hAnsi="Arial"/>
          <w:sz w:val="13"/>
          <w:szCs w:val="13"/>
          <w:color w:val="auto"/>
        </w:rPr>
        <w:t>rd</w:t>
      </w:r>
      <w:r>
        <w:rPr>
          <w:rFonts w:ascii="Arial" w:cs="Arial" w:eastAsia="Arial" w:hAnsi="Arial"/>
          <w:sz w:val="16"/>
          <w:szCs w:val="16"/>
          <w:color w:val="auto"/>
        </w:rPr>
        <w:t>) anniversary of the Effective Date.</w:t>
      </w:r>
    </w:p>
    <w:p>
      <w:pPr>
        <w:spacing w:after="0" w:line="133" w:lineRule="exact"/>
        <w:rPr>
          <w:sz w:val="20"/>
          <w:szCs w:val="20"/>
          <w:color w:val="auto"/>
        </w:rPr>
      </w:pPr>
    </w:p>
    <w:p>
      <w:pPr>
        <w:ind w:left="4" w:right="340" w:firstLine="440"/>
        <w:spacing w:after="0" w:line="347" w:lineRule="auto"/>
        <w:rPr>
          <w:sz w:val="20"/>
          <w:szCs w:val="20"/>
          <w:color w:val="auto"/>
        </w:rPr>
      </w:pPr>
      <w:r>
        <w:rPr>
          <w:rFonts w:ascii="Arial" w:cs="Arial" w:eastAsia="Arial" w:hAnsi="Arial"/>
          <w:sz w:val="16"/>
          <w:szCs w:val="16"/>
          <w:b w:val="1"/>
          <w:bCs w:val="1"/>
          <w:color w:val="auto"/>
        </w:rPr>
        <w:t>Section 12.5 Termination of a Project for Futility</w:t>
      </w:r>
      <w:r>
        <w:rPr>
          <w:rFonts w:ascii="Arial" w:cs="Arial" w:eastAsia="Arial" w:hAnsi="Arial"/>
          <w:sz w:val="16"/>
          <w:szCs w:val="16"/>
          <w:color w:val="auto"/>
        </w:rPr>
        <w:t>. If the JRC unanimously determines that the research and development activities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Project are futile and cannot be addressed by amending such Project, then the Parties shall terminate such affected Project hereunder.</w:t>
      </w:r>
    </w:p>
    <w:p>
      <w:pPr>
        <w:spacing w:after="0" w:line="11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12.6 Effects of Termination. </w:t>
      </w:r>
      <w:r>
        <w:rPr>
          <w:rFonts w:ascii="Arial" w:cs="Arial" w:eastAsia="Arial" w:hAnsi="Arial"/>
          <w:sz w:val="18"/>
          <w:szCs w:val="18"/>
          <w:color w:val="auto"/>
        </w:rPr>
        <w:t>Upon termination or expiration of this Agreement under this Article 12:</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0984"/>
          </w:cols>
          <w:pgMar w:left="436" w:top="274" w:right="479" w:bottom="1440" w:gutter="0" w:footer="0" w:header="0"/>
        </w:sectPr>
      </w:pPr>
    </w:p>
    <w:bookmarkStart w:id="342" w:name="page343"/>
    <w:bookmarkEnd w:id="342"/>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12.6.1 Termination of Licenses.</w:t>
      </w:r>
    </w:p>
    <w:p>
      <w:pPr>
        <w:spacing w:after="0" w:line="121" w:lineRule="exact"/>
        <w:rPr>
          <w:sz w:val="20"/>
          <w:szCs w:val="20"/>
          <w:color w:val="auto"/>
        </w:rPr>
      </w:pPr>
    </w:p>
    <w:p>
      <w:pPr>
        <w:ind w:right="20" w:firstLine="1428"/>
        <w:spacing w:after="0" w:line="286" w:lineRule="auto"/>
        <w:tabs>
          <w:tab w:leader="none" w:pos="1687" w:val="left"/>
        </w:tabs>
        <w:numPr>
          <w:ilvl w:val="0"/>
          <w:numId w:val="213"/>
        </w:numPr>
        <w:rPr>
          <w:rFonts w:ascii="Arial" w:cs="Arial" w:eastAsia="Arial" w:hAnsi="Arial"/>
          <w:sz w:val="17"/>
          <w:szCs w:val="17"/>
          <w:b w:val="1"/>
          <w:bCs w:val="1"/>
          <w:color w:val="auto"/>
        </w:rPr>
      </w:pPr>
      <w:r>
        <w:rPr>
          <w:rFonts w:ascii="Arial" w:cs="Arial" w:eastAsia="Arial" w:hAnsi="Arial"/>
          <w:sz w:val="17"/>
          <w:szCs w:val="17"/>
          <w:color w:val="auto"/>
        </w:rPr>
        <w:t>In the event such termination of this Agreement is by Amgen pursuant to (i) Section 12.3.1 as a result of RBNC’s breach of its obligations or restrictions under Section 4.3 or (ii) Section 12.3.2, all licenses and sublicenses granted by Amgen under Section 4.1.1 and 4.1.3, as of the effective date of such termination, shall terminate automatically unless otherwise agreed by the Parties in writing.</w:t>
      </w:r>
    </w:p>
    <w:p>
      <w:pPr>
        <w:spacing w:after="0" w:line="57" w:lineRule="exact"/>
        <w:rPr>
          <w:rFonts w:ascii="Arial" w:cs="Arial" w:eastAsia="Arial" w:hAnsi="Arial"/>
          <w:sz w:val="17"/>
          <w:szCs w:val="17"/>
          <w:b w:val="1"/>
          <w:bCs w:val="1"/>
          <w:color w:val="auto"/>
        </w:rPr>
      </w:pPr>
    </w:p>
    <w:p>
      <w:pPr>
        <w:jc w:val="both"/>
        <w:ind w:right="20" w:firstLine="1428"/>
        <w:spacing w:after="0" w:line="286" w:lineRule="auto"/>
        <w:tabs>
          <w:tab w:leader="none" w:pos="1697" w:val="left"/>
        </w:tabs>
        <w:numPr>
          <w:ilvl w:val="0"/>
          <w:numId w:val="213"/>
        </w:numPr>
        <w:rPr>
          <w:rFonts w:ascii="Arial" w:cs="Arial" w:eastAsia="Arial" w:hAnsi="Arial"/>
          <w:sz w:val="17"/>
          <w:szCs w:val="17"/>
          <w:b w:val="1"/>
          <w:bCs w:val="1"/>
          <w:color w:val="auto"/>
        </w:rPr>
      </w:pPr>
      <w:r>
        <w:rPr>
          <w:rFonts w:ascii="Arial" w:cs="Arial" w:eastAsia="Arial" w:hAnsi="Arial"/>
          <w:sz w:val="17"/>
          <w:szCs w:val="17"/>
          <w:color w:val="auto"/>
        </w:rPr>
        <w:t>In the event such termination of this Agreement is by Amgen pursuant to Section 12.3.1 as a result of RBNC’s material breach of this Agreement that is not a breach of RBNC’s obligations or restrictions under Section 4.3, the “RBNC Exclusivity Period” shall be deemed to expire at the end of the Term and the license granted in Section 4.1.1 shall thereafter be non-exclusive in all uses.</w:t>
      </w:r>
    </w:p>
    <w:p>
      <w:pPr>
        <w:spacing w:after="0" w:line="57" w:lineRule="exact"/>
        <w:rPr>
          <w:rFonts w:ascii="Arial" w:cs="Arial" w:eastAsia="Arial" w:hAnsi="Arial"/>
          <w:sz w:val="17"/>
          <w:szCs w:val="17"/>
          <w:b w:val="1"/>
          <w:bCs w:val="1"/>
          <w:color w:val="auto"/>
        </w:rPr>
      </w:pPr>
    </w:p>
    <w:p>
      <w:pPr>
        <w:ind w:right="140" w:firstLine="1428"/>
        <w:spacing w:after="0" w:line="286" w:lineRule="auto"/>
        <w:tabs>
          <w:tab w:leader="none" w:pos="1677" w:val="left"/>
        </w:tabs>
        <w:numPr>
          <w:ilvl w:val="0"/>
          <w:numId w:val="213"/>
        </w:numPr>
        <w:rPr>
          <w:rFonts w:ascii="Arial" w:cs="Arial" w:eastAsia="Arial" w:hAnsi="Arial"/>
          <w:sz w:val="17"/>
          <w:szCs w:val="17"/>
          <w:b w:val="1"/>
          <w:bCs w:val="1"/>
          <w:color w:val="auto"/>
        </w:rPr>
      </w:pPr>
      <w:r>
        <w:rPr>
          <w:rFonts w:ascii="Arial" w:cs="Arial" w:eastAsia="Arial" w:hAnsi="Arial"/>
          <w:sz w:val="17"/>
          <w:szCs w:val="17"/>
          <w:color w:val="auto"/>
        </w:rPr>
        <w:t>In the event such termination of this Agreement is by RBNC pursuant to (i) Section 12.2.1 as a result of Amgen’s breach of its obligations or restrictions under Section 4.3 or (ii) Section 12.2.2, all licenses and sublicenses granted by RBNC under Section 4.1.2 and Section 4.1.3, as of the effective date of such termination, shall terminate automatically unless otherwise agreed by the Parties in writing.</w:t>
      </w:r>
    </w:p>
    <w:p>
      <w:pPr>
        <w:spacing w:after="0" w:line="57" w:lineRule="exact"/>
        <w:rPr>
          <w:rFonts w:ascii="Arial" w:cs="Arial" w:eastAsia="Arial" w:hAnsi="Arial"/>
          <w:sz w:val="17"/>
          <w:szCs w:val="17"/>
          <w:b w:val="1"/>
          <w:bCs w:val="1"/>
          <w:color w:val="auto"/>
        </w:rPr>
      </w:pPr>
    </w:p>
    <w:p>
      <w:pPr>
        <w:ind w:firstLine="1428"/>
        <w:spacing w:after="0" w:line="286" w:lineRule="auto"/>
        <w:tabs>
          <w:tab w:leader="none" w:pos="1697" w:val="left"/>
        </w:tabs>
        <w:numPr>
          <w:ilvl w:val="0"/>
          <w:numId w:val="213"/>
        </w:numPr>
        <w:rPr>
          <w:rFonts w:ascii="Arial" w:cs="Arial" w:eastAsia="Arial" w:hAnsi="Arial"/>
          <w:sz w:val="17"/>
          <w:szCs w:val="17"/>
          <w:b w:val="1"/>
          <w:bCs w:val="1"/>
          <w:color w:val="auto"/>
        </w:rPr>
      </w:pPr>
      <w:r>
        <w:rPr>
          <w:rFonts w:ascii="Arial" w:cs="Arial" w:eastAsia="Arial" w:hAnsi="Arial"/>
          <w:sz w:val="17"/>
          <w:szCs w:val="17"/>
          <w:color w:val="auto"/>
        </w:rPr>
        <w:t>In the event such termination of this Agreement is by RBNC pursuant to Section 12.2.1 as a result of Amgen’s material breach of this Agreement that is not a breach of Amgen’s obligations or restrictions under Section 4.3, the “Amgen Exclusivity Period” shall be deemed to expire at the end of the Term and the license granted in Section 4.1.2 shall thereafter be non-exclusive in all uses.</w:t>
      </w:r>
    </w:p>
    <w:p>
      <w:pPr>
        <w:spacing w:after="0" w:line="53" w:lineRule="exact"/>
        <w:rPr>
          <w:sz w:val="20"/>
          <w:szCs w:val="20"/>
          <w:color w:val="auto"/>
        </w:rPr>
      </w:pPr>
    </w:p>
    <w:p>
      <w:pPr>
        <w:ind w:right="100" w:firstLine="991"/>
        <w:spacing w:after="0" w:line="258" w:lineRule="auto"/>
        <w:rPr>
          <w:sz w:val="20"/>
          <w:szCs w:val="20"/>
          <w:color w:val="auto"/>
        </w:rPr>
      </w:pPr>
      <w:r>
        <w:rPr>
          <w:rFonts w:ascii="Arial" w:cs="Arial" w:eastAsia="Arial" w:hAnsi="Arial"/>
          <w:sz w:val="18"/>
          <w:szCs w:val="18"/>
          <w:b w:val="1"/>
          <w:bCs w:val="1"/>
          <w:color w:val="auto"/>
        </w:rPr>
        <w:t xml:space="preserve">12.6.2 Destruction of Confidential Information. </w:t>
      </w:r>
      <w:r>
        <w:rPr>
          <w:rFonts w:ascii="Arial" w:cs="Arial" w:eastAsia="Arial" w:hAnsi="Arial"/>
          <w:sz w:val="18"/>
          <w:szCs w:val="18"/>
          <w:color w:val="auto"/>
        </w:rPr>
        <w:t>Upon termination or expiration of this Agreement, both Parties shall either destroy or</w:t>
      </w:r>
      <w:r>
        <w:rPr>
          <w:rFonts w:ascii="Arial" w:cs="Arial" w:eastAsia="Arial" w:hAnsi="Arial"/>
          <w:sz w:val="18"/>
          <w:szCs w:val="18"/>
          <w:b w:val="1"/>
          <w:bCs w:val="1"/>
          <w:color w:val="auto"/>
        </w:rPr>
        <w:t xml:space="preserve"> </w:t>
      </w:r>
      <w:r>
        <w:rPr>
          <w:rFonts w:ascii="Arial" w:cs="Arial" w:eastAsia="Arial" w:hAnsi="Arial"/>
          <w:sz w:val="18"/>
          <w:szCs w:val="18"/>
          <w:color w:val="auto"/>
        </w:rPr>
        <w:t>return to each other all Confidential Information that has been provided by each Party to the other (except for one copy which may be retained for archival purposes) and any other property of the other Party provided to the other Party under this Agreement, provided each Party may retain such Confidential Information to the extent necessary to practice the rights licensed to it under Section 4.1, which shall continue to be subject to the terms of Article 11 for the period set forth in Section 11.1.2.</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12.6.3 Prior Payments</w:t>
      </w:r>
      <w:r>
        <w:rPr>
          <w:rFonts w:ascii="Arial" w:cs="Arial" w:eastAsia="Arial" w:hAnsi="Arial"/>
          <w:sz w:val="16"/>
          <w:szCs w:val="16"/>
          <w:color w:val="auto"/>
        </w:rPr>
        <w:t>. Each Party shall pay all undisputed amounts then due and owing to the other Party as of the termination date.</w:t>
      </w:r>
    </w:p>
    <w:p>
      <w:pPr>
        <w:spacing w:after="0" w:line="24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12.7 Survival. </w:t>
      </w:r>
      <w:r>
        <w:rPr>
          <w:rFonts w:ascii="Arial" w:cs="Arial" w:eastAsia="Arial" w:hAnsi="Arial"/>
          <w:sz w:val="17"/>
          <w:szCs w:val="17"/>
          <w:color w:val="auto"/>
        </w:rPr>
        <w:t>In addition to the effects set forth in Section 12.6 and the provisions that are expressly stated to survive termination,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provisions will survive termination or expiration of this Agreement: Section 2.7 (for the period of time specified therein), Section 3.6 (solely with respect to the disclaimer), Sections 4.1-4.4 (subject to the provisions of Section 12.6), Section 5.1, Section 5.2 (for the period of time specified therein), Sections 5.3-5.5 (except for termination by RBNC for Amgen’s material breach under Section 12.2.1, and only for the period of time specified in Sections 5.3-5.5), Sections 6.1-6.6 (solely to the extent payments accrued but remain unpaid as of the effective date of termination or expiration), Section 8.5, Section 12.6, Section 12.7, Article 1, Article 7, Article 9, Article 10, Article 11 (with respect to a Party’s confidentiality obligations, for the period of time specified in Section 11.1.2), and Article 13</w:t>
      </w:r>
      <w:r>
        <w:rPr>
          <w:rFonts w:ascii="Arial" w:cs="Arial" w:eastAsia="Arial" w:hAnsi="Arial"/>
          <w:sz w:val="17"/>
          <w:szCs w:val="17"/>
          <w:b w:val="1"/>
          <w:bCs w:val="1"/>
          <w:color w:val="auto"/>
        </w:rPr>
        <w:t>.</w:t>
      </w:r>
      <w:r>
        <w:rPr>
          <w:rFonts w:ascii="Arial" w:cs="Arial" w:eastAsia="Arial" w:hAnsi="Arial"/>
          <w:sz w:val="17"/>
          <w:szCs w:val="17"/>
          <w:color w:val="auto"/>
        </w:rPr>
        <w:t xml:space="preserve"> Termination or expiration of this Agreement are neither Party’s exclusive remedy and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All other rights and obligations will terminate upon termination or expiration of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000"/>
          </w:cols>
          <w:pgMar w:left="440" w:top="270" w:right="45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13 MISCELLANEOUS</w:t>
      </w:r>
    </w:p>
    <w:p>
      <w:pPr>
        <w:spacing w:after="0" w:line="117"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Section 13.1 Entire Agreement; Amendment</w:t>
      </w:r>
      <w:r>
        <w:rPr>
          <w:rFonts w:ascii="Arial" w:cs="Arial" w:eastAsia="Arial" w:hAnsi="Arial"/>
          <w:sz w:val="17"/>
          <w:szCs w:val="17"/>
          <w:color w:val="auto"/>
        </w:rPr>
        <w:t>. This Agreement and all Exhibits attached to this Agreement constitute the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Parties as to the subject matter hereof. All prior and contemporaneous negotiations, representations, warranties, agreements, statements, promises and understandings with respect to the subject matter of this Agreement are hereby superseded and merged into, extinguished by and completely expressed by this Agreement. None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all Parties.</w:t>
      </w:r>
    </w:p>
    <w:p>
      <w:pPr>
        <w:spacing w:after="0" w:line="173"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b w:val="1"/>
          <w:bCs w:val="1"/>
          <w:color w:val="auto"/>
        </w:rPr>
        <w:t>Section 13.2 Section 365(n) of the Bankruptcy Code</w:t>
      </w:r>
      <w:r>
        <w:rPr>
          <w:rFonts w:ascii="Arial" w:cs="Arial" w:eastAsia="Arial" w:hAnsi="Arial"/>
          <w:sz w:val="16"/>
          <w:szCs w:val="16"/>
          <w:color w:val="auto"/>
        </w:rPr>
        <w:t>. All rights and licenses granted under or pursuant to any section of this Agreement are,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otherwise be deemed to be, for purposes of Section 365(n) of the U.S. Bankruptcy Code, licenses of rights to “intellectual property” as defined under Section 101(35A) of the U.S. Bankruptcy Code to the extent permitted thereunder. The Parties shall retain and may fully exercise all of their respective rights and elections under the U.S. Bankruptcy Code. Upon the bankruptcy of any Party, the non-bankrupt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w:t>
      </w:r>
    </w:p>
    <w:p>
      <w:pPr>
        <w:spacing w:after="0" w:line="160" w:lineRule="exact"/>
        <w:rPr>
          <w:sz w:val="20"/>
          <w:szCs w:val="20"/>
          <w:color w:val="auto"/>
        </w:rPr>
      </w:pPr>
    </w:p>
    <w:p>
      <w:pPr>
        <w:ind w:right="120" w:firstLine="440"/>
        <w:spacing w:after="0" w:line="298" w:lineRule="auto"/>
        <w:rPr>
          <w:sz w:val="20"/>
          <w:szCs w:val="20"/>
          <w:color w:val="auto"/>
        </w:rPr>
      </w:pPr>
      <w:r>
        <w:rPr>
          <w:rFonts w:ascii="Arial" w:cs="Arial" w:eastAsia="Arial" w:hAnsi="Arial"/>
          <w:sz w:val="16"/>
          <w:szCs w:val="16"/>
          <w:b w:val="1"/>
          <w:bCs w:val="1"/>
          <w:color w:val="auto"/>
        </w:rPr>
        <w:t>Section 13.3 Independent Contractors</w:t>
      </w:r>
      <w:r>
        <w:rPr>
          <w:rFonts w:ascii="Arial" w:cs="Arial" w:eastAsia="Arial" w:hAnsi="Arial"/>
          <w:sz w:val="16"/>
          <w:szCs w:val="16"/>
          <w:color w:val="auto"/>
        </w:rPr>
        <w:t>. The relationship between RBNC and Amgen created by this Agreement is solely that of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This Agreement does not create any agency, distributorship, employee-employer,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 Each Party shall use its own discretion and shall have complete and authoritative control over its employees and the details of performing its obligations under this Agreement.</w:t>
      </w:r>
    </w:p>
    <w:p>
      <w:pPr>
        <w:spacing w:after="0" w:line="15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Section 13.4 Governing Law; Jurisdiction</w:t>
      </w:r>
      <w:r>
        <w:rPr>
          <w:rFonts w:ascii="Arial" w:cs="Arial" w:eastAsia="Arial" w:hAnsi="Arial"/>
          <w:sz w:val="17"/>
          <w:szCs w:val="17"/>
          <w:color w:val="auto"/>
        </w:rPr>
        <w:t>. This Agreement and its effect are subject to and shall be construed and enforced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law of the State of New York, without regard to its conflicts of laws, except as to (a) any issue which depends upon access or usage rights, obligations or restrictions with respect to the databases used in the performance of the Collaboration Activities, which issue shall be determined in accordance with the laws specified in the agreements giving rise to Amgen (or its Affiliate’s) right to use such databases, and (b) any issue which depends upon the validity, scope or enforceability of any Patent Right, which issue shall be determined in accordance with the laws of the country in which such patent was issued. Each of the Parties hereby irrevocably and unconditionally consents to submit to the exclusive jurisdiction of the courts of the State of New York for any matter arising out of or relating to this Agreement and the transactions contemplated hereby, and agrees not to commence any litigation relating thereto except in such courts. Each of the Parties hereby irrevocably and unconditionally waives any objection to the laying of venue of any matter arising out of this Agreement or the transactions contemplated hereby in the courts of the State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Agreement shall be exclusively conducted in the English language.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000"/>
          </w:cols>
          <w:pgMar w:left="440" w:top="270" w:right="459" w:bottom="1440" w:gutter="0" w:footer="0" w:header="0"/>
        </w:sectPr>
      </w:pPr>
    </w:p>
    <w:bookmarkStart w:id="344" w:name="page345"/>
    <w:bookmarkEnd w:id="344"/>
    <w:p>
      <w:pPr>
        <w:ind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13.5 Notice</w:t>
      </w:r>
      <w:r>
        <w:rPr>
          <w:rFonts w:ascii="Arial" w:cs="Arial" w:eastAsia="Arial" w:hAnsi="Arial"/>
          <w:sz w:val="18"/>
          <w:szCs w:val="18"/>
          <w:color w:val="auto"/>
        </w:rPr>
        <w:t>. All notices or communication required or permitted to be given by either Party hereunder shall be deemed sufficiently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if mailed by registered mail or certified mail, return receipt requested, or sent by overnight courier, such as Federal Express, to the other Party at its respective address set forth below or to such other address as one Party shall give notice of to the other from time to time hereunder. Mailed notices shall be deemed to be received on the third (3rd) business day following the date of mailing. Notices sent by overnight courier shall be deemed received the following business day.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RBNC: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RBNC Therapeutics,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Watertown, Massachusetts 02472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Chief Legal Officer</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140 Scott Dr.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Amgen: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Amgen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Amgen Center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Thousand Oaks, CA 91320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Corporate Secretary</w:t>
      </w:r>
    </w:p>
    <w:p>
      <w:pPr>
        <w:spacing w:after="0" w:line="207"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Section 13.6 Compliance With Law; Severability</w:t>
      </w:r>
      <w:r>
        <w:rPr>
          <w:rFonts w:ascii="Arial" w:cs="Arial" w:eastAsia="Arial" w:hAnsi="Arial"/>
          <w:sz w:val="18"/>
          <w:szCs w:val="18"/>
          <w:color w:val="auto"/>
        </w:rPr>
        <w:t>. Nothing in this Agreement shall be construed to require the commission of any act contrary</w:t>
      </w:r>
      <w:r>
        <w:rPr>
          <w:rFonts w:ascii="Arial" w:cs="Arial" w:eastAsia="Arial" w:hAnsi="Arial"/>
          <w:sz w:val="18"/>
          <w:szCs w:val="18"/>
          <w:b w:val="1"/>
          <w:bCs w:val="1"/>
          <w:color w:val="auto"/>
        </w:rPr>
        <w:t xml:space="preserve"> </w:t>
      </w:r>
      <w:r>
        <w:rPr>
          <w:rFonts w:ascii="Arial" w:cs="Arial" w:eastAsia="Arial" w:hAnsi="Arial"/>
          <w:sz w:val="18"/>
          <w:szCs w:val="18"/>
          <w:color w:val="auto"/>
        </w:rPr>
        <w:t>to 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180"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Section 13.7 Non-Use of Names</w:t>
      </w:r>
      <w:r>
        <w:rPr>
          <w:rFonts w:ascii="Arial" w:cs="Arial" w:eastAsia="Arial" w:hAnsi="Arial"/>
          <w:sz w:val="18"/>
          <w:szCs w:val="18"/>
          <w:color w:val="auto"/>
        </w:rPr>
        <w:t>. Amgen shall not use the name, trademark, logo, or physical likeness of RBNC or any of its officers, directors 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any adaptation of any of them, in any advertising, promotional or sales literature, without RBNC’s prior written consent. Amgen shall require its Affiliates to comply with the foregoing. RBNC shall not use the name, trademark, logo, or physical likeness of Amgen or any of its officers, directors or employees, or any adaptation of any of them, in any advertising, promotional or sales literature, without Amgen’s prior written consent. RBNC shall require its Affiliates to comply with the foregoing.</w:t>
      </w:r>
    </w:p>
    <w:p>
      <w:pPr>
        <w:spacing w:after="0" w:line="183"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b w:val="1"/>
          <w:bCs w:val="1"/>
          <w:color w:val="auto"/>
        </w:rPr>
        <w:t>Section 13.8 Successors and Assigns</w:t>
      </w:r>
      <w:r>
        <w:rPr>
          <w:rFonts w:ascii="Arial" w:cs="Arial" w:eastAsia="Arial" w:hAnsi="Arial"/>
          <w:sz w:val="18"/>
          <w:szCs w:val="18"/>
          <w:color w:val="auto"/>
        </w:rPr>
        <w:t>. Neither this Agreement nor any of the rights or obligations created herein may be assigned by 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in whole or in part, without the prior written consent of the other Party, not to be unreasonably withheld or delayed except that either Party shall be free to assign this Agreement (a) to an Affiliate of such Party (for so long as such Affiliate remains an Affiliate) provided that such Party shall remain liable and responsible to the other Party for the performance and observance of all such duties and obligations by such Affiliate, or (b) in connection with any merger, consolidation or sale of such Party or sale of all or substantially all of the assets of the Party that relate to this Agreement (a “</w:t>
      </w:r>
      <w:r>
        <w:rPr>
          <w:rFonts w:ascii="Arial" w:cs="Arial" w:eastAsia="Arial" w:hAnsi="Arial"/>
          <w:sz w:val="18"/>
          <w:szCs w:val="18"/>
          <w:b w:val="1"/>
          <w:bCs w:val="1"/>
          <w:color w:val="auto"/>
        </w:rPr>
        <w:t>Sale</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 in each case without the prior consent of the non-assigning Party. This Agreement shall bind and inure to the benefit of the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permitted assigns of the Parties hereto. Any assignment of this Agreement in contravention of this Section 13.8 (Successors and Assigns) shall be null and void.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000"/>
          </w:cols>
          <w:pgMar w:left="440" w:top="270" w:right="459" w:bottom="1440" w:gutter="0" w:footer="0" w:header="0"/>
        </w:sectPr>
      </w:pPr>
    </w:p>
    <w:bookmarkStart w:id="345" w:name="page346"/>
    <w:bookmarkEnd w:id="345"/>
    <w:p>
      <w:pPr>
        <w:ind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13.9 Sale Transaction or Amgen Acquisition</w:t>
      </w:r>
      <w:r>
        <w:rPr>
          <w:rFonts w:ascii="Arial" w:cs="Arial" w:eastAsia="Arial" w:hAnsi="Arial"/>
          <w:sz w:val="18"/>
          <w:szCs w:val="18"/>
          <w:color w:val="auto"/>
        </w:rPr>
        <w:t>. In the event of (x) a Sale Transaction, or (y) the acquisition by Amgen of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the business of a Third Party (together with any entities that were Affiliates of such Third Party immediately prior to such acquisition, an “</w:t>
      </w:r>
      <w:r>
        <w:rPr>
          <w:rFonts w:ascii="Arial" w:cs="Arial" w:eastAsia="Arial" w:hAnsi="Arial"/>
          <w:sz w:val="18"/>
          <w:szCs w:val="18"/>
          <w:b w:val="1"/>
          <w:bCs w:val="1"/>
          <w:color w:val="auto"/>
        </w:rPr>
        <w:t>Amgen Acquiree</w:t>
      </w:r>
      <w:r>
        <w:rPr>
          <w:rFonts w:ascii="Arial" w:cs="Arial" w:eastAsia="Arial" w:hAnsi="Arial"/>
          <w:sz w:val="18"/>
          <w:szCs w:val="18"/>
          <w:color w:val="auto"/>
        </w:rPr>
        <w:t>”), whether by merger, sale of stock, sale of assets or otherwise (an “</w:t>
      </w:r>
      <w:r>
        <w:rPr>
          <w:rFonts w:ascii="Arial" w:cs="Arial" w:eastAsia="Arial" w:hAnsi="Arial"/>
          <w:sz w:val="18"/>
          <w:szCs w:val="18"/>
          <w:b w:val="1"/>
          <w:bCs w:val="1"/>
          <w:color w:val="auto"/>
        </w:rPr>
        <w:t>Amgen Acquisition</w:t>
      </w:r>
      <w:r>
        <w:rPr>
          <w:rFonts w:ascii="Arial" w:cs="Arial" w:eastAsia="Arial" w:hAnsi="Arial"/>
          <w:sz w:val="18"/>
          <w:szCs w:val="18"/>
          <w:color w:val="auto"/>
        </w:rPr>
        <w:t>”), intellectual property rights of the acquiring party in a Sale Transaction, if other than one of the Parties to this Agreement (together with any entities that were affiliates of such Third Party immediately prior to such Sale Transaction, a “</w:t>
      </w:r>
      <w:r>
        <w:rPr>
          <w:rFonts w:ascii="Arial" w:cs="Arial" w:eastAsia="Arial" w:hAnsi="Arial"/>
          <w:sz w:val="18"/>
          <w:szCs w:val="18"/>
          <w:b w:val="1"/>
          <w:bCs w:val="1"/>
          <w:color w:val="auto"/>
        </w:rPr>
        <w:t>Third Party Acquirer</w:t>
      </w:r>
      <w:r>
        <w:rPr>
          <w:rFonts w:ascii="Arial" w:cs="Arial" w:eastAsia="Arial" w:hAnsi="Arial"/>
          <w:sz w:val="18"/>
          <w:szCs w:val="18"/>
          <w:color w:val="auto"/>
        </w:rPr>
        <w:t>”), or the Amgen Acquiree, as applicable, shall not be included in the technology licensed hereunder or otherwise subject to this Agreement.</w:t>
      </w:r>
    </w:p>
    <w:p>
      <w:pPr>
        <w:spacing w:after="0" w:line="187"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Section 13.10 Waivers</w:t>
      </w:r>
      <w:r>
        <w:rPr>
          <w:rFonts w:ascii="Arial" w:cs="Arial" w:eastAsia="Arial" w:hAnsi="Arial"/>
          <w:sz w:val="16"/>
          <w:szCs w:val="16"/>
          <w:color w:val="auto"/>
        </w:rPr>
        <w:t>. A Party’s consent to or waiver, express or implied, of any other Party’s breach of its obligations hereunder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161" w:lineRule="exact"/>
        <w:rPr>
          <w:sz w:val="20"/>
          <w:szCs w:val="20"/>
          <w:color w:val="auto"/>
        </w:rPr>
      </w:pPr>
    </w:p>
    <w:p>
      <w:pPr>
        <w:ind w:right="220" w:firstLine="440"/>
        <w:spacing w:after="0" w:line="289" w:lineRule="auto"/>
        <w:rPr>
          <w:sz w:val="20"/>
          <w:szCs w:val="20"/>
          <w:color w:val="auto"/>
        </w:rPr>
      </w:pPr>
      <w:r>
        <w:rPr>
          <w:rFonts w:ascii="Arial" w:cs="Arial" w:eastAsia="Arial" w:hAnsi="Arial"/>
          <w:sz w:val="17"/>
          <w:szCs w:val="17"/>
          <w:b w:val="1"/>
          <w:bCs w:val="1"/>
          <w:color w:val="auto"/>
        </w:rPr>
        <w:t>Section 13.11 No Third Party Beneficiaries</w:t>
      </w:r>
      <w:r>
        <w:rPr>
          <w:rFonts w:ascii="Arial" w:cs="Arial" w:eastAsia="Arial" w:hAnsi="Arial"/>
          <w:sz w:val="17"/>
          <w:szCs w:val="17"/>
          <w:color w:val="auto"/>
        </w:rPr>
        <w:t>. Except as expressly provided with respect to Amgen Indemnified Parties and RBNC Indemnified</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in Article 9 (Indemnification), nothing in this Agreement shall be construed as giving any Person, other than the Parties hereto and their successors and permitted assigns, any right, remedy or claim under or in respect of this Agreement or any provision hereof.</w:t>
      </w:r>
    </w:p>
    <w:p>
      <w:pPr>
        <w:spacing w:after="0" w:line="158"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Section 13.12 Performance by Affiliates. </w:t>
      </w:r>
      <w:r>
        <w:rPr>
          <w:rFonts w:ascii="Arial" w:cs="Arial" w:eastAsia="Arial" w:hAnsi="Arial"/>
          <w:sz w:val="18"/>
          <w:szCs w:val="18"/>
          <w:color w:val="auto"/>
        </w:rPr>
        <w:t>RBNC shall have the right to exercise its rights and perform its obligations under this Agreement either</w:t>
      </w:r>
      <w:r>
        <w:rPr>
          <w:rFonts w:ascii="Arial" w:cs="Arial" w:eastAsia="Arial" w:hAnsi="Arial"/>
          <w:sz w:val="18"/>
          <w:szCs w:val="18"/>
          <w:b w:val="1"/>
          <w:bCs w:val="1"/>
          <w:color w:val="auto"/>
        </w:rPr>
        <w:t xml:space="preserve"> </w:t>
      </w:r>
      <w:r>
        <w:rPr>
          <w:rFonts w:ascii="Arial" w:cs="Arial" w:eastAsia="Arial" w:hAnsi="Arial"/>
          <w:sz w:val="18"/>
          <w:szCs w:val="18"/>
          <w:color w:val="auto"/>
        </w:rPr>
        <w:t>itself or through any of its Affiliates.</w:t>
      </w:r>
    </w:p>
    <w:p>
      <w:pPr>
        <w:spacing w:after="0" w:line="162" w:lineRule="exact"/>
        <w:rPr>
          <w:sz w:val="20"/>
          <w:szCs w:val="20"/>
          <w:color w:val="auto"/>
        </w:rPr>
      </w:pPr>
    </w:p>
    <w:p>
      <w:pPr>
        <w:ind w:right="780" w:firstLine="440"/>
        <w:spacing w:after="0" w:line="282" w:lineRule="auto"/>
        <w:rPr>
          <w:sz w:val="20"/>
          <w:szCs w:val="20"/>
          <w:color w:val="auto"/>
        </w:rPr>
      </w:pPr>
      <w:r>
        <w:rPr>
          <w:rFonts w:ascii="Arial" w:cs="Arial" w:eastAsia="Arial" w:hAnsi="Arial"/>
          <w:sz w:val="18"/>
          <w:szCs w:val="18"/>
          <w:b w:val="1"/>
          <w:bCs w:val="1"/>
          <w:color w:val="auto"/>
        </w:rPr>
        <w:t>Section 13.13 Headings; Exhibits</w:t>
      </w:r>
      <w:r>
        <w:rPr>
          <w:rFonts w:ascii="Arial" w:cs="Arial" w:eastAsia="Arial" w:hAnsi="Arial"/>
          <w:sz w:val="18"/>
          <w:szCs w:val="18"/>
          <w:color w:val="auto"/>
        </w:rPr>
        <w:t>. Article and Section headings used herein are for convenient reference only, and are not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Exhibits are incorporated herein by this reference.</w:t>
      </w:r>
    </w:p>
    <w:p>
      <w:pPr>
        <w:spacing w:after="0" w:line="162"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Section 13.14 Interpretation</w:t>
      </w:r>
      <w:r>
        <w:rPr>
          <w:rFonts w:ascii="Arial" w:cs="Arial" w:eastAsia="Arial" w:hAnsi="Arial"/>
          <w:sz w:val="17"/>
          <w:szCs w:val="17"/>
          <w:color w:val="auto"/>
        </w:rPr>
        <w:t>. Except where the context otherwise requires, wherever used, the singular shall include the plural, the plural the</w:t>
      </w:r>
      <w:r>
        <w:rPr>
          <w:rFonts w:ascii="Arial" w:cs="Arial" w:eastAsia="Arial" w:hAnsi="Arial"/>
          <w:sz w:val="17"/>
          <w:szCs w:val="17"/>
          <w:b w:val="1"/>
          <w:bCs w:val="1"/>
          <w:color w:val="auto"/>
        </w:rPr>
        <w:t xml:space="preserve"> </w:t>
      </w:r>
      <w:r>
        <w:rPr>
          <w:rFonts w:ascii="Arial" w:cs="Arial" w:eastAsia="Arial" w:hAnsi="Arial"/>
          <w:sz w:val="17"/>
          <w:szCs w:val="17"/>
          <w:color w:val="auto"/>
        </w:rPr>
        <w:t>singular, the use of any gender shall be applicable to all genders and the word “or” is used in the inclusive sense (and/or). The term “including” as used herein shall mean including, without limiting the generality of any description preceding such term. The term “will” as used herein means shall. All references to a “business day” or “business days” in this Agreement means any day other than a day which is a Saturday, a Sunday or any day banks are authorized or required to be closed in the United States. The language in all parts of this Agreement shall be deemed to be the language mutually chosen by the Parties. The Parties and their counsel have cooperated in the drafting and preparation of this Agreement, and this Agreement therefore shall not be construed against any Party by virtue of its role as the drafter thereof.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020"/>
          </w:cols>
          <w:pgMar w:left="440" w:top="270" w:right="439" w:bottom="1440" w:gutter="0" w:footer="0" w:header="0"/>
        </w:sectPr>
      </w:pPr>
    </w:p>
    <w:bookmarkStart w:id="346" w:name="page347"/>
    <w:bookmarkEnd w:id="346"/>
    <w:p>
      <w:pPr>
        <w:ind w:right="12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13.15 Equitable Relief</w:t>
      </w:r>
      <w:r>
        <w:rPr>
          <w:rFonts w:ascii="Arial" w:cs="Arial" w:eastAsia="Arial" w:hAnsi="Arial"/>
          <w:sz w:val="16"/>
          <w:szCs w:val="16"/>
          <w:color w:val="auto"/>
        </w:rPr>
        <w:t>. Each Party acknowledges that a breach by it of the provisions of this Agreement may not reasonably or</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adequately be compensated in damages in an action at law and that such a breach may cause the other Party irreparable injury and damage. By reason thereof, each Party agrees that the other Party is entitled to seek, in addition to any other remedies it may have under this Agreement or otherwise, preliminary and permanent injunctive and other equitable relief to prevent or curtail any breach of this Agreement by the other Party and is otherwise entitled to specific performance of the terms hereof; provided, however, that no specification in this Agreement of a specific legal or equitable remedy will be construed as a waiver or prohibition against the pursuing of other legal or equitable remedies in the event of such a breach.</w:t>
      </w:r>
    </w:p>
    <w:p>
      <w:pPr>
        <w:spacing w:after="0" w:line="16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Section 13.16 Force Majeure</w:t>
      </w:r>
      <w:r>
        <w:rPr>
          <w:rFonts w:ascii="Arial" w:cs="Arial" w:eastAsia="Arial" w:hAnsi="Arial"/>
          <w:sz w:val="18"/>
          <w:szCs w:val="18"/>
          <w:color w:val="auto"/>
        </w:rPr>
        <w:t>. Neither Party shall be held liable or responsible to the other Party, nor be deemed to have defaulted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breached this Agreement, for failure or delay in fulfilling or performing any term of this Agreement to the extent, and for so long as, such failure or delay is caused by or results from causes beyond the reasonable control of the affected Party, including fire, floods, embargoes, power shortage or failure, acts of war (whether war be declared or not), insurrections, riots, terrorism, civil commotions, strikes, a pandemic (including COVID19 related interruptions), lockouts or other labor disturbances, acts of God, or any acts, omissions, or delays in acting by any governmental authority or the other Party; provided, however, that the affected Party promptly notifies the other Party in writing (and continues to provide monthly status updates to the other Party for the duration of the effect); and provided further, however, that the affected Party shall use its commercially reasonable efforts to avoid or remove such causes of non-performance and to mitigate the effect of such occurrence, and shall continue performance with reasonable dispatch whenever such causes are removed.</w:t>
      </w:r>
    </w:p>
    <w:p>
      <w:pPr>
        <w:spacing w:after="0" w:line="188"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Section 13.17 Further Assurances</w:t>
      </w:r>
      <w:r>
        <w:rPr>
          <w:rFonts w:ascii="Arial" w:cs="Arial" w:eastAsia="Arial" w:hAnsi="Arial"/>
          <w:sz w:val="18"/>
          <w:szCs w:val="18"/>
          <w:color w:val="auto"/>
        </w:rPr>
        <w:t>. Each Party shall execute, acknowledge, and deliver such further instructions, and to do all such other acts,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necessary or appropriate in order to carry out the purposes and intent of this Agreement.</w:t>
      </w:r>
    </w:p>
    <w:p>
      <w:pPr>
        <w:spacing w:after="0" w:line="162" w:lineRule="exact"/>
        <w:rPr>
          <w:sz w:val="20"/>
          <w:szCs w:val="20"/>
          <w:color w:val="auto"/>
        </w:rPr>
      </w:pPr>
    </w:p>
    <w:p>
      <w:pPr>
        <w:jc w:val="both"/>
        <w:ind w:right="560" w:firstLine="440"/>
        <w:spacing w:after="0" w:line="347" w:lineRule="auto"/>
        <w:rPr>
          <w:sz w:val="20"/>
          <w:szCs w:val="20"/>
          <w:color w:val="auto"/>
        </w:rPr>
      </w:pPr>
      <w:r>
        <w:rPr>
          <w:rFonts w:ascii="Arial" w:cs="Arial" w:eastAsia="Arial" w:hAnsi="Arial"/>
          <w:sz w:val="16"/>
          <w:szCs w:val="16"/>
          <w:b w:val="1"/>
          <w:bCs w:val="1"/>
          <w:color w:val="auto"/>
        </w:rPr>
        <w:t>Section 13.18 Counterparts</w:t>
      </w:r>
      <w:r>
        <w:rPr>
          <w:rFonts w:ascii="Arial" w:cs="Arial" w:eastAsia="Arial" w:hAnsi="Arial"/>
          <w:sz w:val="16"/>
          <w:szCs w:val="16"/>
          <w:color w:val="auto"/>
        </w:rPr>
        <w:t>. This Agreement may be executed in counterparts by a single Party, each of which when taken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and the same agreement, and may be executed through the use of facsimiles or .pdf or other electronically transmitted documents.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0940"/>
          </w:cols>
          <w:pgMar w:left="440" w:top="270" w:right="519" w:bottom="1440" w:gutter="0" w:footer="0" w:header="0"/>
        </w:sectPr>
      </w:pPr>
    </w:p>
    <w:bookmarkStart w:id="347" w:name="page348"/>
    <w:bookmarkEnd w:id="347"/>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7"/>
          <w:szCs w:val="17"/>
          <w:color w:val="auto"/>
        </w:rPr>
        <w:t>the Parties have executed this Agreement as of the Execution Date.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AMGEN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Robert A. Bradway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of the Board, CEO &amp; 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RBNC 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Paul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Paul Berns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right"/>
        <w:ind w:right="2079"/>
        <w:spacing w:after="0"/>
        <w:rPr>
          <w:sz w:val="20"/>
          <w:szCs w:val="20"/>
          <w:color w:val="auto"/>
        </w:rPr>
      </w:pPr>
      <w:r>
        <w:rPr>
          <w:rFonts w:ascii="Arial" w:cs="Arial" w:eastAsia="Arial" w:hAnsi="Arial"/>
          <w:sz w:val="18"/>
          <w:szCs w:val="18"/>
          <w:color w:val="auto"/>
        </w:rPr>
        <w:t>[Signature Page to Research Collaboration and License Agreement]</w:t>
      </w:r>
    </w:p>
    <w:p>
      <w:pPr>
        <w:sectPr>
          <w:pgSz w:w="11900" w:h="16838" w:orient="portrait"/>
          <w:cols w:equalWidth="0" w:num="1">
            <w:col w:w="10019"/>
          </w:cols>
          <w:pgMar w:left="440" w:top="270" w:right="1440"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 AND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 – PROJECT CRITERIA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EXHIBIT B – INFORMATION SECURITY</w:t>
      </w:r>
    </w:p>
    <w:p>
      <w:pPr>
        <w:sectPr>
          <w:pgSz w:w="11900" w:h="16838" w:orient="portrait"/>
          <w:cols w:equalWidth="0" w:num="1">
            <w:col w:w="10019"/>
          </w:cols>
          <w:pgMar w:left="440" w:top="274" w:right="1440" w:bottom="1440" w:gutter="0" w:footer="0" w:header="0"/>
        </w:sectPr>
      </w:pPr>
    </w:p>
    <w:bookmarkStart w:id="349" w:name="page350"/>
    <w:bookmarkEnd w:id="349"/>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Project Criteria</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350" w:name="page351"/>
    <w:bookmarkEnd w:id="350"/>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Information Security Schedule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351" w:name="page352"/>
    <w:bookmarkEnd w:id="351"/>
    <w:p>
      <w:pPr>
        <w:ind w:left="4" w:right="200" w:hanging="4"/>
        <w:spacing w:after="0" w:line="282" w:lineRule="auto"/>
        <w:tabs>
          <w:tab w:leader="none" w:pos="439"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is treated by the Registrant as private or confidential.</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EXCLUSIVE LICENSE AGREEMENT FOR CK1d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AMGEN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RBNC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Dated as of September 10, 2021</w:t>
      </w:r>
    </w:p>
    <w:p>
      <w:pPr>
        <w:sectPr>
          <w:pgSz w:w="11900" w:h="16838" w:orient="portrait"/>
          <w:cols w:equalWidth="0" w:num="1">
            <w:col w:w="11024"/>
          </w:cols>
          <w:pgMar w:left="436" w:top="121" w:right="43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EXCLUSIVE LICENSE AGREEMENT FOR CK1</w:t>
      </w:r>
      <w:r>
        <w:rPr>
          <w:rFonts w:ascii="Arial" w:cs="Arial" w:eastAsia="Arial" w:hAnsi="Arial"/>
          <w:sz w:val="18"/>
          <w:szCs w:val="18"/>
          <w:color w:val="auto"/>
        </w:rPr>
        <w:t>d</w:t>
      </w:r>
    </w:p>
    <w:p>
      <w:pPr>
        <w:spacing w:after="0" w:line="225" w:lineRule="exact"/>
        <w:rPr>
          <w:sz w:val="20"/>
          <w:szCs w:val="20"/>
          <w:color w:val="auto"/>
        </w:rPr>
      </w:pPr>
    </w:p>
    <w:p>
      <w:pPr>
        <w:jc w:val="both"/>
        <w:ind w:right="200" w:firstLine="991"/>
        <w:spacing w:after="0" w:line="266" w:lineRule="auto"/>
        <w:rPr>
          <w:sz w:val="20"/>
          <w:szCs w:val="20"/>
          <w:color w:val="auto"/>
        </w:rPr>
      </w:pPr>
      <w:r>
        <w:rPr>
          <w:rFonts w:ascii="Arial" w:cs="Arial" w:eastAsia="Arial" w:hAnsi="Arial"/>
          <w:sz w:val="18"/>
          <w:szCs w:val="18"/>
          <w:color w:val="auto"/>
        </w:rPr>
        <w:t>This EXCLUSIVE LICENSE AGREEMENT FOR CK1d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September 10, 2021 (the “</w:t>
      </w:r>
      <w:r>
        <w:rPr>
          <w:rFonts w:ascii="Arial" w:cs="Arial" w:eastAsia="Arial" w:hAnsi="Arial"/>
          <w:sz w:val="18"/>
          <w:szCs w:val="18"/>
          <w:b w:val="1"/>
          <w:bCs w:val="1"/>
          <w:color w:val="auto"/>
        </w:rPr>
        <w:t>Execution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by and between AMGEN INC. (“</w:t>
      </w:r>
      <w:r>
        <w:rPr>
          <w:rFonts w:ascii="Arial" w:cs="Arial" w:eastAsia="Arial" w:hAnsi="Arial"/>
          <w:sz w:val="18"/>
          <w:szCs w:val="18"/>
          <w:b w:val="1"/>
          <w:bCs w:val="1"/>
          <w:color w:val="auto"/>
        </w:rPr>
        <w:t>AMGEN</w:t>
      </w:r>
      <w:r>
        <w:rPr>
          <w:rFonts w:ascii="Arial" w:cs="Arial" w:eastAsia="Arial" w:hAnsi="Arial"/>
          <w:sz w:val="18"/>
          <w:szCs w:val="18"/>
          <w:color w:val="auto"/>
        </w:rPr>
        <w:t>”), and RBNC Therapeutics, Inc. (“</w:t>
      </w:r>
      <w:r>
        <w:rPr>
          <w:rFonts w:ascii="Arial" w:cs="Arial" w:eastAsia="Arial" w:hAnsi="Arial"/>
          <w:sz w:val="18"/>
          <w:szCs w:val="18"/>
          <w:b w:val="1"/>
          <w:bCs w:val="1"/>
          <w:color w:val="auto"/>
        </w:rPr>
        <w:t>RBNC</w:t>
      </w:r>
      <w:r>
        <w:rPr>
          <w:rFonts w:ascii="Arial" w:cs="Arial" w:eastAsia="Arial" w:hAnsi="Arial"/>
          <w:sz w:val="18"/>
          <w:szCs w:val="18"/>
          <w:color w:val="auto"/>
        </w:rPr>
        <w:t>”). RBNC and AMGEN are sometimes referred to herein</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AMGEN possesses certain rights and intellectual property related to compounds directed to CK1d (as hereinafter defined);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jc w:val="both"/>
        <w:ind w:right="180" w:firstLine="991"/>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RBNC desires to license from AMGEN such intellectual property rights, and to develop, manufacture, use, commercialize</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distribute products containing compounds that are directed to CK1d, and AMGEN desires to grant such a license to RBNC in accordance with the terms and conditions of this Agreement;</w:t>
      </w:r>
    </w:p>
    <w:p>
      <w:pPr>
        <w:spacing w:after="0" w:line="176"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simultaneously with the execution of this Agreement, the Parties are executing that certain Exclusive License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GCase and that certain Research Collaboration and License Agreement;</w:t>
      </w:r>
    </w:p>
    <w:p>
      <w:pPr>
        <w:spacing w:after="0" w:line="162" w:lineRule="exact"/>
        <w:rPr>
          <w:sz w:val="20"/>
          <w:szCs w:val="20"/>
          <w:color w:val="auto"/>
        </w:rPr>
      </w:pPr>
    </w:p>
    <w:p>
      <w:pPr>
        <w:ind w:right="100" w:firstLine="991"/>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simultaneously with the execution of this Agreement, the Parties are also entering into that certain Series A-2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that certain Stock Issuance Agreement, that certain Voting Rights Letter Agreement, and that certain Letter Agreement (collectively, the “</w:t>
      </w:r>
      <w:r>
        <w:rPr>
          <w:rFonts w:ascii="Arial" w:cs="Arial" w:eastAsia="Arial" w:hAnsi="Arial"/>
          <w:sz w:val="18"/>
          <w:szCs w:val="18"/>
          <w:b w:val="1"/>
          <w:bCs w:val="1"/>
          <w:color w:val="auto"/>
        </w:rPr>
        <w:t>Equity Agreements</w:t>
      </w:r>
      <w:r>
        <w:rPr>
          <w:rFonts w:ascii="Arial" w:cs="Arial" w:eastAsia="Arial" w:hAnsi="Arial"/>
          <w:sz w:val="18"/>
          <w:szCs w:val="18"/>
          <w:color w:val="auto"/>
        </w:rPr>
        <w:t>”);</w:t>
      </w:r>
    </w:p>
    <w:p>
      <w:pPr>
        <w:spacing w:after="0" w:line="176" w:lineRule="exact"/>
        <w:rPr>
          <w:sz w:val="20"/>
          <w:szCs w:val="20"/>
          <w:color w:val="auto"/>
        </w:rPr>
      </w:pPr>
    </w:p>
    <w:p>
      <w:pPr>
        <w:ind w:right="220" w:firstLine="991"/>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the transactions contemplated hereby and by the Exclusive License Agreement for GCase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Collaboration and License Agreement, and pursuant to the Equity Agreements, RBNC will issue to AMGEN certain shares of Series A-2 Preferred Stock (as defined below) and AMGEN shall purchase certain additional shares of Series A-2 Preferred Stock (such transactions, issuance of shares and purchase of shares, collectively the “</w:t>
      </w:r>
      <w:r>
        <w:rPr>
          <w:rFonts w:ascii="Arial" w:cs="Arial" w:eastAsia="Arial" w:hAnsi="Arial"/>
          <w:sz w:val="18"/>
          <w:szCs w:val="18"/>
          <w:b w:val="1"/>
          <w:bCs w:val="1"/>
          <w:color w:val="auto"/>
        </w:rPr>
        <w:t>Transaction</w:t>
      </w:r>
      <w:r>
        <w:rPr>
          <w:rFonts w:ascii="Arial" w:cs="Arial" w:eastAsia="Arial" w:hAnsi="Arial"/>
          <w:sz w:val="18"/>
          <w:szCs w:val="18"/>
          <w:color w:val="auto"/>
        </w:rPr>
        <w:t>”) .</w:t>
      </w:r>
    </w:p>
    <w:p>
      <w:pPr>
        <w:spacing w:after="0" w:line="180" w:lineRule="exact"/>
        <w:rPr>
          <w:sz w:val="20"/>
          <w:szCs w:val="20"/>
          <w:color w:val="auto"/>
        </w:rPr>
      </w:pPr>
    </w:p>
    <w:p>
      <w:pPr>
        <w:ind w:firstLine="991"/>
        <w:spacing w:after="0" w:line="31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premises and the mutual promises and covenants contained in this Agreement, and for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good and valuable consideration, the receipt and sufficiency of which are hereby acknowledged, the Parties hereto agree as follows: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All references to particular Exhibits, Articles or Sections shall mean the Exhibits to, and Articles and Sections of, this Agreement, unless otherwise specified. For the purposes of this Agreement and the Exhibits hereto, the following words and phrases shall have the following meanings: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color w:val="auto"/>
        </w:rPr>
        <w:t>“</w:t>
      </w:r>
      <w:r>
        <w:rPr>
          <w:rFonts w:ascii="Arial" w:cs="Arial" w:eastAsia="Arial" w:hAnsi="Arial"/>
          <w:sz w:val="18"/>
          <w:szCs w:val="18"/>
          <w:b w:val="1"/>
          <w:bCs w:val="1"/>
          <w:color w:val="auto"/>
        </w:rPr>
        <w:t>Abandoned Patent Right</w:t>
      </w:r>
      <w:r>
        <w:rPr>
          <w:rFonts w:ascii="Arial" w:cs="Arial" w:eastAsia="Arial" w:hAnsi="Arial"/>
          <w:sz w:val="18"/>
          <w:szCs w:val="18"/>
          <w:color w:val="auto"/>
        </w:rPr>
        <w:t>” has the meaning set forth in Section 4.3.2 (Prosecution and Maintenance).</w:t>
      </w:r>
    </w:p>
    <w:p>
      <w:pPr>
        <w:spacing w:after="0" w:line="200" w:lineRule="exact"/>
        <w:rPr>
          <w:sz w:val="20"/>
          <w:szCs w:val="20"/>
          <w:color w:val="auto"/>
        </w:rPr>
      </w:pPr>
    </w:p>
    <w:p>
      <w:pPr>
        <w:spacing w:after="0" w:line="20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353" w:name="page354"/>
    <w:bookmarkEnd w:id="353"/>
    <w:p>
      <w:pPr>
        <w:ind w:right="2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Arial" w:cs="Arial" w:eastAsia="Arial" w:hAnsi="Arial"/>
          <w:sz w:val="18"/>
          <w:szCs w:val="18"/>
          <w:color w:val="auto"/>
        </w:rPr>
        <w:t>“</w:t>
      </w:r>
      <w:r>
        <w:rPr>
          <w:rFonts w:ascii="Arial" w:cs="Arial" w:eastAsia="Arial" w:hAnsi="Arial"/>
          <w:sz w:val="18"/>
          <w:szCs w:val="18"/>
          <w:b w:val="1"/>
          <w:bCs w:val="1"/>
          <w:color w:val="auto"/>
        </w:rPr>
        <w:t>Accounting Standards</w:t>
      </w:r>
      <w:r>
        <w:rPr>
          <w:rFonts w:ascii="Arial" w:cs="Arial" w:eastAsia="Arial" w:hAnsi="Arial"/>
          <w:sz w:val="18"/>
          <w:szCs w:val="18"/>
          <w:color w:val="auto"/>
        </w:rPr>
        <w:t>” means, with respect to a Party or its Affiliate or Sublicensee, GAAP or IFRS, as such Person uses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reporting obligations, consistently applied.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that, directly, or indirectly through one or more intermediaries,</w:t>
      </w:r>
      <w:r>
        <w:rPr>
          <w:rFonts w:ascii="Arial" w:cs="Arial" w:eastAsia="Arial" w:hAnsi="Arial"/>
          <w:sz w:val="16"/>
          <w:szCs w:val="16"/>
          <w:b w:val="1"/>
          <w:bCs w:val="1"/>
          <w:color w:val="auto"/>
        </w:rPr>
        <w:t xml:space="preserve"> </w:t>
      </w:r>
      <w:r>
        <w:rPr>
          <w:rFonts w:ascii="Arial" w:cs="Arial" w:eastAsia="Arial" w:hAnsi="Arial"/>
          <w:sz w:val="16"/>
          <w:szCs w:val="16"/>
          <w:color w:val="auto"/>
        </w:rPr>
        <w:t>controls, is controlled by or is under common control with such Person, for as long as such control exists. For purposes of this Section, “control” means the direct or indirect ownership of fifty percent (50%) or more of the voting or economic interest of a Person, or the power either directly or indirectly through one or more intermediaries, whether pursuant to contract, ownership of securities or otherwise, to direct the management and policies of a Person. For clarity, once a Person ceases to be an Affiliate of a Party, then, without any further action, such Person shall cease to have any rights, including license and sublicense rights, under this Agreement by reason of having been an Affiliate of such Party.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color w:val="auto"/>
        </w:rPr>
        <w:t>“</w:t>
      </w:r>
      <w:r>
        <w:rPr>
          <w:rFonts w:ascii="Arial" w:cs="Arial" w:eastAsia="Arial" w:hAnsi="Arial"/>
          <w:sz w:val="18"/>
          <w:szCs w:val="18"/>
          <w:b w:val="1"/>
          <w:bCs w:val="1"/>
          <w:color w:val="auto"/>
        </w:rPr>
        <w:t>AMGEN</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color w:val="auto"/>
        </w:rPr>
        <w:t>“</w:t>
      </w:r>
      <w:r>
        <w:rPr>
          <w:rFonts w:ascii="Arial" w:cs="Arial" w:eastAsia="Arial" w:hAnsi="Arial"/>
          <w:sz w:val="18"/>
          <w:szCs w:val="18"/>
          <w:b w:val="1"/>
          <w:bCs w:val="1"/>
          <w:color w:val="auto"/>
        </w:rPr>
        <w:t>AMGEN Acquiree</w:t>
      </w:r>
      <w:r>
        <w:rPr>
          <w:rFonts w:ascii="Arial" w:cs="Arial" w:eastAsia="Arial" w:hAnsi="Arial"/>
          <w:sz w:val="18"/>
          <w:szCs w:val="18"/>
          <w:color w:val="auto"/>
        </w:rPr>
        <w:t>” has the meaning set forth in Section 10.9 (Sale Transaction or AMGEN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color w:val="auto"/>
        </w:rPr>
        <w:t>“</w:t>
      </w:r>
      <w:r>
        <w:rPr>
          <w:rFonts w:ascii="Arial" w:cs="Arial" w:eastAsia="Arial" w:hAnsi="Arial"/>
          <w:sz w:val="18"/>
          <w:szCs w:val="18"/>
          <w:b w:val="1"/>
          <w:bCs w:val="1"/>
          <w:color w:val="auto"/>
        </w:rPr>
        <w:t>AMGEN Acquisition</w:t>
      </w:r>
      <w:r>
        <w:rPr>
          <w:rFonts w:ascii="Arial" w:cs="Arial" w:eastAsia="Arial" w:hAnsi="Arial"/>
          <w:sz w:val="18"/>
          <w:szCs w:val="18"/>
          <w:color w:val="auto"/>
        </w:rPr>
        <w:t>” has the meaning set forth in Section 10.9 (Sale Transaction or AMGEN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color w:val="auto"/>
        </w:rPr>
        <w:t>“</w:t>
      </w:r>
      <w:r>
        <w:rPr>
          <w:rFonts w:ascii="Arial" w:cs="Arial" w:eastAsia="Arial" w:hAnsi="Arial"/>
          <w:sz w:val="18"/>
          <w:szCs w:val="18"/>
          <w:b w:val="1"/>
          <w:bCs w:val="1"/>
          <w:color w:val="auto"/>
        </w:rPr>
        <w:t>AMGEN Election Notice</w:t>
      </w:r>
      <w:r>
        <w:rPr>
          <w:rFonts w:ascii="Arial" w:cs="Arial" w:eastAsia="Arial" w:hAnsi="Arial"/>
          <w:sz w:val="18"/>
          <w:szCs w:val="18"/>
          <w:color w:val="auto"/>
        </w:rPr>
        <w:t>” has the meaning set forth in Section 2.4.2 (Exclusive Right of First Negotiation).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color w:val="auto"/>
        </w:rPr>
        <w:t>“</w:t>
      </w:r>
      <w:r>
        <w:rPr>
          <w:rFonts w:ascii="Arial" w:cs="Arial" w:eastAsia="Arial" w:hAnsi="Arial"/>
          <w:sz w:val="18"/>
          <w:szCs w:val="18"/>
          <w:b w:val="1"/>
          <w:bCs w:val="1"/>
          <w:color w:val="auto"/>
        </w:rPr>
        <w:t>AMGEN Indemnified Parties</w:t>
      </w:r>
      <w:r>
        <w:rPr>
          <w:rFonts w:ascii="Arial" w:cs="Arial" w:eastAsia="Arial" w:hAnsi="Arial"/>
          <w:sz w:val="18"/>
          <w:szCs w:val="18"/>
          <w:color w:val="auto"/>
        </w:rPr>
        <w:t>” has the meaning set forth in Section 7.1.2 (By RBNC).</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Section 1.10 </w:t>
      </w: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Laws, regulations, or orders prohibiting the provision of a financial or other advantage for a</w:t>
      </w:r>
      <w:r>
        <w:rPr>
          <w:rFonts w:ascii="Arial" w:cs="Arial" w:eastAsia="Arial" w:hAnsi="Arial"/>
          <w:sz w:val="18"/>
          <w:szCs w:val="18"/>
          <w:b w:val="1"/>
          <w:bCs w:val="1"/>
          <w:color w:val="auto"/>
        </w:rPr>
        <w:t xml:space="preserve"> </w:t>
      </w:r>
      <w:r>
        <w:rPr>
          <w:rFonts w:ascii="Arial" w:cs="Arial" w:eastAsia="Arial" w:hAnsi="Arial"/>
          <w:sz w:val="18"/>
          <w:szCs w:val="18"/>
          <w:color w:val="auto"/>
        </w:rPr>
        <w:t>corrupt purpose or otherwise in connection with the improper performance of a relevant function, including without limitation, the U.S. Foreign Corrupt Practices Act (FCPA), as amended, the UK Bribery Act 2010, as amended, and any other applicable laws, rules and regulations relating to or concerning public or commercial bribery or corruption.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color w:val="auto"/>
        </w:rPr>
        <w:t>“</w:t>
      </w:r>
      <w:r>
        <w:rPr>
          <w:rFonts w:ascii="Arial" w:cs="Arial" w:eastAsia="Arial" w:hAnsi="Arial"/>
          <w:sz w:val="18"/>
          <w:szCs w:val="18"/>
          <w:b w:val="1"/>
          <w:bCs w:val="1"/>
          <w:color w:val="auto"/>
        </w:rPr>
        <w:t>Audited Party</w:t>
      </w:r>
      <w:r>
        <w:rPr>
          <w:rFonts w:ascii="Arial" w:cs="Arial" w:eastAsia="Arial" w:hAnsi="Arial"/>
          <w:sz w:val="18"/>
          <w:szCs w:val="18"/>
          <w:color w:val="auto"/>
        </w:rPr>
        <w:t>” has the meaning set forth in Section 3.9 (Records and Audits).</w:t>
      </w:r>
    </w:p>
    <w:p>
      <w:pPr>
        <w:spacing w:after="0" w:line="117" w:lineRule="exact"/>
        <w:rPr>
          <w:sz w:val="20"/>
          <w:szCs w:val="20"/>
          <w:color w:val="auto"/>
        </w:rPr>
      </w:pPr>
    </w:p>
    <w:p>
      <w:pPr>
        <w:jc w:val="both"/>
        <w:ind w:right="300"/>
        <w:spacing w:after="0" w:line="289" w:lineRule="auto"/>
        <w:rPr>
          <w:sz w:val="20"/>
          <w:szCs w:val="20"/>
          <w:color w:val="auto"/>
        </w:rPr>
      </w:pPr>
      <w:r>
        <w:rPr>
          <w:rFonts w:ascii="Arial" w:cs="Arial" w:eastAsia="Arial" w:hAnsi="Arial"/>
          <w:sz w:val="17"/>
          <w:szCs w:val="17"/>
          <w:b w:val="1"/>
          <w:bCs w:val="1"/>
          <w:color w:val="auto"/>
        </w:rPr>
        <w:t xml:space="preserve">Section 1.12 </w:t>
      </w:r>
      <w:r>
        <w:rPr>
          <w:rFonts w:ascii="Arial" w:cs="Arial" w:eastAsia="Arial" w:hAnsi="Arial"/>
          <w:sz w:val="17"/>
          <w:szCs w:val="17"/>
          <w:color w:val="auto"/>
        </w:rPr>
        <w:t>“</w:t>
      </w:r>
      <w:r>
        <w:rPr>
          <w:rFonts w:ascii="Arial" w:cs="Arial" w:eastAsia="Arial" w:hAnsi="Arial"/>
          <w:sz w:val="17"/>
          <w:szCs w:val="17"/>
          <w:b w:val="1"/>
          <w:bCs w:val="1"/>
          <w:color w:val="auto"/>
        </w:rPr>
        <w:t>Calendar Quarter</w:t>
      </w:r>
      <w:r>
        <w:rPr>
          <w:rFonts w:ascii="Arial" w:cs="Arial" w:eastAsia="Arial" w:hAnsi="Arial"/>
          <w:sz w:val="17"/>
          <w:szCs w:val="17"/>
          <w:color w:val="auto"/>
        </w:rPr>
        <w:t>” means a three-month period beginning on January, April, July or October 1st, except that the first Calendar</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the Term shall commence on the Effective Date and end on the day immediately prior to the first to occur of January, April, July or October 1st after the Effective Date, and the last Calendar Quarter shall end on the last day of the Term.</w:t>
      </w:r>
    </w:p>
    <w:p>
      <w:pPr>
        <w:spacing w:after="0" w:line="50" w:lineRule="exact"/>
        <w:rPr>
          <w:sz w:val="20"/>
          <w:szCs w:val="20"/>
          <w:color w:val="auto"/>
        </w:rPr>
      </w:pPr>
    </w:p>
    <w:p>
      <w:pPr>
        <w:jc w:val="both"/>
        <w:ind w:right="300"/>
        <w:spacing w:after="0" w:line="314" w:lineRule="auto"/>
        <w:rPr>
          <w:sz w:val="20"/>
          <w:szCs w:val="20"/>
          <w:color w:val="auto"/>
        </w:rPr>
      </w:pPr>
      <w:r>
        <w:rPr>
          <w:rFonts w:ascii="Arial" w:cs="Arial" w:eastAsia="Arial" w:hAnsi="Arial"/>
          <w:sz w:val="16"/>
          <w:szCs w:val="16"/>
          <w:b w:val="1"/>
          <w:bCs w:val="1"/>
          <w:color w:val="auto"/>
        </w:rPr>
        <w:t xml:space="preserve">Section 1.13 </w:t>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a one-year period beginning on January 1st and ending on December 31st, except that the first Calendar</w:t>
      </w:r>
      <w:r>
        <w:rPr>
          <w:rFonts w:ascii="Arial" w:cs="Arial" w:eastAsia="Arial" w:hAnsi="Arial"/>
          <w:sz w:val="16"/>
          <w:szCs w:val="16"/>
          <w:b w:val="1"/>
          <w:bCs w:val="1"/>
          <w:color w:val="auto"/>
        </w:rPr>
        <w:t xml:space="preserve"> </w:t>
      </w:r>
      <w:r>
        <w:rPr>
          <w:rFonts w:ascii="Arial" w:cs="Arial" w:eastAsia="Arial" w:hAnsi="Arial"/>
          <w:sz w:val="16"/>
          <w:szCs w:val="16"/>
          <w:color w:val="auto"/>
        </w:rPr>
        <w:t>Year of the Term shall commence on the Effective Date and end on December 31st of the year in which the Effective Date occurs, and the last Calendar Year of the Term shall commence on January 1st of the year in which the Term ends and end on the last day of the Term.</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0" w:right="459" w:bottom="1440" w:gutter="0" w:footer="0" w:header="0"/>
        </w:sectPr>
      </w:pPr>
    </w:p>
    <w:bookmarkStart w:id="354" w:name="page355"/>
    <w:bookmarkEnd w:id="354"/>
    <w:p>
      <w:pPr>
        <w:ind w:right="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1.14 </w:t>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with respect to specified party: (a) the acquisition, directly or indirectly, by a Person or “group”</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in a single transaction or multiple transactions) of more than 50% of the voting power of such party or of beneficial ownership of (or the right to acquire such beneficial ownership) of more than 50% of the outstanding equity or convertible securities of such party (including by tender offer or exchange offer); (b) any merger, consolidation, share exchange, business combination, recapitalization, the sale of substantially all assets of, or similar corporate transaction involving such party (whether or not including one or more wholly owned subsidiaries of such party), other than: (i) transactions involving solely such party and one or more Affiliates, on the one hand, and one or more of such party’s Affiliates, on the other hand, and/or (ii) transactions in which the stockholders of such party immediately prior to such transaction hold at least 50% of the voting power of the surviving company or ultimate parent company of the surviving company; or (c) the adoption of a plan relating to the liquidation or dissolution of such party. For purposes of this definition, the terms “group” and “beneficial ownership” shall have the meaning accorded in the U.S. Securities Exchange Act of 1934 and the regulations promulgated thereunder in effect as of the Effective Date.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color w:val="auto"/>
        </w:rPr>
        <w:t>“</w:t>
      </w:r>
      <w:r>
        <w:rPr>
          <w:rFonts w:ascii="Arial" w:cs="Arial" w:eastAsia="Arial" w:hAnsi="Arial"/>
          <w:sz w:val="18"/>
          <w:szCs w:val="18"/>
          <w:b w:val="1"/>
          <w:bCs w:val="1"/>
          <w:color w:val="auto"/>
        </w:rPr>
        <w:t>CK1</w:t>
      </w:r>
      <w:r>
        <w:rPr>
          <w:rFonts w:ascii="Arial" w:cs="Arial" w:eastAsia="Arial" w:hAnsi="Arial"/>
          <w:sz w:val="18"/>
          <w:szCs w:val="18"/>
          <w:color w:val="auto"/>
        </w:rPr>
        <w:t>d” means casein kinase 1 delta.</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color w:val="auto"/>
        </w:rPr>
        <w:t>“</w:t>
      </w:r>
      <w:r>
        <w:rPr>
          <w:rFonts w:ascii="Arial" w:cs="Arial" w:eastAsia="Arial" w:hAnsi="Arial"/>
          <w:sz w:val="18"/>
          <w:szCs w:val="18"/>
          <w:b w:val="1"/>
          <w:bCs w:val="1"/>
          <w:color w:val="auto"/>
        </w:rPr>
        <w:t>CK1</w:t>
      </w:r>
      <w:r>
        <w:rPr>
          <w:rFonts w:ascii="Arial" w:cs="Arial" w:eastAsia="Arial" w:hAnsi="Arial"/>
          <w:sz w:val="18"/>
          <w:szCs w:val="18"/>
          <w:color w:val="auto"/>
        </w:rPr>
        <w:t>d</w:t>
      </w:r>
      <w:r>
        <w:rPr>
          <w:rFonts w:ascii="Arial" w:cs="Arial" w:eastAsia="Arial" w:hAnsi="Arial"/>
          <w:sz w:val="18"/>
          <w:szCs w:val="18"/>
          <w:b w:val="1"/>
          <w:bCs w:val="1"/>
          <w:color w:val="auto"/>
        </w:rPr>
        <w:t xml:space="preserve"> Directed Compound</w:t>
      </w:r>
      <w:r>
        <w:rPr>
          <w:rFonts w:ascii="Arial" w:cs="Arial" w:eastAsia="Arial" w:hAnsi="Arial"/>
          <w:sz w:val="18"/>
          <w:szCs w:val="18"/>
          <w:color w:val="auto"/>
        </w:rPr>
        <w:t>” means, with respect to a Product, the Licensed Compound or Program Compound included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Product.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1.17 </w:t>
      </w:r>
      <w:r>
        <w:rPr>
          <w:rFonts w:ascii="Arial" w:cs="Arial" w:eastAsia="Arial" w:hAnsi="Arial"/>
          <w:sz w:val="16"/>
          <w:szCs w:val="16"/>
          <w:color w:val="auto"/>
        </w:rPr>
        <w:t>“</w:t>
      </w:r>
      <w:r>
        <w:rPr>
          <w:rFonts w:ascii="Arial" w:cs="Arial" w:eastAsia="Arial" w:hAnsi="Arial"/>
          <w:sz w:val="16"/>
          <w:szCs w:val="16"/>
          <w:b w:val="1"/>
          <w:bCs w:val="1"/>
          <w:color w:val="auto"/>
        </w:rPr>
        <w:t>Clinical Trial Report</w:t>
      </w:r>
      <w:r>
        <w:rPr>
          <w:rFonts w:ascii="Arial" w:cs="Arial" w:eastAsia="Arial" w:hAnsi="Arial"/>
          <w:sz w:val="16"/>
          <w:szCs w:val="16"/>
          <w:color w:val="auto"/>
        </w:rPr>
        <w:t>” means, with respect to a human clinical study of a Product, the final study report from such clinical study.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1.18 “Closing Date” </w:t>
      </w:r>
      <w:r>
        <w:rPr>
          <w:rFonts w:ascii="Arial" w:cs="Arial" w:eastAsia="Arial" w:hAnsi="Arial"/>
          <w:sz w:val="18"/>
          <w:szCs w:val="18"/>
          <w:color w:val="auto"/>
        </w:rPr>
        <w:t>shall mean the date of the Closing as defined in the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1.19 </w:t>
      </w:r>
      <w:r>
        <w:rPr>
          <w:rFonts w:ascii="Arial" w:cs="Arial" w:eastAsia="Arial" w:hAnsi="Arial"/>
          <w:sz w:val="18"/>
          <w:szCs w:val="18"/>
          <w:color w:val="auto"/>
        </w:rPr>
        <w:t>“</w:t>
      </w:r>
      <w:r>
        <w:rPr>
          <w:rFonts w:ascii="Arial" w:cs="Arial" w:eastAsia="Arial" w:hAnsi="Arial"/>
          <w:sz w:val="18"/>
          <w:szCs w:val="18"/>
          <w:b w:val="1"/>
          <w:bCs w:val="1"/>
          <w:color w:val="auto"/>
        </w:rPr>
        <w:t>CNS</w:t>
      </w:r>
      <w:r>
        <w:rPr>
          <w:rFonts w:ascii="Arial" w:cs="Arial" w:eastAsia="Arial" w:hAnsi="Arial"/>
          <w:sz w:val="18"/>
          <w:szCs w:val="18"/>
          <w:color w:val="auto"/>
        </w:rPr>
        <w:t>” means the central nervous system.</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1.20 </w:t>
      </w:r>
      <w:r>
        <w:rPr>
          <w:rFonts w:ascii="Arial" w:cs="Arial" w:eastAsia="Arial" w:hAnsi="Arial"/>
          <w:sz w:val="18"/>
          <w:szCs w:val="18"/>
          <w:color w:val="auto"/>
        </w:rPr>
        <w:t>“</w:t>
      </w:r>
      <w:r>
        <w:rPr>
          <w:rFonts w:ascii="Arial" w:cs="Arial" w:eastAsia="Arial" w:hAnsi="Arial"/>
          <w:sz w:val="18"/>
          <w:szCs w:val="18"/>
          <w:b w:val="1"/>
          <w:bCs w:val="1"/>
          <w:color w:val="auto"/>
        </w:rPr>
        <w:t>CNS Diseases</w:t>
      </w:r>
      <w:r>
        <w:rPr>
          <w:rFonts w:ascii="Arial" w:cs="Arial" w:eastAsia="Arial" w:hAnsi="Arial"/>
          <w:sz w:val="18"/>
          <w:szCs w:val="18"/>
          <w:color w:val="auto"/>
        </w:rPr>
        <w:t>” means all diseases, the effects of which manifest primarily in the CNS, [***], but excluding (a) [***]. For clarity, as</w:t>
      </w:r>
      <w:r>
        <w:rPr>
          <w:rFonts w:ascii="Arial" w:cs="Arial" w:eastAsia="Arial" w:hAnsi="Arial"/>
          <w:sz w:val="18"/>
          <w:szCs w:val="18"/>
          <w:b w:val="1"/>
          <w:bCs w:val="1"/>
          <w:color w:val="auto"/>
        </w:rPr>
        <w:t xml:space="preserve"> </w:t>
      </w:r>
      <w:r>
        <w:rPr>
          <w:rFonts w:ascii="Arial" w:cs="Arial" w:eastAsia="Arial" w:hAnsi="Arial"/>
          <w:sz w:val="18"/>
          <w:szCs w:val="18"/>
          <w:color w:val="auto"/>
        </w:rPr>
        <w:t>used herein, CNS Diseases do not include Non-CNS Diseases.</w:t>
      </w:r>
    </w:p>
    <w:p>
      <w:pPr>
        <w:spacing w:after="0" w:line="5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 xml:space="preserve">Section 1.21 </w:t>
      </w: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those efforts and resources commensurate with those efforts [***]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Exploitation of pharmaceutical products that are of similar development stage and status, taking into account the proprietary position of the product (including intellectual property scope, subject matter and coverage), safety and efficacy, product profile, competitiveness of the marketplace, the regulatory status and approval process, anticipated or approved labeling, present and future market potential, the probable profitability of the applicable product (including pricing and reimbursement status achieved or likely to be achieved) and other relevant factors such as technical, legal, scientific or medical factors. In determining the level of efforts constituting “</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the following shall not be taken into account: (a) [***], or (b) [***].</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1.22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8.1.1 (Confidential Information).</w:t>
      </w:r>
    </w:p>
    <w:p>
      <w:pPr>
        <w:spacing w:after="0" w:line="117"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 xml:space="preserve">Section 1.23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any Know-How, material, Patent Right, or other intellectual property right, the</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(whether by ownership or license) by a Party or its Affiliate of the ability to grant to the other Party a license, sublicense or access as provided herein to such Know-How, material, Patent Right, or other intellectual</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0" w:right="459" w:bottom="1440" w:gutter="0" w:footer="0" w:header="0"/>
        </w:sectPr>
      </w:pPr>
    </w:p>
    <w:bookmarkStart w:id="355" w:name="page356"/>
    <w:bookmarkEnd w:id="355"/>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right, without violating Laws or the terms of any agreement or other arrangement with any Third Party in existence as of the time such Party or its Affiliates would first be required hereunder to grant the other Party such license, sublicense or access, or being obligated to pay any additional royalties or other consideration in connection with such license, sublicense or access, unless the Party that would be receiving such license, sublicense or access agrees to reimburse the other Party for the relevant payments.</w:t>
      </w:r>
    </w:p>
    <w:p>
      <w:pPr>
        <w:spacing w:after="0" w:line="5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color w:val="auto"/>
        </w:rPr>
        <w:t>“</w:t>
      </w:r>
      <w:r>
        <w:rPr>
          <w:rFonts w:ascii="Arial" w:cs="Arial" w:eastAsia="Arial" w:hAnsi="Arial"/>
          <w:sz w:val="18"/>
          <w:szCs w:val="18"/>
          <w:b w:val="1"/>
          <w:bCs w:val="1"/>
          <w:color w:val="auto"/>
        </w:rPr>
        <w:t>Cover</w:t>
      </w:r>
      <w:r>
        <w:rPr>
          <w:rFonts w:ascii="Arial" w:cs="Arial" w:eastAsia="Arial" w:hAnsi="Arial"/>
          <w:sz w:val="18"/>
          <w:szCs w:val="18"/>
          <w:color w:val="auto"/>
        </w:rPr>
        <w:t>” means (a) with respect to Know-How, such Know-How was used in the Exploitation of a Licensed Compound,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Compound, or Product, and (b) with respect to a Patent Right, a Valid Claim would (absent a license thereunder or ownership thereof) be Infringed by the Exploitation of a Licensed Compound, Program Compound, or Product;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xml:space="preserve"> that in determining whether a Valid Claim that is a claim of a pending application would be Infringed, it shall be treated as if issued as then currently being prosecuted. Cognates of the word “</w:t>
      </w:r>
      <w:r>
        <w:rPr>
          <w:rFonts w:ascii="Arial" w:cs="Arial" w:eastAsia="Arial" w:hAnsi="Arial"/>
          <w:sz w:val="18"/>
          <w:szCs w:val="18"/>
          <w:b w:val="1"/>
          <w:bCs w:val="1"/>
          <w:color w:val="auto"/>
        </w:rPr>
        <w:t>Cover</w:t>
      </w:r>
      <w:r>
        <w:rPr>
          <w:rFonts w:ascii="Arial" w:cs="Arial" w:eastAsia="Arial" w:hAnsi="Arial"/>
          <w:sz w:val="18"/>
          <w:szCs w:val="18"/>
          <w:color w:val="auto"/>
        </w:rPr>
        <w:t>” shall have correlative meanings.</w:t>
      </w:r>
    </w:p>
    <w:p>
      <w:pPr>
        <w:spacing w:after="0" w:line="7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Section 1.25 </w:t>
      </w:r>
      <w:r>
        <w:rPr>
          <w:rFonts w:ascii="Arial" w:cs="Arial" w:eastAsia="Arial" w:hAnsi="Arial"/>
          <w:sz w:val="18"/>
          <w:szCs w:val="18"/>
          <w:color w:val="auto"/>
        </w:rPr>
        <w:t>“</w:t>
      </w:r>
      <w:r>
        <w:rPr>
          <w:rFonts w:ascii="Arial" w:cs="Arial" w:eastAsia="Arial" w:hAnsi="Arial"/>
          <w:sz w:val="18"/>
          <w:szCs w:val="18"/>
          <w:b w:val="1"/>
          <w:bCs w:val="1"/>
          <w:color w:val="auto"/>
        </w:rPr>
        <w:t>Covered Individuals and Entities</w:t>
      </w:r>
      <w:r>
        <w:rPr>
          <w:rFonts w:ascii="Arial" w:cs="Arial" w:eastAsia="Arial" w:hAnsi="Arial"/>
          <w:sz w:val="18"/>
          <w:szCs w:val="18"/>
          <w:color w:val="auto"/>
        </w:rPr>
        <w:t>” (or, in the singular, “</w:t>
      </w:r>
      <w:r>
        <w:rPr>
          <w:rFonts w:ascii="Arial" w:cs="Arial" w:eastAsia="Arial" w:hAnsi="Arial"/>
          <w:sz w:val="18"/>
          <w:szCs w:val="18"/>
          <w:b w:val="1"/>
          <w:bCs w:val="1"/>
          <w:color w:val="auto"/>
        </w:rPr>
        <w:t>Covered Individual and Entity</w:t>
      </w:r>
      <w:r>
        <w:rPr>
          <w:rFonts w:ascii="Arial" w:cs="Arial" w:eastAsia="Arial" w:hAnsi="Arial"/>
          <w:sz w:val="18"/>
          <w:szCs w:val="18"/>
          <w:color w:val="auto"/>
        </w:rPr>
        <w:t>”) means any one or more of an HCP,</w:t>
      </w:r>
      <w:r>
        <w:rPr>
          <w:rFonts w:ascii="Arial" w:cs="Arial" w:eastAsia="Arial" w:hAnsi="Arial"/>
          <w:sz w:val="18"/>
          <w:szCs w:val="18"/>
          <w:b w:val="1"/>
          <w:bCs w:val="1"/>
          <w:color w:val="auto"/>
        </w:rPr>
        <w:t xml:space="preserve"> </w:t>
      </w:r>
      <w:r>
        <w:rPr>
          <w:rFonts w:ascii="Arial" w:cs="Arial" w:eastAsia="Arial" w:hAnsi="Arial"/>
          <w:sz w:val="18"/>
          <w:szCs w:val="18"/>
          <w:color w:val="auto"/>
        </w:rPr>
        <w:t>HCI, Payer, Purchaser, Healthcare Industry Professional Society and Trade Association.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1.26 </w:t>
      </w:r>
      <w:r>
        <w:rPr>
          <w:rFonts w:ascii="Arial" w:cs="Arial" w:eastAsia="Arial" w:hAnsi="Arial"/>
          <w:sz w:val="18"/>
          <w:szCs w:val="18"/>
          <w:color w:val="auto"/>
        </w:rPr>
        <w:t>“</w:t>
      </w:r>
      <w:r>
        <w:rPr>
          <w:rFonts w:ascii="Arial" w:cs="Arial" w:eastAsia="Arial" w:hAnsi="Arial"/>
          <w:sz w:val="18"/>
          <w:szCs w:val="18"/>
          <w:b w:val="1"/>
          <w:bCs w:val="1"/>
          <w:color w:val="auto"/>
        </w:rPr>
        <w:t>Defending Party</w:t>
      </w:r>
      <w:r>
        <w:rPr>
          <w:rFonts w:ascii="Arial" w:cs="Arial" w:eastAsia="Arial" w:hAnsi="Arial"/>
          <w:sz w:val="18"/>
          <w:szCs w:val="18"/>
          <w:color w:val="auto"/>
        </w:rPr>
        <w:t>” has the meaning set forth in Section 4.5 (Defense of Third Party Claims).</w:t>
      </w:r>
    </w:p>
    <w:p>
      <w:pPr>
        <w:spacing w:after="0" w:line="11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Section 1.27 </w:t>
      </w:r>
      <w:r>
        <w:rPr>
          <w:rFonts w:ascii="Arial" w:cs="Arial" w:eastAsia="Arial" w:hAnsi="Arial"/>
          <w:sz w:val="18"/>
          <w:szCs w:val="18"/>
          <w:color w:val="auto"/>
        </w:rPr>
        <w:t>“</w:t>
      </w:r>
      <w:r>
        <w:rPr>
          <w:rFonts w:ascii="Arial" w:cs="Arial" w:eastAsia="Arial" w:hAnsi="Arial"/>
          <w:sz w:val="18"/>
          <w:szCs w:val="18"/>
          <w:b w:val="1"/>
          <w:bCs w:val="1"/>
          <w:color w:val="auto"/>
        </w:rPr>
        <w:t>De Novo Compound</w:t>
      </w:r>
      <w:r>
        <w:rPr>
          <w:rFonts w:ascii="Arial" w:cs="Arial" w:eastAsia="Arial" w:hAnsi="Arial"/>
          <w:sz w:val="18"/>
          <w:szCs w:val="18"/>
          <w:color w:val="auto"/>
        </w:rPr>
        <w:t>” means any and all compounds that are discovered, researched, developed or otherwise Exploited by RBNC</w:t>
      </w:r>
      <w:r>
        <w:rPr>
          <w:rFonts w:ascii="Arial" w:cs="Arial" w:eastAsia="Arial" w:hAnsi="Arial"/>
          <w:sz w:val="18"/>
          <w:szCs w:val="18"/>
          <w:b w:val="1"/>
          <w:bCs w:val="1"/>
          <w:color w:val="auto"/>
        </w:rPr>
        <w:t xml:space="preserve"> </w:t>
      </w:r>
      <w:r>
        <w:rPr>
          <w:rFonts w:ascii="Arial" w:cs="Arial" w:eastAsia="Arial" w:hAnsi="Arial"/>
          <w:sz w:val="18"/>
          <w:szCs w:val="18"/>
          <w:color w:val="auto"/>
        </w:rPr>
        <w:t>or its Affiliates or Sublicensees during the Term that are Directed to CK1d, but specifically excluding all Licensed Compounds and Program Compounds.</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Section 1.28 </w:t>
      </w:r>
      <w:r>
        <w:rPr>
          <w:rFonts w:ascii="Arial" w:cs="Arial" w:eastAsia="Arial" w:hAnsi="Arial"/>
          <w:sz w:val="18"/>
          <w:szCs w:val="18"/>
          <w:color w:val="auto"/>
        </w:rPr>
        <w:t>“</w:t>
      </w:r>
      <w:r>
        <w:rPr>
          <w:rFonts w:ascii="Arial" w:cs="Arial" w:eastAsia="Arial" w:hAnsi="Arial"/>
          <w:sz w:val="18"/>
          <w:szCs w:val="18"/>
          <w:b w:val="1"/>
          <w:bCs w:val="1"/>
          <w:color w:val="auto"/>
        </w:rPr>
        <w:t>De Novo Product</w:t>
      </w:r>
      <w:r>
        <w:rPr>
          <w:rFonts w:ascii="Arial" w:cs="Arial" w:eastAsia="Arial" w:hAnsi="Arial"/>
          <w:sz w:val="18"/>
          <w:szCs w:val="18"/>
          <w:color w:val="auto"/>
        </w:rPr>
        <w:t>” means any pharmaceutical or biopharmaceutical product containing a De Novo Compound in any form or</w:t>
      </w:r>
      <w:r>
        <w:rPr>
          <w:rFonts w:ascii="Arial" w:cs="Arial" w:eastAsia="Arial" w:hAnsi="Arial"/>
          <w:sz w:val="18"/>
          <w:szCs w:val="18"/>
          <w:b w:val="1"/>
          <w:bCs w:val="1"/>
          <w:color w:val="auto"/>
        </w:rPr>
        <w:t xml:space="preserve"> </w:t>
      </w:r>
      <w:r>
        <w:rPr>
          <w:rFonts w:ascii="Arial" w:cs="Arial" w:eastAsia="Arial" w:hAnsi="Arial"/>
          <w:sz w:val="18"/>
          <w:szCs w:val="18"/>
          <w:color w:val="auto"/>
        </w:rPr>
        <w:t>formulation, provided that if a product also includes any Licensed Compound or Program Compound, such product constitutes a “Product” not a De Novo Product.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1.29 </w:t>
      </w:r>
      <w:r>
        <w:rPr>
          <w:rFonts w:ascii="Arial" w:cs="Arial" w:eastAsia="Arial" w:hAnsi="Arial"/>
          <w:sz w:val="18"/>
          <w:szCs w:val="18"/>
          <w:color w:val="auto"/>
        </w:rPr>
        <w:t>“</w:t>
      </w:r>
      <w:r>
        <w:rPr>
          <w:rFonts w:ascii="Arial" w:cs="Arial" w:eastAsia="Arial" w:hAnsi="Arial"/>
          <w:sz w:val="18"/>
          <w:szCs w:val="18"/>
          <w:b w:val="1"/>
          <w:bCs w:val="1"/>
          <w:color w:val="auto"/>
        </w:rPr>
        <w:t>Directed to</w:t>
      </w:r>
      <w:r>
        <w:rPr>
          <w:rFonts w:ascii="Arial" w:cs="Arial" w:eastAsia="Arial" w:hAnsi="Arial"/>
          <w:sz w:val="18"/>
          <w:szCs w:val="18"/>
          <w:color w:val="auto"/>
        </w:rPr>
        <w:t>” means, with respect to CK1d, that a compound or product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1.30 </w:t>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set forth in Section 8.1.1 (Confidential Information).</w:t>
      </w:r>
    </w:p>
    <w:p>
      <w:pPr>
        <w:spacing w:after="0" w:line="117"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auto"/>
        </w:rPr>
        <w:t xml:space="preserve">Section 1.31 </w:t>
      </w:r>
      <w:r>
        <w:rPr>
          <w:rFonts w:ascii="Arial" w:cs="Arial" w:eastAsia="Arial" w:hAnsi="Arial"/>
          <w:sz w:val="16"/>
          <w:szCs w:val="16"/>
          <w:color w:val="auto"/>
        </w:rPr>
        <w:t>“</w:t>
      </w:r>
      <w:r>
        <w:rPr>
          <w:rFonts w:ascii="Arial" w:cs="Arial" w:eastAsia="Arial" w:hAnsi="Arial"/>
          <w:sz w:val="16"/>
          <w:szCs w:val="16"/>
          <w:b w:val="1"/>
          <w:bCs w:val="1"/>
          <w:color w:val="auto"/>
        </w:rPr>
        <w:t>Distracting Product</w:t>
      </w:r>
      <w:r>
        <w:rPr>
          <w:rFonts w:ascii="Arial" w:cs="Arial" w:eastAsia="Arial" w:hAnsi="Arial"/>
          <w:sz w:val="16"/>
          <w:szCs w:val="16"/>
          <w:color w:val="auto"/>
        </w:rPr>
        <w:t>” means any compound or product (other than a Licensed Compound or Program Compound or a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as a sole active ingredient a Licensed Compound or Program Compound) that is Directed to CK1d, including without limitation a De Novo Product, unless and until RBNC has elected to treat such compound or product as a “Newly Added Product” pursuant to Section 5.4.2.</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1.32 </w:t>
      </w:r>
      <w:r>
        <w:rPr>
          <w:rFonts w:ascii="Arial" w:cs="Arial" w:eastAsia="Arial" w:hAnsi="Arial"/>
          <w:sz w:val="18"/>
          <w:szCs w:val="18"/>
          <w:color w:val="auto"/>
        </w:rPr>
        <w:t>“</w:t>
      </w:r>
      <w:r>
        <w:rPr>
          <w:rFonts w:ascii="Arial" w:cs="Arial" w:eastAsia="Arial" w:hAnsi="Arial"/>
          <w:sz w:val="18"/>
          <w:szCs w:val="18"/>
          <w:b w:val="1"/>
          <w:bCs w:val="1"/>
          <w:color w:val="auto"/>
        </w:rPr>
        <w:t>Distracting Program</w:t>
      </w:r>
      <w:r>
        <w:rPr>
          <w:rFonts w:ascii="Arial" w:cs="Arial" w:eastAsia="Arial" w:hAnsi="Arial"/>
          <w:sz w:val="18"/>
          <w:szCs w:val="18"/>
          <w:color w:val="auto"/>
        </w:rPr>
        <w:t>” means the clinical development, commercialization or manufacture of any Distracting Product.</w:t>
      </w:r>
    </w:p>
    <w:p>
      <w:pPr>
        <w:spacing w:after="0" w:line="117"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 xml:space="preserve">Section 1.33 </w:t>
      </w:r>
      <w:r>
        <w:rPr>
          <w:rFonts w:ascii="Arial" w:cs="Arial" w:eastAsia="Arial" w:hAnsi="Arial"/>
          <w:sz w:val="16"/>
          <w:szCs w:val="16"/>
          <w:color w:val="auto"/>
        </w:rPr>
        <w:t>“</w:t>
      </w:r>
      <w:r>
        <w:rPr>
          <w:rFonts w:ascii="Arial" w:cs="Arial" w:eastAsia="Arial" w:hAnsi="Arial"/>
          <w:sz w:val="16"/>
          <w:szCs w:val="16"/>
          <w:b w:val="1"/>
          <w:bCs w:val="1"/>
          <w:color w:val="auto"/>
        </w:rPr>
        <w:t>Distracting Transaction</w:t>
      </w:r>
      <w:r>
        <w:rPr>
          <w:rFonts w:ascii="Arial" w:cs="Arial" w:eastAsia="Arial" w:hAnsi="Arial"/>
          <w:sz w:val="16"/>
          <w:szCs w:val="16"/>
          <w:color w:val="auto"/>
        </w:rPr>
        <w:t>” means any transaction entered into by RBNC, its Sublicensee or its or their Affiliates after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whereby a Third Party that is actively engaged in a Distracting Program becomes an Affiliate of RBNC or an Affiliate of its Sublicensee.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356" w:name="page357"/>
    <w:bookmarkEnd w:id="356"/>
    <w:p>
      <w:pPr>
        <w:ind w:right="4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1.34 </w:t>
      </w:r>
      <w:r>
        <w:rPr>
          <w:rFonts w:ascii="Arial" w:cs="Arial" w:eastAsia="Arial" w:hAnsi="Arial"/>
          <w:sz w:val="18"/>
          <w:szCs w:val="18"/>
          <w:color w:val="auto"/>
        </w:rPr>
        <w:t>“</w:t>
      </w:r>
      <w:r>
        <w:rPr>
          <w:rFonts w:ascii="Arial" w:cs="Arial" w:eastAsia="Arial" w:hAnsi="Arial"/>
          <w:sz w:val="18"/>
          <w:szCs w:val="18"/>
          <w:b w:val="1"/>
          <w:bCs w:val="1"/>
          <w:color w:val="auto"/>
        </w:rPr>
        <w:t>Distracting Transaction Affiliates</w:t>
      </w:r>
      <w:r>
        <w:rPr>
          <w:rFonts w:ascii="Arial" w:cs="Arial" w:eastAsia="Arial" w:hAnsi="Arial"/>
          <w:sz w:val="18"/>
          <w:szCs w:val="18"/>
          <w:color w:val="auto"/>
        </w:rPr>
        <w:t>” means those entities that are or would become Affiliates of RBNC or its Sublicensee,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by virtue of a Distracting Transaction.</w:t>
      </w:r>
    </w:p>
    <w:p>
      <w:pPr>
        <w:spacing w:after="0" w:line="5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Section 1.35 </w:t>
      </w:r>
      <w:r>
        <w:rPr>
          <w:rFonts w:ascii="Arial" w:cs="Arial" w:eastAsia="Arial" w:hAnsi="Arial"/>
          <w:sz w:val="18"/>
          <w:szCs w:val="18"/>
          <w:color w:val="auto"/>
        </w:rPr>
        <w:t>“</w:t>
      </w:r>
      <w:r>
        <w:rPr>
          <w:rFonts w:ascii="Arial" w:cs="Arial" w:eastAsia="Arial" w:hAnsi="Arial"/>
          <w:sz w:val="18"/>
          <w:szCs w:val="18"/>
          <w:b w:val="1"/>
          <w:bCs w:val="1"/>
          <w:color w:val="auto"/>
        </w:rPr>
        <w:t>Divest</w:t>
      </w:r>
      <w:r>
        <w:rPr>
          <w:rFonts w:ascii="Arial" w:cs="Arial" w:eastAsia="Arial" w:hAnsi="Arial"/>
          <w:sz w:val="18"/>
          <w:szCs w:val="18"/>
          <w:color w:val="auto"/>
        </w:rPr>
        <w:t>” means, with respect to any Distracting Program, the sale, exclusive license or other transfer of all of the right, title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and to such Distracting Program, including technology, Know-How, intellectual property and other assets exclusively relating thereto, to an independent Third Party, without the retention or reservation of any rights or interest (other than solely an economic interest) in such Distracting Program by the relevant Party or its Affiliates.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1.36 </w:t>
      </w: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U.S. Dollars.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1.37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Section 9.1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1.38 </w:t>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entity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1.39 </w:t>
      </w:r>
      <w:r>
        <w:rPr>
          <w:rFonts w:ascii="Arial" w:cs="Arial" w:eastAsia="Arial" w:hAnsi="Arial"/>
          <w:sz w:val="18"/>
          <w:szCs w:val="18"/>
          <w:color w:val="auto"/>
        </w:rPr>
        <w:t>“</w:t>
      </w:r>
      <w:r>
        <w:rPr>
          <w:rFonts w:ascii="Arial" w:cs="Arial" w:eastAsia="Arial" w:hAnsi="Arial"/>
          <w:sz w:val="18"/>
          <w:szCs w:val="18"/>
          <w:b w:val="1"/>
          <w:bCs w:val="1"/>
          <w:color w:val="auto"/>
        </w:rPr>
        <w:t>Enforcing Party</w:t>
      </w:r>
      <w:r>
        <w:rPr>
          <w:rFonts w:ascii="Arial" w:cs="Arial" w:eastAsia="Arial" w:hAnsi="Arial"/>
          <w:sz w:val="18"/>
          <w:szCs w:val="18"/>
          <w:color w:val="auto"/>
        </w:rPr>
        <w:t>” has the meaning set forth in Section 4.4.3 (Progress Reports).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1.40 </w:t>
      </w:r>
      <w:r>
        <w:rPr>
          <w:rFonts w:ascii="Arial" w:cs="Arial" w:eastAsia="Arial" w:hAnsi="Arial"/>
          <w:sz w:val="18"/>
          <w:szCs w:val="18"/>
          <w:color w:val="auto"/>
        </w:rPr>
        <w:t>“</w:t>
      </w:r>
      <w:r>
        <w:rPr>
          <w:rFonts w:ascii="Arial" w:cs="Arial" w:eastAsia="Arial" w:hAnsi="Arial"/>
          <w:sz w:val="18"/>
          <w:szCs w:val="18"/>
          <w:b w:val="1"/>
          <w:bCs w:val="1"/>
          <w:color w:val="auto"/>
        </w:rPr>
        <w:t>Equity Agreements</w:t>
      </w:r>
      <w:r>
        <w:rPr>
          <w:rFonts w:ascii="Arial" w:cs="Arial" w:eastAsia="Arial" w:hAnsi="Arial"/>
          <w:sz w:val="18"/>
          <w:szCs w:val="18"/>
          <w:color w:val="auto"/>
        </w:rPr>
        <w:t>” has the meaning set forth in the recitals hereto.</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Section 1.41 </w:t>
      </w:r>
      <w:r>
        <w:rPr>
          <w:rFonts w:ascii="Arial" w:cs="Arial" w:eastAsia="Arial" w:hAnsi="Arial"/>
          <w:sz w:val="18"/>
          <w:szCs w:val="18"/>
          <w:color w:val="auto"/>
        </w:rPr>
        <w:t>“</w:t>
      </w:r>
      <w:r>
        <w:rPr>
          <w:rFonts w:ascii="Arial" w:cs="Arial" w:eastAsia="Arial" w:hAnsi="Arial"/>
          <w:sz w:val="18"/>
          <w:szCs w:val="18"/>
          <w:b w:val="1"/>
          <w:bCs w:val="1"/>
          <w:color w:val="auto"/>
        </w:rPr>
        <w:t xml:space="preserve">Excluded Compounds” </w:t>
      </w:r>
      <w:r>
        <w:rPr>
          <w:rFonts w:ascii="Arial" w:cs="Arial" w:eastAsia="Arial" w:hAnsi="Arial"/>
          <w:sz w:val="18"/>
          <w:szCs w:val="18"/>
          <w:color w:val="auto"/>
        </w:rPr>
        <w:t>means compounds or products that [***] CK1d [***], including without limitation, any CK1d Directed</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Compounds.</w:t>
      </w:r>
    </w:p>
    <w:p>
      <w:pPr>
        <w:spacing w:after="0" w:line="54" w:lineRule="exact"/>
        <w:rPr>
          <w:sz w:val="20"/>
          <w:szCs w:val="20"/>
          <w:color w:val="auto"/>
        </w:rPr>
      </w:pPr>
    </w:p>
    <w:p>
      <w:pPr>
        <w:ind w:right="340"/>
        <w:spacing w:after="0" w:line="312" w:lineRule="auto"/>
        <w:rPr>
          <w:sz w:val="20"/>
          <w:szCs w:val="20"/>
          <w:color w:val="auto"/>
        </w:rPr>
      </w:pPr>
      <w:r>
        <w:rPr>
          <w:rFonts w:ascii="Arial" w:cs="Arial" w:eastAsia="Arial" w:hAnsi="Arial"/>
          <w:sz w:val="17"/>
          <w:szCs w:val="17"/>
          <w:b w:val="1"/>
          <w:bCs w:val="1"/>
          <w:color w:val="auto"/>
        </w:rPr>
        <w:t xml:space="preserve">Section 1.42 </w:t>
      </w:r>
      <w:r>
        <w:rPr>
          <w:rFonts w:ascii="Arial" w:cs="Arial" w:eastAsia="Arial" w:hAnsi="Arial"/>
          <w:sz w:val="17"/>
          <w:szCs w:val="17"/>
          <w:color w:val="auto"/>
        </w:rPr>
        <w:t>“</w:t>
      </w:r>
      <w:r>
        <w:rPr>
          <w:rFonts w:ascii="Arial" w:cs="Arial" w:eastAsia="Arial" w:hAnsi="Arial"/>
          <w:sz w:val="17"/>
          <w:szCs w:val="17"/>
          <w:b w:val="1"/>
          <w:bCs w:val="1"/>
          <w:color w:val="auto"/>
        </w:rPr>
        <w:t>Exclusively Licensed Know-How</w:t>
      </w:r>
      <w:r>
        <w:rPr>
          <w:rFonts w:ascii="Arial" w:cs="Arial" w:eastAsia="Arial" w:hAnsi="Arial"/>
          <w:sz w:val="17"/>
          <w:szCs w:val="17"/>
          <w:color w:val="auto"/>
        </w:rPr>
        <w:t>” means the Licensed Compounds (and their corresponding chemical structures) and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Materials to the extent such Licensed Materials are the physical embodiment of the Licensed Compounds.</w:t>
      </w:r>
    </w:p>
    <w:p>
      <w:pPr>
        <w:spacing w:after="0" w:line="32"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 xml:space="preserve">Section 1.43 </w:t>
      </w:r>
      <w:r>
        <w:rPr>
          <w:rFonts w:ascii="Arial" w:cs="Arial" w:eastAsia="Arial" w:hAnsi="Arial"/>
          <w:sz w:val="17"/>
          <w:szCs w:val="17"/>
          <w:color w:val="auto"/>
        </w:rPr>
        <w:t>“</w:t>
      </w:r>
      <w:r>
        <w:rPr>
          <w:rFonts w:ascii="Arial" w:cs="Arial" w:eastAsia="Arial" w:hAnsi="Arial"/>
          <w:sz w:val="17"/>
          <w:szCs w:val="17"/>
          <w:b w:val="1"/>
          <w:bCs w:val="1"/>
          <w:color w:val="auto"/>
        </w:rPr>
        <w:t>Exploit</w:t>
      </w:r>
      <w:r>
        <w:rPr>
          <w:rFonts w:ascii="Arial" w:cs="Arial" w:eastAsia="Arial" w:hAnsi="Arial"/>
          <w:sz w:val="17"/>
          <w:szCs w:val="17"/>
          <w:color w:val="auto"/>
        </w:rPr>
        <w:t>” means to research, develop, make, have made, use, offer for sale, sell, import, export, commercialize or otherwise exploit,</w:t>
      </w:r>
      <w:r>
        <w:rPr>
          <w:rFonts w:ascii="Arial" w:cs="Arial" w:eastAsia="Arial" w:hAnsi="Arial"/>
          <w:sz w:val="17"/>
          <w:szCs w:val="17"/>
          <w:b w:val="1"/>
          <w:bCs w:val="1"/>
          <w:color w:val="auto"/>
        </w:rPr>
        <w:t xml:space="preserve"> </w:t>
      </w:r>
      <w:r>
        <w:rPr>
          <w:rFonts w:ascii="Arial" w:cs="Arial" w:eastAsia="Arial" w:hAnsi="Arial"/>
          <w:sz w:val="17"/>
          <w:szCs w:val="17"/>
          <w:color w:val="auto"/>
        </w:rPr>
        <w:t>or transfer possession of or title in, a compound or product. Cognates of the word “</w:t>
      </w:r>
      <w:r>
        <w:rPr>
          <w:rFonts w:ascii="Arial" w:cs="Arial" w:eastAsia="Arial" w:hAnsi="Arial"/>
          <w:sz w:val="17"/>
          <w:szCs w:val="17"/>
          <w:b w:val="1"/>
          <w:bCs w:val="1"/>
          <w:color w:val="auto"/>
        </w:rPr>
        <w:t>Exploit</w:t>
      </w:r>
      <w:r>
        <w:rPr>
          <w:rFonts w:ascii="Arial" w:cs="Arial" w:eastAsia="Arial" w:hAnsi="Arial"/>
          <w:sz w:val="17"/>
          <w:szCs w:val="17"/>
          <w:color w:val="auto"/>
        </w:rPr>
        <w:t>” shall have correlative meanings.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1.44 </w:t>
      </w:r>
      <w:r>
        <w:rPr>
          <w:rFonts w:ascii="Arial" w:cs="Arial" w:eastAsia="Arial" w:hAnsi="Arial"/>
          <w:sz w:val="18"/>
          <w:szCs w:val="18"/>
          <w:color w:val="auto"/>
        </w:rPr>
        <w:t>“</w:t>
      </w:r>
      <w:r>
        <w:rPr>
          <w:rFonts w:ascii="Arial" w:cs="Arial" w:eastAsia="Arial" w:hAnsi="Arial"/>
          <w:sz w:val="18"/>
          <w:szCs w:val="18"/>
          <w:b w:val="1"/>
          <w:bCs w:val="1"/>
          <w:color w:val="auto"/>
        </w:rPr>
        <w:t>Failure to Conclude License</w:t>
      </w:r>
      <w:r>
        <w:rPr>
          <w:rFonts w:ascii="Arial" w:cs="Arial" w:eastAsia="Arial" w:hAnsi="Arial"/>
          <w:sz w:val="18"/>
          <w:szCs w:val="18"/>
          <w:color w:val="auto"/>
        </w:rPr>
        <w:t>” has the meaning set forth in Section 2.4.3 (Exclusive Right of First Negotiation).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1.45 </w:t>
      </w:r>
      <w:r>
        <w:rPr>
          <w:rFonts w:ascii="Arial" w:cs="Arial" w:eastAsia="Arial" w:hAnsi="Arial"/>
          <w:sz w:val="18"/>
          <w:szCs w:val="18"/>
          <w:color w:val="auto"/>
        </w:rPr>
        <w:t>“</w:t>
      </w:r>
      <w:r>
        <w:rPr>
          <w:rFonts w:ascii="Arial" w:cs="Arial" w:eastAsia="Arial" w:hAnsi="Arial"/>
          <w:sz w:val="18"/>
          <w:szCs w:val="18"/>
          <w:b w:val="1"/>
          <w:bCs w:val="1"/>
          <w:color w:val="auto"/>
        </w:rPr>
        <w:t>Failure to Indicate Interest</w:t>
      </w:r>
      <w:r>
        <w:rPr>
          <w:rFonts w:ascii="Arial" w:cs="Arial" w:eastAsia="Arial" w:hAnsi="Arial"/>
          <w:sz w:val="18"/>
          <w:szCs w:val="18"/>
          <w:color w:val="auto"/>
        </w:rPr>
        <w:t>” has the meaning set forth in Section 2.4.3 (Exclusive Right of First Negotiation).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1.46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entity thereto.</w:t>
      </w:r>
    </w:p>
    <w:p>
      <w:pPr>
        <w:spacing w:after="0" w:line="1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Section 1.47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product in any country, the first sale for end use or consumption of such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 such country after Marketing Approval has been granted in such country. First Commercial Sale excludes any sale or other distribution of such product for use in a clinical trial or other development activity, for promotional use (including samples) prior to Marketing Approval or for compassionate use or on a named patient basis.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1.48 </w:t>
      </w:r>
      <w:r>
        <w:rPr>
          <w:rFonts w:ascii="Arial" w:cs="Arial" w:eastAsia="Arial" w:hAnsi="Arial"/>
          <w:sz w:val="17"/>
          <w:szCs w:val="17"/>
          <w:color w:val="auto"/>
        </w:rPr>
        <w:t>“</w:t>
      </w:r>
      <w:r>
        <w:rPr>
          <w:rFonts w:ascii="Arial" w:cs="Arial" w:eastAsia="Arial" w:hAnsi="Arial"/>
          <w:sz w:val="17"/>
          <w:szCs w:val="17"/>
          <w:b w:val="1"/>
          <w:bCs w:val="1"/>
          <w:color w:val="auto"/>
        </w:rPr>
        <w:t>FTE Rate</w:t>
      </w:r>
      <w:r>
        <w:rPr>
          <w:rFonts w:ascii="Arial" w:cs="Arial" w:eastAsia="Arial" w:hAnsi="Arial"/>
          <w:sz w:val="17"/>
          <w:szCs w:val="17"/>
          <w:color w:val="auto"/>
        </w:rPr>
        <w:t>” means [***]. The FTE Rate shall be increased by [***] each calendar year, beginning with the 2022 calendar year.</w:t>
      </w:r>
    </w:p>
    <w:p>
      <w:pPr>
        <w:spacing w:after="0" w:line="129"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Section 1.49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the then current generally accepted accounting principles in the United States as established by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Standards Board or any successor entity or other entity generally recognized as having the right to establish such principles in the United States, in each case consistently applied.</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880" w:top="270" w:right="519" w:bottom="1440" w:gutter="0" w:footer="0" w:header="0"/>
        </w:sectPr>
      </w:pPr>
    </w:p>
    <w:bookmarkStart w:id="357" w:name="page358"/>
    <w:bookmarkEnd w:id="357"/>
    <w:p>
      <w:pPr>
        <w:ind w:right="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1.50 </w:t>
      </w:r>
      <w:r>
        <w:rPr>
          <w:rFonts w:ascii="Arial" w:cs="Arial" w:eastAsia="Arial" w:hAnsi="Arial"/>
          <w:sz w:val="17"/>
          <w:szCs w:val="17"/>
          <w:color w:val="auto"/>
        </w:rPr>
        <w:t>“</w:t>
      </w:r>
      <w:r>
        <w:rPr>
          <w:rFonts w:ascii="Arial" w:cs="Arial" w:eastAsia="Arial" w:hAnsi="Arial"/>
          <w:sz w:val="17"/>
          <w:szCs w:val="17"/>
          <w:b w:val="1"/>
          <w:bCs w:val="1"/>
          <w:color w:val="auto"/>
        </w:rPr>
        <w:t>Generic Product</w:t>
      </w:r>
      <w:r>
        <w:rPr>
          <w:rFonts w:ascii="Arial" w:cs="Arial" w:eastAsia="Arial" w:hAnsi="Arial"/>
          <w:sz w:val="17"/>
          <w:szCs w:val="17"/>
          <w:color w:val="auto"/>
        </w:rPr>
        <w:t>” means, with respect to a Product in a particular regulatory jurisdiction, on a Product-by-Product and</w:t>
      </w:r>
      <w:r>
        <w:rPr>
          <w:rFonts w:ascii="Arial" w:cs="Arial" w:eastAsia="Arial" w:hAnsi="Arial"/>
          <w:sz w:val="17"/>
          <w:szCs w:val="17"/>
          <w:b w:val="1"/>
          <w:bCs w:val="1"/>
          <w:color w:val="auto"/>
        </w:rPr>
        <w:t xml:space="preserve"> </w:t>
      </w:r>
      <w:r>
        <w:rPr>
          <w:rFonts w:ascii="Arial" w:cs="Arial" w:eastAsia="Arial" w:hAnsi="Arial"/>
          <w:sz w:val="17"/>
          <w:szCs w:val="17"/>
          <w:color w:val="auto"/>
        </w:rPr>
        <w:t>country-by-country basis, any pharmaceutical product (other than a Product under this Agreement) that (a) is approved by the Regulatory Authority in such country for at least one indication for which such Product obtained Marketing Approval from the applicable Regulatory Authority in such jurisdiction through an abbreviated new drug application as defined in 21 U.S.C. 355(j) (or any replacement thereof or any equivalent outside the United States) and (b) is sold in such jurisdiction by a Third Party that is not a Sublicensee and did not purchase such product in a chain of distribution that included any of RBNC or its Affiliates or Sublicensees.</w:t>
      </w:r>
    </w:p>
    <w:p>
      <w:pPr>
        <w:spacing w:after="0" w:line="65" w:lineRule="exact"/>
        <w:rPr>
          <w:sz w:val="20"/>
          <w:szCs w:val="20"/>
          <w:color w:val="auto"/>
        </w:rPr>
      </w:pPr>
    </w:p>
    <w:p>
      <w:pPr>
        <w:jc w:val="both"/>
        <w:ind w:right="440"/>
        <w:spacing w:after="0" w:line="314" w:lineRule="auto"/>
        <w:rPr>
          <w:sz w:val="20"/>
          <w:szCs w:val="20"/>
          <w:color w:val="auto"/>
        </w:rPr>
      </w:pPr>
      <w:r>
        <w:rPr>
          <w:rFonts w:ascii="Arial" w:cs="Arial" w:eastAsia="Arial" w:hAnsi="Arial"/>
          <w:sz w:val="16"/>
          <w:szCs w:val="16"/>
          <w:b w:val="1"/>
          <w:bCs w:val="1"/>
          <w:color w:val="auto"/>
        </w:rPr>
        <w:t xml:space="preserve">Section 1.51 </w:t>
      </w: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 any court, agency, department, authority or other instrumentality of any national, state,</w:t>
      </w:r>
      <w:r>
        <w:rPr>
          <w:rFonts w:ascii="Arial" w:cs="Arial" w:eastAsia="Arial" w:hAnsi="Arial"/>
          <w:sz w:val="16"/>
          <w:szCs w:val="16"/>
          <w:b w:val="1"/>
          <w:bCs w:val="1"/>
          <w:color w:val="auto"/>
        </w:rPr>
        <w:t xml:space="preserve"> </w:t>
      </w:r>
      <w:r>
        <w:rPr>
          <w:rFonts w:ascii="Arial" w:cs="Arial" w:eastAsia="Arial" w:hAnsi="Arial"/>
          <w:sz w:val="16"/>
          <w:szCs w:val="16"/>
          <w:color w:val="auto"/>
        </w:rPr>
        <w:t>county, city or other political subdivision; (b) any public international organization; or (c) any department, agency or instrumentality thereof, including any company, business, enterprise or other entity owned or controlled, in whole or in part, by any government.</w:t>
      </w:r>
    </w:p>
    <w:p>
      <w:pPr>
        <w:spacing w:after="0" w:line="34"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Section 1.52 </w:t>
      </w:r>
      <w:r>
        <w:rPr>
          <w:rFonts w:ascii="Arial" w:cs="Arial" w:eastAsia="Arial" w:hAnsi="Arial"/>
          <w:sz w:val="17"/>
          <w:szCs w:val="17"/>
          <w:color w:val="auto"/>
        </w:rPr>
        <w:t>“</w:t>
      </w:r>
      <w:r>
        <w:rPr>
          <w:rFonts w:ascii="Arial" w:cs="Arial" w:eastAsia="Arial" w:hAnsi="Arial"/>
          <w:sz w:val="17"/>
          <w:szCs w:val="17"/>
          <w:b w:val="1"/>
          <w:bCs w:val="1"/>
          <w:color w:val="auto"/>
        </w:rPr>
        <w:t>Government Official</w:t>
      </w:r>
      <w:r>
        <w:rPr>
          <w:rFonts w:ascii="Arial" w:cs="Arial" w:eastAsia="Arial" w:hAnsi="Arial"/>
          <w:sz w:val="17"/>
          <w:szCs w:val="17"/>
          <w:color w:val="auto"/>
        </w:rPr>
        <w:t>” means (a) any Person employed by or acting on behalf of a Governmental Authority; (b) any political party,</w:t>
      </w:r>
      <w:r>
        <w:rPr>
          <w:rFonts w:ascii="Arial" w:cs="Arial" w:eastAsia="Arial" w:hAnsi="Arial"/>
          <w:sz w:val="17"/>
          <w:szCs w:val="17"/>
          <w:b w:val="1"/>
          <w:bCs w:val="1"/>
          <w:color w:val="auto"/>
        </w:rPr>
        <w:t xml:space="preserve"> </w:t>
      </w:r>
      <w:r>
        <w:rPr>
          <w:rFonts w:ascii="Arial" w:cs="Arial" w:eastAsia="Arial" w:hAnsi="Arial"/>
          <w:sz w:val="17"/>
          <w:szCs w:val="17"/>
          <w:color w:val="auto"/>
        </w:rPr>
        <w:t>party official or candidate; (c) any Person who holds or performs the duties of an appointment, office or position created by custom or convention; and (d) any Person who holds himself out to be the authorized intermediary of any of the foregoing.</w:t>
      </w:r>
    </w:p>
    <w:p>
      <w:pPr>
        <w:spacing w:after="0" w:line="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Section 1.53 </w:t>
      </w:r>
      <w:r>
        <w:rPr>
          <w:rFonts w:ascii="Arial" w:cs="Arial" w:eastAsia="Arial" w:hAnsi="Arial"/>
          <w:sz w:val="16"/>
          <w:szCs w:val="16"/>
          <w:color w:val="auto"/>
        </w:rPr>
        <w:t>“</w:t>
      </w:r>
      <w:r>
        <w:rPr>
          <w:rFonts w:ascii="Arial" w:cs="Arial" w:eastAsia="Arial" w:hAnsi="Arial"/>
          <w:sz w:val="16"/>
          <w:szCs w:val="16"/>
          <w:b w:val="1"/>
          <w:bCs w:val="1"/>
          <w:color w:val="auto"/>
        </w:rPr>
        <w:t>Health Care Laws</w:t>
      </w:r>
      <w:r>
        <w:rPr>
          <w:rFonts w:ascii="Arial" w:cs="Arial" w:eastAsia="Arial" w:hAnsi="Arial"/>
          <w:sz w:val="16"/>
          <w:szCs w:val="16"/>
          <w:color w:val="auto"/>
        </w:rPr>
        <w:t>” means any health care Law applicable to RBNC, AMGEN or its respective Affiliates or by which any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properties, businesses, products or other assets is bound or affected, including, without limitation, the federal Anti-Kickback Statute (42 U.S.C. § 1320a-7b(b)), the Physician Payments Sunshine Act (42 U.S.C Section 1320-7h), the Civil Monetary Penalties Law (42 U.S.C. §</w:t>
      </w:r>
    </w:p>
    <w:p>
      <w:pPr>
        <w:spacing w:after="0" w:line="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1320a-7a(a)), the civil False Claims Act (31 U.S.C. §§ 3729 et seq.), the administrative False Claims Law (42 U.S.C. § 1320a-7b(a)), all criminal Laws relating to health care fraud and abuse, including 18 U.S.C. Sections §§ 286, 287, 1001, 1347 and 1349, and the health care fraud criminal provisions under the Health Insurance Portability and Accountability Act of 1996 (42 U.S.C. § 1320d et seq.), the exclusion laws (42 U.S.C. § 1320a-7), the Food Drug and Cosmetic Act (21 U.S.C. §§ 301 et seq.) (“</w:t>
      </w:r>
      <w:r>
        <w:rPr>
          <w:rFonts w:ascii="Arial" w:cs="Arial" w:eastAsia="Arial" w:hAnsi="Arial"/>
          <w:sz w:val="17"/>
          <w:szCs w:val="17"/>
          <w:b w:val="1"/>
          <w:bCs w:val="1"/>
          <w:color w:val="auto"/>
        </w:rPr>
        <w:t>FD&amp;C Act</w:t>
      </w:r>
      <w:r>
        <w:rPr>
          <w:rFonts w:ascii="Arial" w:cs="Arial" w:eastAsia="Arial" w:hAnsi="Arial"/>
          <w:sz w:val="17"/>
          <w:szCs w:val="17"/>
          <w:color w:val="auto"/>
        </w:rPr>
        <w:t>”), the Public Health Service Act (42 U.S.C. Section 201 et seq.), the Medicare statute (Title XVIII of the Social Security Act), the Medicaid statute (Title XIX of the Social Security Act), the regulations promulgated pursuant to such Laws, and any other similar state or foreign equivalent or Law, each as amended from time to time,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0" w:right="459" w:bottom="1440" w:gutter="0" w:footer="0" w:header="0"/>
        </w:sectPr>
      </w:pPr>
    </w:p>
    <w:bookmarkStart w:id="358" w:name="page359"/>
    <w:bookmarkEnd w:id="358"/>
    <w:p>
      <w:pPr>
        <w:ind w:right="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1.54 </w:t>
      </w:r>
      <w:r>
        <w:rPr>
          <w:rFonts w:ascii="Arial" w:cs="Arial" w:eastAsia="Arial" w:hAnsi="Arial"/>
          <w:sz w:val="17"/>
          <w:szCs w:val="17"/>
          <w:color w:val="auto"/>
        </w:rPr>
        <w:t>“</w:t>
      </w:r>
      <w:r>
        <w:rPr>
          <w:rFonts w:ascii="Arial" w:cs="Arial" w:eastAsia="Arial" w:hAnsi="Arial"/>
          <w:sz w:val="17"/>
          <w:szCs w:val="17"/>
          <w:b w:val="1"/>
          <w:bCs w:val="1"/>
          <w:color w:val="auto"/>
        </w:rPr>
        <w:t>Healthcare Industry Professional Society and Trade Association</w:t>
      </w:r>
      <w:r>
        <w:rPr>
          <w:rFonts w:ascii="Arial" w:cs="Arial" w:eastAsia="Arial" w:hAnsi="Arial"/>
          <w:sz w:val="17"/>
          <w:szCs w:val="17"/>
          <w:color w:val="auto"/>
        </w:rPr>
        <w:t>” means a non-profit or tax exempt healthcare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seeking to further a particular profession, the interests of individuals engaged in that profession, or the public interest (examples of such include without limitation the American Society of Hematology, the North American Society for Dialysis and Transplantation, the American Society of Hypertension, the American Cancer Society and the American Society of Clinical Oncology).</w:t>
      </w:r>
    </w:p>
    <w:p>
      <w:pPr>
        <w:spacing w:after="0" w:line="5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Section 1.55 </w:t>
      </w:r>
      <w:r>
        <w:rPr>
          <w:rFonts w:ascii="Arial" w:cs="Arial" w:eastAsia="Arial" w:hAnsi="Arial"/>
          <w:sz w:val="18"/>
          <w:szCs w:val="18"/>
          <w:color w:val="auto"/>
        </w:rPr>
        <w:t>“</w:t>
      </w:r>
      <w:r>
        <w:rPr>
          <w:rFonts w:ascii="Arial" w:cs="Arial" w:eastAsia="Arial" w:hAnsi="Arial"/>
          <w:sz w:val="18"/>
          <w:szCs w:val="18"/>
          <w:b w:val="1"/>
          <w:bCs w:val="1"/>
          <w:color w:val="auto"/>
        </w:rPr>
        <w:t>Healthcare Institution</w:t>
      </w:r>
      <w:r>
        <w:rPr>
          <w:rFonts w:ascii="Arial" w:cs="Arial" w:eastAsia="Arial" w:hAnsi="Arial"/>
          <w:sz w:val="18"/>
          <w:szCs w:val="18"/>
          <w:color w:val="auto"/>
        </w:rPr>
        <w:t>” or “</w:t>
      </w:r>
      <w:r>
        <w:rPr>
          <w:rFonts w:ascii="Arial" w:cs="Arial" w:eastAsia="Arial" w:hAnsi="Arial"/>
          <w:sz w:val="18"/>
          <w:szCs w:val="18"/>
          <w:b w:val="1"/>
          <w:bCs w:val="1"/>
          <w:color w:val="auto"/>
        </w:rPr>
        <w:t>HCI</w:t>
      </w:r>
      <w:r>
        <w:rPr>
          <w:rFonts w:ascii="Arial" w:cs="Arial" w:eastAsia="Arial" w:hAnsi="Arial"/>
          <w:sz w:val="18"/>
          <w:szCs w:val="18"/>
          <w:color w:val="auto"/>
        </w:rPr>
        <w:t>” means a facility that provides health maintenance, or treats illness and injury, and can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any hospital, convalescent hospital, dialysis center, health clinic, nursing home, extended care facility, or other institution devoted to the care of sick, infirm, or aged persons, and is in a position to purchase or influence a purchasing decision for any human therapeutic product marketed, distributed, or sold, including any service related thereto provided by or on behalf of AMGEN or any of its Affiliates (each an “</w:t>
      </w:r>
      <w:r>
        <w:rPr>
          <w:rFonts w:ascii="Arial" w:cs="Arial" w:eastAsia="Arial" w:hAnsi="Arial"/>
          <w:sz w:val="18"/>
          <w:szCs w:val="18"/>
          <w:b w:val="1"/>
          <w:bCs w:val="1"/>
          <w:color w:val="auto"/>
        </w:rPr>
        <w:t>Amgen Therapeutic Product</w:t>
      </w:r>
      <w:r>
        <w:rPr>
          <w:rFonts w:ascii="Arial" w:cs="Arial" w:eastAsia="Arial" w:hAnsi="Arial"/>
          <w:sz w:val="18"/>
          <w:szCs w:val="18"/>
          <w:color w:val="auto"/>
        </w:rPr>
        <w:t>”).</w:t>
      </w:r>
    </w:p>
    <w:p>
      <w:pPr>
        <w:spacing w:after="0" w:line="7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Section 1.56 </w:t>
      </w:r>
      <w:r>
        <w:rPr>
          <w:rFonts w:ascii="Arial" w:cs="Arial" w:eastAsia="Arial" w:hAnsi="Arial"/>
          <w:sz w:val="18"/>
          <w:szCs w:val="18"/>
          <w:color w:val="auto"/>
        </w:rPr>
        <w:t>“</w:t>
      </w:r>
      <w:r>
        <w:rPr>
          <w:rFonts w:ascii="Arial" w:cs="Arial" w:eastAsia="Arial" w:hAnsi="Arial"/>
          <w:sz w:val="18"/>
          <w:szCs w:val="18"/>
          <w:b w:val="1"/>
          <w:bCs w:val="1"/>
          <w:color w:val="auto"/>
        </w:rPr>
        <w:t>Healthcare Professional</w:t>
      </w:r>
      <w:r>
        <w:rPr>
          <w:rFonts w:ascii="Arial" w:cs="Arial" w:eastAsia="Arial" w:hAnsi="Arial"/>
          <w:sz w:val="18"/>
          <w:szCs w:val="18"/>
          <w:color w:val="auto"/>
        </w:rPr>
        <w:t>” or “</w:t>
      </w:r>
      <w:r>
        <w:rPr>
          <w:rFonts w:ascii="Arial" w:cs="Arial" w:eastAsia="Arial" w:hAnsi="Arial"/>
          <w:sz w:val="18"/>
          <w:szCs w:val="18"/>
          <w:b w:val="1"/>
          <w:bCs w:val="1"/>
          <w:color w:val="auto"/>
        </w:rPr>
        <w:t>HCP</w:t>
      </w:r>
      <w:r>
        <w:rPr>
          <w:rFonts w:ascii="Arial" w:cs="Arial" w:eastAsia="Arial" w:hAnsi="Arial"/>
          <w:sz w:val="18"/>
          <w:szCs w:val="18"/>
          <w:color w:val="auto"/>
        </w:rPr>
        <w:t>” means any person licensed to prescribe an Amgen Therapeutic Product,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physicians and other providers (e.g., nurses, pharmacists) with prescribing authority and/or in a position to influence a purchasing decision of an Amgen Therapeutic Product.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1.57 </w:t>
      </w: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(15 U.S.C. § 18a).</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Section 1.58 </w:t>
      </w:r>
      <w:r>
        <w:rPr>
          <w:rFonts w:ascii="Arial" w:cs="Arial" w:eastAsia="Arial" w:hAnsi="Arial"/>
          <w:sz w:val="18"/>
          <w:szCs w:val="18"/>
          <w:color w:val="auto"/>
        </w:rPr>
        <w:t>“</w:t>
      </w:r>
      <w:r>
        <w:rPr>
          <w:rFonts w:ascii="Arial" w:cs="Arial" w:eastAsia="Arial" w:hAnsi="Arial"/>
          <w:sz w:val="18"/>
          <w:szCs w:val="18"/>
          <w:b w:val="1"/>
          <w:bCs w:val="1"/>
          <w:color w:val="auto"/>
        </w:rPr>
        <w:t>HSR Filing</w:t>
      </w:r>
      <w:r>
        <w:rPr>
          <w:rFonts w:ascii="Arial" w:cs="Arial" w:eastAsia="Arial" w:hAnsi="Arial"/>
          <w:sz w:val="18"/>
          <w:szCs w:val="18"/>
          <w:color w:val="auto"/>
        </w:rPr>
        <w:t>” means a filing by each of Amgen and RBNC with the United States Federal Trade Commission and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Department of Justice of a Notification and Report Form for Certain Mergers and Acquisitions (as defined in the HSR Act) with respect to the Transaction, together with all required documentary attachments thereto.</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1.59 “IFRS</w:t>
      </w:r>
      <w:r>
        <w:rPr>
          <w:rFonts w:ascii="Arial" w:cs="Arial" w:eastAsia="Arial" w:hAnsi="Arial"/>
          <w:sz w:val="17"/>
          <w:szCs w:val="17"/>
          <w:color w:val="auto"/>
        </w:rPr>
        <w:t>” means the international financial reporting standards as issued by the International Accounting Standards Board.</w:t>
      </w:r>
    </w:p>
    <w:p>
      <w:pPr>
        <w:spacing w:after="0" w:line="129"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Section 1.60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in the U.S. filed with the FDA or the corresponding application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 of a Product in any other country or group of countries, as defined by applicable Law and filed with the Regulatory Authority of a given country or group of countries.</w:t>
      </w:r>
    </w:p>
    <w:p>
      <w:pPr>
        <w:spacing w:after="0" w:line="6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Section 1.61 </w:t>
      </w:r>
      <w:r>
        <w:rPr>
          <w:rFonts w:ascii="Arial" w:cs="Arial" w:eastAsia="Arial" w:hAnsi="Arial"/>
          <w:sz w:val="18"/>
          <w:szCs w:val="18"/>
          <w:color w:val="auto"/>
        </w:rPr>
        <w:t>“</w:t>
      </w:r>
      <w:r>
        <w:rPr>
          <w:rFonts w:ascii="Arial" w:cs="Arial" w:eastAsia="Arial" w:hAnsi="Arial"/>
          <w:sz w:val="18"/>
          <w:szCs w:val="18"/>
          <w:b w:val="1"/>
          <w:bCs w:val="1"/>
          <w:color w:val="auto"/>
        </w:rPr>
        <w:t>Infringe</w:t>
      </w:r>
      <w:r>
        <w:rPr>
          <w:rFonts w:ascii="Arial" w:cs="Arial" w:eastAsia="Arial" w:hAnsi="Arial"/>
          <w:sz w:val="18"/>
          <w:szCs w:val="18"/>
          <w:color w:val="auto"/>
        </w:rPr>
        <w:t>” or “</w:t>
      </w:r>
      <w:r>
        <w:rPr>
          <w:rFonts w:ascii="Arial" w:cs="Arial" w:eastAsia="Arial" w:hAnsi="Arial"/>
          <w:sz w:val="18"/>
          <w:szCs w:val="18"/>
          <w:b w:val="1"/>
          <w:bCs w:val="1"/>
          <w:color w:val="auto"/>
        </w:rPr>
        <w:t>Infringement</w:t>
      </w:r>
      <w:r>
        <w:rPr>
          <w:rFonts w:ascii="Arial" w:cs="Arial" w:eastAsia="Arial" w:hAnsi="Arial"/>
          <w:sz w:val="18"/>
          <w:szCs w:val="18"/>
          <w:color w:val="auto"/>
        </w:rPr>
        <w:t>” means any infringement as determined by Law, including, without limitation, direct infringement,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contributory infringement or any inducement to infringe.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1.62 </w:t>
      </w:r>
      <w:r>
        <w:rPr>
          <w:rFonts w:ascii="Arial" w:cs="Arial" w:eastAsia="Arial" w:hAnsi="Arial"/>
          <w:sz w:val="18"/>
          <w:szCs w:val="18"/>
          <w:color w:val="auto"/>
        </w:rPr>
        <w:t>“</w:t>
      </w:r>
      <w:r>
        <w:rPr>
          <w:rFonts w:ascii="Arial" w:cs="Arial" w:eastAsia="Arial" w:hAnsi="Arial"/>
          <w:sz w:val="18"/>
          <w:szCs w:val="18"/>
          <w:b w:val="1"/>
          <w:bCs w:val="1"/>
          <w:color w:val="auto"/>
        </w:rPr>
        <w:t>Initiation</w:t>
      </w:r>
      <w:r>
        <w:rPr>
          <w:rFonts w:ascii="Arial" w:cs="Arial" w:eastAsia="Arial" w:hAnsi="Arial"/>
          <w:sz w:val="18"/>
          <w:szCs w:val="18"/>
          <w:color w:val="auto"/>
        </w:rPr>
        <w:t>” means, with respect to a human clinical trial, the first dosing in the first patient in such clinical trial.</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Section 1.63 </w:t>
      </w:r>
      <w:r>
        <w:rPr>
          <w:rFonts w:ascii="Arial" w:cs="Arial" w:eastAsia="Arial" w:hAnsi="Arial"/>
          <w:sz w:val="17"/>
          <w:szCs w:val="17"/>
          <w:color w:val="auto"/>
        </w:rPr>
        <w:t>“</w:t>
      </w:r>
      <w:r>
        <w:rPr>
          <w:rFonts w:ascii="Arial" w:cs="Arial" w:eastAsia="Arial" w:hAnsi="Arial"/>
          <w:sz w:val="17"/>
          <w:szCs w:val="17"/>
          <w:b w:val="1"/>
          <w:bCs w:val="1"/>
          <w:color w:val="auto"/>
        </w:rPr>
        <w:t>International Trade Laws</w:t>
      </w:r>
      <w:r>
        <w:rPr>
          <w:rFonts w:ascii="Arial" w:cs="Arial" w:eastAsia="Arial" w:hAnsi="Arial"/>
          <w:sz w:val="17"/>
          <w:szCs w:val="17"/>
          <w:color w:val="auto"/>
        </w:rPr>
        <w:t>” means all applicable United States laws, regulations, and orders pertaining to trade and economic</w:t>
      </w:r>
      <w:r>
        <w:rPr>
          <w:rFonts w:ascii="Arial" w:cs="Arial" w:eastAsia="Arial" w:hAnsi="Arial"/>
          <w:sz w:val="17"/>
          <w:szCs w:val="17"/>
          <w:b w:val="1"/>
          <w:bCs w:val="1"/>
          <w:color w:val="auto"/>
        </w:rPr>
        <w:t xml:space="preserve"> </w:t>
      </w:r>
      <w:r>
        <w:rPr>
          <w:rFonts w:ascii="Arial" w:cs="Arial" w:eastAsia="Arial" w:hAnsi="Arial"/>
          <w:sz w:val="17"/>
          <w:szCs w:val="17"/>
          <w:color w:val="auto"/>
        </w:rPr>
        <w:t>sanctions, export controls, and customs, including such laws, regulations, and orders administered and enforced by the U.S. Department of the Treasury, the U.S. Department of Commerce, the U.S. Department of State and the U.S. Customs and Border Protection agency, including but not limited to the sanctions administered and enforced by the Office of Foreign Assets Control (OFAC), the United States Export Administration Act of 1979, as amended, and the Export Control Reform Act of 2018, and implementing Export Administration Regulations (EAR); the Arms Export Control Act and implementing International Traffic in Arms Regulations (ITAR); and all comparable applicable export and import Laws outside the United States for each country where the Parties or their agents and representatives conduct business, except to the extent such Laws are inconsistent with the Laws of the United States.</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20"/>
          </w:cols>
          <w:pgMar w:left="880" w:top="270" w:right="49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1.64 </w:t>
      </w:r>
      <w:r>
        <w:rPr>
          <w:rFonts w:ascii="Arial" w:cs="Arial" w:eastAsia="Arial" w:hAnsi="Arial"/>
          <w:sz w:val="18"/>
          <w:szCs w:val="18"/>
          <w:color w:val="auto"/>
        </w:rPr>
        <w:t>“</w:t>
      </w:r>
      <w:r>
        <w:rPr>
          <w:rFonts w:ascii="Arial" w:cs="Arial" w:eastAsia="Arial" w:hAnsi="Arial"/>
          <w:sz w:val="18"/>
          <w:szCs w:val="18"/>
          <w:b w:val="1"/>
          <w:bCs w:val="1"/>
          <w:color w:val="auto"/>
        </w:rPr>
        <w:t>Issuing Party</w:t>
      </w:r>
      <w:r>
        <w:rPr>
          <w:rFonts w:ascii="Arial" w:cs="Arial" w:eastAsia="Arial" w:hAnsi="Arial"/>
          <w:sz w:val="18"/>
          <w:szCs w:val="18"/>
          <w:color w:val="auto"/>
        </w:rPr>
        <w:t>” has the meaning set forth in Section 8.2.2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1.65 </w:t>
      </w:r>
      <w:r>
        <w:rPr>
          <w:rFonts w:ascii="Arial" w:cs="Arial" w:eastAsia="Arial" w:hAnsi="Arial"/>
          <w:sz w:val="18"/>
          <w:szCs w:val="18"/>
          <w:color w:val="auto"/>
        </w:rPr>
        <w:t>“</w:t>
      </w:r>
      <w:r>
        <w:rPr>
          <w:rFonts w:ascii="Arial" w:cs="Arial" w:eastAsia="Arial" w:hAnsi="Arial"/>
          <w:sz w:val="18"/>
          <w:szCs w:val="18"/>
          <w:b w:val="1"/>
          <w:bCs w:val="1"/>
          <w:color w:val="auto"/>
        </w:rPr>
        <w:t>Inventions</w:t>
      </w:r>
      <w:r>
        <w:rPr>
          <w:rFonts w:ascii="Arial" w:cs="Arial" w:eastAsia="Arial" w:hAnsi="Arial"/>
          <w:sz w:val="18"/>
          <w:szCs w:val="18"/>
          <w:color w:val="auto"/>
        </w:rPr>
        <w:t>” has the meaning set forth in Section 4.1.1 (Intellectual Property Ownership)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1.66 </w:t>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(1) RBNC’s first underwritten public offering of its common stock under the Securities Act of 1933, as amended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 RBNC’s closing of a merger with a publicly listed special purpose acquisition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1.67 </w:t>
      </w:r>
      <w:r>
        <w:rPr>
          <w:rFonts w:ascii="Arial" w:cs="Arial" w:eastAsia="Arial" w:hAnsi="Arial"/>
          <w:sz w:val="18"/>
          <w:szCs w:val="18"/>
          <w:color w:val="auto"/>
        </w:rPr>
        <w:t>“</w:t>
      </w:r>
      <w:r>
        <w:rPr>
          <w:rFonts w:ascii="Arial" w:cs="Arial" w:eastAsia="Arial" w:hAnsi="Arial"/>
          <w:sz w:val="18"/>
          <w:szCs w:val="18"/>
          <w:b w:val="1"/>
          <w:bCs w:val="1"/>
          <w:color w:val="auto"/>
        </w:rPr>
        <w:t>Joint Inventions</w:t>
      </w:r>
      <w:r>
        <w:rPr>
          <w:rFonts w:ascii="Arial" w:cs="Arial" w:eastAsia="Arial" w:hAnsi="Arial"/>
          <w:sz w:val="18"/>
          <w:szCs w:val="18"/>
          <w:color w:val="auto"/>
        </w:rPr>
        <w:t>” has the meaning set forth in Section 4.1.1 (Intellectual Property 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1.68 </w:t>
      </w:r>
      <w:r>
        <w:rPr>
          <w:rFonts w:ascii="Arial" w:cs="Arial" w:eastAsia="Arial" w:hAnsi="Arial"/>
          <w:sz w:val="18"/>
          <w:szCs w:val="18"/>
          <w:color w:val="auto"/>
        </w:rPr>
        <w:t>“</w:t>
      </w:r>
      <w:r>
        <w:rPr>
          <w:rFonts w:ascii="Arial" w:cs="Arial" w:eastAsia="Arial" w:hAnsi="Arial"/>
          <w:sz w:val="18"/>
          <w:szCs w:val="18"/>
          <w:b w:val="1"/>
          <w:bCs w:val="1"/>
          <w:color w:val="auto"/>
        </w:rPr>
        <w:t>Joint Patents</w:t>
      </w:r>
      <w:r>
        <w:rPr>
          <w:rFonts w:ascii="Arial" w:cs="Arial" w:eastAsia="Arial" w:hAnsi="Arial"/>
          <w:sz w:val="18"/>
          <w:szCs w:val="18"/>
          <w:color w:val="auto"/>
        </w:rPr>
        <w:t>” has the meaning set forth in Section 4.1.1 (Intellectual Property Ownership).</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Section 1.69 </w:t>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techniques, technology, trade secrets, materials, compounds, inventions (whether patentable or not), methods,</w:t>
      </w:r>
      <w:r>
        <w:rPr>
          <w:rFonts w:ascii="Arial" w:cs="Arial" w:eastAsia="Arial" w:hAnsi="Arial"/>
          <w:sz w:val="18"/>
          <w:szCs w:val="18"/>
          <w:b w:val="1"/>
          <w:bCs w:val="1"/>
          <w:color w:val="auto"/>
        </w:rPr>
        <w:t xml:space="preserve"> </w:t>
      </w:r>
      <w:r>
        <w:rPr>
          <w:rFonts w:ascii="Arial" w:cs="Arial" w:eastAsia="Arial" w:hAnsi="Arial"/>
          <w:sz w:val="18"/>
          <w:szCs w:val="18"/>
          <w:color w:val="auto"/>
        </w:rPr>
        <w:t>data (both primary and summary), reports and results (including pharmacological, toxicological and clinical data and results), analytical and quality control data and results, regulatory documents, and other information.</w:t>
      </w:r>
    </w:p>
    <w:p>
      <w:pPr>
        <w:spacing w:after="0" w:line="6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Section 1.70 </w:t>
      </w:r>
      <w:r>
        <w:rPr>
          <w:rFonts w:ascii="Arial" w:cs="Arial" w:eastAsia="Arial" w:hAnsi="Arial"/>
          <w:sz w:val="17"/>
          <w:szCs w:val="17"/>
          <w:color w:val="auto"/>
        </w:rPr>
        <w:t>“</w:t>
      </w:r>
      <w:r>
        <w:rPr>
          <w:rFonts w:ascii="Arial" w:cs="Arial" w:eastAsia="Arial" w:hAnsi="Arial"/>
          <w:sz w:val="17"/>
          <w:szCs w:val="17"/>
          <w:b w:val="1"/>
          <w:bCs w:val="1"/>
          <w:color w:val="auto"/>
        </w:rPr>
        <w:t>Law</w:t>
      </w:r>
      <w:r>
        <w:rPr>
          <w:rFonts w:ascii="Arial" w:cs="Arial" w:eastAsia="Arial" w:hAnsi="Arial"/>
          <w:sz w:val="17"/>
          <w:szCs w:val="17"/>
          <w:color w:val="auto"/>
        </w:rPr>
        <w:t>” means, individually and collectively, any and all laws, ordinances, rules, directives, administrative circulars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any kind whatsoever of any Governmental Authority within the applicable jurisdiction, including, but not limited to, Anti-Corruption Laws, International Trade Laws, Health Care Laws, those concerning data privacy and protection, and healthcare compliance.</w:t>
      </w:r>
    </w:p>
    <w:p>
      <w:pPr>
        <w:spacing w:after="0" w:line="5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Section 1.71 </w:t>
      </w:r>
      <w:r>
        <w:rPr>
          <w:rFonts w:ascii="Arial" w:cs="Arial" w:eastAsia="Arial" w:hAnsi="Arial"/>
          <w:sz w:val="18"/>
          <w:szCs w:val="18"/>
          <w:color w:val="auto"/>
        </w:rPr>
        <w:t>“</w:t>
      </w:r>
      <w:r>
        <w:rPr>
          <w:rFonts w:ascii="Arial" w:cs="Arial" w:eastAsia="Arial" w:hAnsi="Arial"/>
          <w:sz w:val="18"/>
          <w:szCs w:val="18"/>
          <w:b w:val="1"/>
          <w:bCs w:val="1"/>
          <w:color w:val="auto"/>
        </w:rPr>
        <w:t>Licensed Compound</w:t>
      </w:r>
      <w:r>
        <w:rPr>
          <w:rFonts w:ascii="Arial" w:cs="Arial" w:eastAsia="Arial" w:hAnsi="Arial"/>
          <w:sz w:val="18"/>
          <w:szCs w:val="18"/>
          <w:color w:val="auto"/>
        </w:rPr>
        <w:t>” means any compound that (a) is Covered in whole or in part by intellectual property rights (including,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clarity Know-How) Controlled by AMGEN or its Affiliates and (b) was discovered, researched or developed in the conduct of the Licensed Program by AMGEN or its Affiliates prior to the Effective Date, as listed or referenced on Exhibit B.</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1.72 </w:t>
      </w:r>
      <w:r>
        <w:rPr>
          <w:rFonts w:ascii="Arial" w:cs="Arial" w:eastAsia="Arial" w:hAnsi="Arial"/>
          <w:sz w:val="18"/>
          <w:szCs w:val="18"/>
          <w:color w:val="auto"/>
        </w:rPr>
        <w:t>“</w:t>
      </w:r>
      <w:r>
        <w:rPr>
          <w:rFonts w:ascii="Arial" w:cs="Arial" w:eastAsia="Arial" w:hAnsi="Arial"/>
          <w:sz w:val="18"/>
          <w:szCs w:val="18"/>
          <w:b w:val="1"/>
          <w:bCs w:val="1"/>
          <w:color w:val="auto"/>
        </w:rPr>
        <w:t>Licensed Field</w:t>
      </w:r>
      <w:r>
        <w:rPr>
          <w:rFonts w:ascii="Arial" w:cs="Arial" w:eastAsia="Arial" w:hAnsi="Arial"/>
          <w:sz w:val="18"/>
          <w:szCs w:val="18"/>
          <w:color w:val="auto"/>
        </w:rPr>
        <w:t>” means any and all uses.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1.73 </w:t>
      </w:r>
      <w:r>
        <w:rPr>
          <w:rFonts w:ascii="Arial" w:cs="Arial" w:eastAsia="Arial" w:hAnsi="Arial"/>
          <w:sz w:val="18"/>
          <w:szCs w:val="18"/>
          <w:color w:val="auto"/>
        </w:rPr>
        <w:t>“</w:t>
      </w:r>
      <w:r>
        <w:rPr>
          <w:rFonts w:ascii="Arial" w:cs="Arial" w:eastAsia="Arial" w:hAnsi="Arial"/>
          <w:sz w:val="18"/>
          <w:szCs w:val="18"/>
          <w:b w:val="1"/>
          <w:bCs w:val="1"/>
          <w:color w:val="auto"/>
        </w:rPr>
        <w:t>Licensed Know-How</w:t>
      </w:r>
      <w:r>
        <w:rPr>
          <w:rFonts w:ascii="Arial" w:cs="Arial" w:eastAsia="Arial" w:hAnsi="Arial"/>
          <w:sz w:val="18"/>
          <w:szCs w:val="18"/>
          <w:color w:val="auto"/>
        </w:rPr>
        <w:t>” means all proprietary Know-How that both (a) is Controlled by AMGEN or its Affiliates and (b) [***],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(a) and (b) prior to the Effective Date, as set forth on Exhibit A. For clarity, Licensed Know-How includes Exclusively Licensed Know How and any Licensed Materials not included within Exclusively Licensed Know-How.</w:t>
      </w:r>
    </w:p>
    <w:p>
      <w:pPr>
        <w:spacing w:after="0" w:line="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Section 1.74 </w:t>
      </w:r>
      <w:r>
        <w:rPr>
          <w:rFonts w:ascii="Arial" w:cs="Arial" w:eastAsia="Arial" w:hAnsi="Arial"/>
          <w:sz w:val="18"/>
          <w:szCs w:val="18"/>
          <w:color w:val="auto"/>
        </w:rPr>
        <w:t>“</w:t>
      </w:r>
      <w:r>
        <w:rPr>
          <w:rFonts w:ascii="Arial" w:cs="Arial" w:eastAsia="Arial" w:hAnsi="Arial"/>
          <w:sz w:val="18"/>
          <w:szCs w:val="18"/>
          <w:b w:val="1"/>
          <w:bCs w:val="1"/>
          <w:color w:val="auto"/>
        </w:rPr>
        <w:t>Licensed Materials</w:t>
      </w:r>
      <w:r>
        <w:rPr>
          <w:rFonts w:ascii="Arial" w:cs="Arial" w:eastAsia="Arial" w:hAnsi="Arial"/>
          <w:sz w:val="18"/>
          <w:szCs w:val="18"/>
          <w:color w:val="auto"/>
        </w:rPr>
        <w:t>” means those certain materials set forth on Exhibit A, all to the extent Controlled by AMGEN or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1.75 “Licensed Patents” </w:t>
      </w:r>
      <w:r>
        <w:rPr>
          <w:rFonts w:ascii="Arial" w:cs="Arial" w:eastAsia="Arial" w:hAnsi="Arial"/>
          <w:sz w:val="18"/>
          <w:szCs w:val="18"/>
          <w:color w:val="auto"/>
        </w:rPr>
        <w:t>means all Patent Rights Controlled by AMGEN or its Affiliates set forth on Exhibit A.</w:t>
      </w:r>
    </w:p>
    <w:p>
      <w:pPr>
        <w:spacing w:after="0" w:line="11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Section 1.76 </w:t>
      </w:r>
      <w:r>
        <w:rPr>
          <w:rFonts w:ascii="Arial" w:cs="Arial" w:eastAsia="Arial" w:hAnsi="Arial"/>
          <w:sz w:val="18"/>
          <w:szCs w:val="18"/>
          <w:color w:val="auto"/>
        </w:rPr>
        <w:t>“</w:t>
      </w:r>
      <w:r>
        <w:rPr>
          <w:rFonts w:ascii="Arial" w:cs="Arial" w:eastAsia="Arial" w:hAnsi="Arial"/>
          <w:sz w:val="18"/>
          <w:szCs w:val="18"/>
          <w:b w:val="1"/>
          <w:bCs w:val="1"/>
          <w:color w:val="auto"/>
        </w:rPr>
        <w:t>Licensed Program</w:t>
      </w:r>
      <w:r>
        <w:rPr>
          <w:rFonts w:ascii="Arial" w:cs="Arial" w:eastAsia="Arial" w:hAnsi="Arial"/>
          <w:sz w:val="18"/>
          <w:szCs w:val="18"/>
          <w:color w:val="auto"/>
        </w:rPr>
        <w:t>” means AMGEN’s and its Affiliates’ research and development activities prior to the Effective Date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small molecules Directed to CK1d.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880" w:top="270" w:right="55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1.77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7.1.1 (By AMGEN).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1.78 </w:t>
      </w:r>
      <w:r>
        <w:rPr>
          <w:rFonts w:ascii="Arial" w:cs="Arial" w:eastAsia="Arial" w:hAnsi="Arial"/>
          <w:sz w:val="18"/>
          <w:szCs w:val="18"/>
          <w:color w:val="auto"/>
        </w:rPr>
        <w:t>“</w:t>
      </w:r>
      <w:r>
        <w:rPr>
          <w:rFonts w:ascii="Arial" w:cs="Arial" w:eastAsia="Arial" w:hAnsi="Arial"/>
          <w:sz w:val="18"/>
          <w:szCs w:val="18"/>
          <w:b w:val="1"/>
          <w:bCs w:val="1"/>
          <w:color w:val="auto"/>
        </w:rPr>
        <w:t>Major Asian Countries</w:t>
      </w:r>
      <w:r>
        <w:rPr>
          <w:rFonts w:ascii="Arial" w:cs="Arial" w:eastAsia="Arial" w:hAnsi="Arial"/>
          <w:sz w:val="18"/>
          <w:szCs w:val="18"/>
          <w:color w:val="auto"/>
        </w:rPr>
        <w:t>” means, collectively,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1.79 </w:t>
      </w:r>
      <w:r>
        <w:rPr>
          <w:rFonts w:ascii="Arial" w:cs="Arial" w:eastAsia="Arial" w:hAnsi="Arial"/>
          <w:sz w:val="18"/>
          <w:szCs w:val="18"/>
          <w:color w:val="auto"/>
        </w:rPr>
        <w:t>“</w:t>
      </w:r>
      <w:r>
        <w:rPr>
          <w:rFonts w:ascii="Arial" w:cs="Arial" w:eastAsia="Arial" w:hAnsi="Arial"/>
          <w:sz w:val="18"/>
          <w:szCs w:val="18"/>
          <w:b w:val="1"/>
          <w:bCs w:val="1"/>
          <w:color w:val="auto"/>
        </w:rPr>
        <w:t>Major European Countries</w:t>
      </w:r>
      <w:r>
        <w:rPr>
          <w:rFonts w:ascii="Arial" w:cs="Arial" w:eastAsia="Arial" w:hAnsi="Arial"/>
          <w:sz w:val="18"/>
          <w:szCs w:val="18"/>
          <w:color w:val="auto"/>
        </w:rPr>
        <w:t>” means, collectively, the [***].</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Section 1.80 </w:t>
      </w:r>
      <w:r>
        <w:rPr>
          <w:rFonts w:ascii="Arial" w:cs="Arial" w:eastAsia="Arial" w:hAnsi="Arial"/>
          <w:sz w:val="18"/>
          <w:szCs w:val="18"/>
          <w:color w:val="auto"/>
        </w:rPr>
        <w:t>“</w:t>
      </w:r>
      <w:r>
        <w:rPr>
          <w:rFonts w:ascii="Arial" w:cs="Arial" w:eastAsia="Arial" w:hAnsi="Arial"/>
          <w:sz w:val="18"/>
          <w:szCs w:val="18"/>
          <w:b w:val="1"/>
          <w:bCs w:val="1"/>
          <w:color w:val="auto"/>
        </w:rPr>
        <w:t>Marketing Approval</w:t>
      </w:r>
      <w:r>
        <w:rPr>
          <w:rFonts w:ascii="Arial" w:cs="Arial" w:eastAsia="Arial" w:hAnsi="Arial"/>
          <w:sz w:val="18"/>
          <w:szCs w:val="18"/>
          <w:color w:val="auto"/>
        </w:rPr>
        <w:t>” means all approvals, licenses, registrations or authorizations of the Regulatory Authority in a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for the manufacture, use, storage, import, marketing and sale of the Product in such country.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1.81 </w:t>
      </w:r>
      <w:r>
        <w:rPr>
          <w:rFonts w:ascii="Arial" w:cs="Arial" w:eastAsia="Arial" w:hAnsi="Arial"/>
          <w:sz w:val="18"/>
          <w:szCs w:val="18"/>
          <w:color w:val="auto"/>
        </w:rPr>
        <w:t>“</w:t>
      </w:r>
      <w:r>
        <w:rPr>
          <w:rFonts w:ascii="Arial" w:cs="Arial" w:eastAsia="Arial" w:hAnsi="Arial"/>
          <w:sz w:val="18"/>
          <w:szCs w:val="18"/>
          <w:b w:val="1"/>
          <w:bCs w:val="1"/>
          <w:color w:val="auto"/>
        </w:rPr>
        <w:t>Material Territory Change</w:t>
      </w:r>
      <w:r>
        <w:rPr>
          <w:rFonts w:ascii="Arial" w:cs="Arial" w:eastAsia="Arial" w:hAnsi="Arial"/>
          <w:sz w:val="18"/>
          <w:szCs w:val="18"/>
          <w:color w:val="auto"/>
        </w:rPr>
        <w:t>” means, [***], that [***] has changed relative to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1.82 </w:t>
      </w:r>
      <w:r>
        <w:rPr>
          <w:rFonts w:ascii="Arial" w:cs="Arial" w:eastAsia="Arial" w:hAnsi="Arial"/>
          <w:sz w:val="18"/>
          <w:szCs w:val="18"/>
          <w:color w:val="auto"/>
        </w:rPr>
        <w:t>“</w:t>
      </w:r>
      <w:r>
        <w:rPr>
          <w:rFonts w:ascii="Arial" w:cs="Arial" w:eastAsia="Arial" w:hAnsi="Arial"/>
          <w:sz w:val="18"/>
          <w:szCs w:val="18"/>
          <w:b w:val="1"/>
          <w:bCs w:val="1"/>
          <w:color w:val="auto"/>
        </w:rPr>
        <w:t>Milestone</w:t>
      </w:r>
      <w:r>
        <w:rPr>
          <w:rFonts w:ascii="Arial" w:cs="Arial" w:eastAsia="Arial" w:hAnsi="Arial"/>
          <w:sz w:val="18"/>
          <w:szCs w:val="18"/>
          <w:color w:val="auto"/>
        </w:rPr>
        <w:t>” has the meaning set forth in Section 3.1 (Milestone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1.83 </w:t>
      </w:r>
      <w:r>
        <w:rPr>
          <w:rFonts w:ascii="Arial" w:cs="Arial" w:eastAsia="Arial" w:hAnsi="Arial"/>
          <w:sz w:val="18"/>
          <w:szCs w:val="18"/>
          <w:color w:val="auto"/>
        </w:rPr>
        <w:t>“</w:t>
      </w:r>
      <w:r>
        <w:rPr>
          <w:rFonts w:ascii="Arial" w:cs="Arial" w:eastAsia="Arial" w:hAnsi="Arial"/>
          <w:sz w:val="18"/>
          <w:szCs w:val="18"/>
          <w:b w:val="1"/>
          <w:bCs w:val="1"/>
          <w:color w:val="auto"/>
        </w:rPr>
        <w:t>Milestone Payment</w:t>
      </w:r>
      <w:r>
        <w:rPr>
          <w:rFonts w:ascii="Arial" w:cs="Arial" w:eastAsia="Arial" w:hAnsi="Arial"/>
          <w:sz w:val="18"/>
          <w:szCs w:val="18"/>
          <w:color w:val="auto"/>
        </w:rPr>
        <w:t>” has the meaning set forth in Section 3.1 (Milestone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1.84 </w:t>
      </w:r>
      <w:r>
        <w:rPr>
          <w:rFonts w:ascii="Arial" w:cs="Arial" w:eastAsia="Arial" w:hAnsi="Arial"/>
          <w:sz w:val="18"/>
          <w:szCs w:val="18"/>
          <w:color w:val="auto"/>
        </w:rPr>
        <w:t>“</w:t>
      </w:r>
      <w:r>
        <w:rPr>
          <w:rFonts w:ascii="Arial" w:cs="Arial" w:eastAsia="Arial" w:hAnsi="Arial"/>
          <w:sz w:val="18"/>
          <w:szCs w:val="18"/>
          <w:b w:val="1"/>
          <w:bCs w:val="1"/>
          <w:color w:val="auto"/>
        </w:rPr>
        <w:t>Negotiation Exclusivity Period</w:t>
      </w:r>
      <w:r>
        <w:rPr>
          <w:rFonts w:ascii="Arial" w:cs="Arial" w:eastAsia="Arial" w:hAnsi="Arial"/>
          <w:sz w:val="18"/>
          <w:szCs w:val="18"/>
          <w:color w:val="auto"/>
        </w:rPr>
        <w:t>” has the meaning set forth in Section 2.4.2 (Exclusive Right of First Negotiation).</w:t>
      </w:r>
    </w:p>
    <w:p>
      <w:pPr>
        <w:spacing w:after="0" w:line="11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Section 1.85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 certain time period, the gross invoiced sales prices charged for Products sold by or for RBNC,</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and Sublicensees (the “</w:t>
      </w:r>
      <w:r>
        <w:rPr>
          <w:rFonts w:ascii="Arial" w:cs="Arial" w:eastAsia="Arial" w:hAnsi="Arial"/>
          <w:sz w:val="18"/>
          <w:szCs w:val="18"/>
          <w:b w:val="1"/>
          <w:bCs w:val="1"/>
          <w:color w:val="auto"/>
        </w:rPr>
        <w:t>Selling Party</w:t>
      </w:r>
      <w:r>
        <w:rPr>
          <w:rFonts w:ascii="Arial" w:cs="Arial" w:eastAsia="Arial" w:hAnsi="Arial"/>
          <w:sz w:val="18"/>
          <w:szCs w:val="18"/>
          <w:color w:val="auto"/>
        </w:rPr>
        <w:t>”) in arm’s length transactions to Third Parties during such time period, less the total of the following charges or expenses as determined in accordance with Accounting Standards:</w:t>
      </w:r>
    </w:p>
    <w:p>
      <w:pPr>
        <w:spacing w:after="0" w:line="72" w:lineRule="exact"/>
        <w:rPr>
          <w:sz w:val="20"/>
          <w:szCs w:val="20"/>
          <w:color w:val="auto"/>
        </w:rPr>
      </w:pPr>
    </w:p>
    <w:p>
      <w:pPr>
        <w:ind w:left="540" w:right="60" w:firstLine="7"/>
        <w:spacing w:after="0" w:line="277" w:lineRule="auto"/>
        <w:tabs>
          <w:tab w:leader="none" w:pos="78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Trade, cash, prompt payment and/or quantity discounts, including promotional, service or similar discounts (but, for clarity, excluding any sales or marketing expenses);</w:t>
      </w:r>
    </w:p>
    <w:p>
      <w:pPr>
        <w:spacing w:after="0" w:line="62" w:lineRule="exact"/>
        <w:rPr>
          <w:rFonts w:ascii="Arial" w:cs="Arial" w:eastAsia="Arial" w:hAnsi="Arial"/>
          <w:sz w:val="18"/>
          <w:szCs w:val="18"/>
          <w:color w:val="auto"/>
        </w:rPr>
      </w:pPr>
    </w:p>
    <w:p>
      <w:pPr>
        <w:ind w:left="540" w:right="100" w:firstLine="7"/>
        <w:spacing w:after="0" w:line="259" w:lineRule="auto"/>
        <w:tabs>
          <w:tab w:leader="none" w:pos="79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Returns, allowances, rebates (whether to the purchaser or direct to patients), chargebacks, or other allowances or payments granted to managed health care organizations, pharmacy benefit managers (or equivalents thereof), federal, state, provincial, local and other government agencies or authorities, their purchasers and reimbursers, or to trade customers (but, for clarity, excluding any sales or marketing expenses);</w:t>
      </w:r>
    </w:p>
    <w:p>
      <w:pPr>
        <w:spacing w:after="0" w:line="78" w:lineRule="exact"/>
        <w:rPr>
          <w:rFonts w:ascii="Arial" w:cs="Arial" w:eastAsia="Arial" w:hAnsi="Arial"/>
          <w:sz w:val="18"/>
          <w:szCs w:val="18"/>
          <w:color w:val="auto"/>
        </w:rPr>
      </w:pPr>
    </w:p>
    <w:p>
      <w:pPr>
        <w:ind w:left="800" w:hanging="253"/>
        <w:spacing w:after="0"/>
        <w:tabs>
          <w:tab w:leader="none" w:pos="8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Retroactive price reductions applicable to sales of such Product;</w:t>
      </w:r>
    </w:p>
    <w:p>
      <w:pPr>
        <w:spacing w:after="0" w:line="117" w:lineRule="exact"/>
        <w:rPr>
          <w:rFonts w:ascii="Arial" w:cs="Arial" w:eastAsia="Arial" w:hAnsi="Arial"/>
          <w:sz w:val="18"/>
          <w:szCs w:val="18"/>
          <w:color w:val="auto"/>
        </w:rPr>
      </w:pPr>
    </w:p>
    <w:p>
      <w:pPr>
        <w:ind w:left="540" w:firstLine="7"/>
        <w:spacing w:after="0" w:line="277" w:lineRule="auto"/>
        <w:tabs>
          <w:tab w:leader="none" w:pos="79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Reasonable fees paid to wholesalers, distributors, selling agents (excluding any sales representatives of a Party or any of its Affiliates), group purchasing organizations and managed care entities;</w:t>
      </w:r>
    </w:p>
    <w:p>
      <w:pPr>
        <w:spacing w:after="0" w:line="62" w:lineRule="exact"/>
        <w:rPr>
          <w:rFonts w:ascii="Arial" w:cs="Arial" w:eastAsia="Arial" w:hAnsi="Arial"/>
          <w:sz w:val="18"/>
          <w:szCs w:val="18"/>
          <w:color w:val="auto"/>
        </w:rPr>
      </w:pPr>
    </w:p>
    <w:p>
      <w:pPr>
        <w:ind w:left="800" w:hanging="253"/>
        <w:spacing w:after="0"/>
        <w:tabs>
          <w:tab w:leader="none" w:pos="8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Credits or allowances for product replacement, whether cash or trade;</w:t>
      </w:r>
    </w:p>
    <w:p>
      <w:pPr>
        <w:spacing w:after="0" w:line="117" w:lineRule="exact"/>
        <w:rPr>
          <w:rFonts w:ascii="Arial" w:cs="Arial" w:eastAsia="Arial" w:hAnsi="Arial"/>
          <w:sz w:val="18"/>
          <w:szCs w:val="18"/>
          <w:color w:val="auto"/>
        </w:rPr>
      </w:pPr>
    </w:p>
    <w:p>
      <w:pPr>
        <w:ind w:left="540" w:right="240" w:firstLine="7"/>
        <w:spacing w:after="0" w:line="342" w:lineRule="auto"/>
        <w:tabs>
          <w:tab w:leader="none" w:pos="76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Freight or other transportation charges, insurance charges, additional special packaging, non-recoverable taxes and tariffs, and other governmental charges, provided that the total of all of these items in this subsection (f) do not exceed [***]% of gross sales;</w:t>
      </w:r>
    </w:p>
    <w:p>
      <w:pPr>
        <w:spacing w:after="0" w:line="15" w:lineRule="exact"/>
        <w:rPr>
          <w:rFonts w:ascii="Arial" w:cs="Arial" w:eastAsia="Arial" w:hAnsi="Arial"/>
          <w:sz w:val="16"/>
          <w:szCs w:val="16"/>
          <w:color w:val="auto"/>
        </w:rPr>
      </w:pPr>
    </w:p>
    <w:p>
      <w:pPr>
        <w:ind w:left="800" w:hanging="253"/>
        <w:spacing w:after="0"/>
        <w:tabs>
          <w:tab w:leader="none" w:pos="8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and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00"/>
          </w:cols>
          <w:pgMar w:left="880" w:top="270" w:right="519" w:bottom="1440" w:gutter="0" w:footer="0" w:header="0"/>
        </w:sectPr>
      </w:pPr>
    </w:p>
    <w:bookmarkStart w:id="361" w:name="page362"/>
    <w:bookmarkEnd w:id="361"/>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w:t>
      </w:r>
    </w:p>
    <w:p>
      <w:pPr>
        <w:spacing w:after="0" w:line="117" w:lineRule="exact"/>
        <w:rPr>
          <w:sz w:val="20"/>
          <w:szCs w:val="20"/>
          <w:color w:val="auto"/>
        </w:rPr>
      </w:pPr>
    </w:p>
    <w:p>
      <w:pPr>
        <w:ind w:left="540"/>
        <w:spacing w:after="0" w:line="257" w:lineRule="auto"/>
        <w:rPr>
          <w:sz w:val="20"/>
          <w:szCs w:val="20"/>
          <w:color w:val="auto"/>
        </w:rPr>
      </w:pPr>
      <w:r>
        <w:rPr>
          <w:rFonts w:ascii="Arial" w:cs="Arial" w:eastAsia="Arial" w:hAnsi="Arial"/>
          <w:sz w:val="18"/>
          <w:szCs w:val="18"/>
          <w:color w:val="auto"/>
        </w:rPr>
        <w:t>Upon any sale or other disposal of any Product that should be included within Net Sales for any consideration other than an exclusively monetary consideration on bona fide arm’s length terms, then for purposes of calculating the Net Sales under this Agreement, such Product shall be deemed to be sold exclusively for money at the average applicable sales price during the applicable reporting period generally achieved for such Product in the country in which such sale or other disposal occurred when such Product is sold alone and not with other products.</w:t>
      </w:r>
    </w:p>
    <w:p>
      <w:pPr>
        <w:spacing w:after="0" w:line="80"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Sales of any Product between or among RBNC and its Affiliates or Sublicensees shall be excluded from the computation of Net Sales and no payments shall be payable on such sales except where such Affiliates or Sublicensees are end users. The following sales or other dispositions of Products shall not be included in the definition of Net Sales: (a) [***]; (b) [***], and (c) [***]. Any amounts excluded pursuant to this paragraph shall not be subject to the immediately preceding paragraph.</w:t>
      </w:r>
    </w:p>
    <w:p>
      <w:pPr>
        <w:spacing w:after="0" w:line="79" w:lineRule="exact"/>
        <w:rPr>
          <w:sz w:val="20"/>
          <w:szCs w:val="20"/>
          <w:color w:val="auto"/>
        </w:rPr>
      </w:pPr>
    </w:p>
    <w:p>
      <w:pPr>
        <w:ind w:left="540" w:right="40"/>
        <w:spacing w:after="0" w:line="268" w:lineRule="auto"/>
        <w:rPr>
          <w:sz w:val="20"/>
          <w:szCs w:val="20"/>
          <w:color w:val="auto"/>
        </w:rPr>
      </w:pPr>
      <w:r>
        <w:rPr>
          <w:rFonts w:ascii="Arial" w:cs="Arial" w:eastAsia="Arial" w:hAnsi="Arial"/>
          <w:sz w:val="17"/>
          <w:szCs w:val="17"/>
          <w:color w:val="auto"/>
        </w:rPr>
        <w:t>Where a Product is sold together with one or more pharmaceutically active ingredients that are not Licensed Compounds or Program Compounds (“</w:t>
      </w:r>
      <w:r>
        <w:rPr>
          <w:rFonts w:ascii="Arial" w:cs="Arial" w:eastAsia="Arial" w:hAnsi="Arial"/>
          <w:sz w:val="17"/>
          <w:szCs w:val="17"/>
          <w:b w:val="1"/>
          <w:bCs w:val="1"/>
          <w:color w:val="auto"/>
        </w:rPr>
        <w:t>Other Actives</w:t>
      </w:r>
      <w:r>
        <w:rPr>
          <w:rFonts w:ascii="Arial" w:cs="Arial" w:eastAsia="Arial" w:hAnsi="Arial"/>
          <w:sz w:val="17"/>
          <w:szCs w:val="17"/>
          <w:color w:val="auto"/>
        </w:rPr>
        <w:t>”) for a single price (including any combination product including the Product) (a “</w:t>
      </w:r>
      <w:r>
        <w:rPr>
          <w:rFonts w:ascii="Arial" w:cs="Arial" w:eastAsia="Arial" w:hAnsi="Arial"/>
          <w:sz w:val="17"/>
          <w:szCs w:val="17"/>
          <w:b w:val="1"/>
          <w:bCs w:val="1"/>
          <w:color w:val="auto"/>
        </w:rPr>
        <w:t>Bundle</w:t>
      </w:r>
      <w:r>
        <w:rPr>
          <w:rFonts w:ascii="Arial" w:cs="Arial" w:eastAsia="Arial" w:hAnsi="Arial"/>
          <w:sz w:val="17"/>
          <w:szCs w:val="17"/>
          <w:color w:val="auto"/>
        </w:rPr>
        <w:t>”), then for the purposes of calculating the Net Sales under this Agreement, such Product included in the Bundle shall be deemed to be sold for an amount equal to (X/(X+Y)) * Z, where: X is the average sales price during the applicable reporting period for such Product being sold alone without an Other Active (in the same dosage form) (or, should more than one Product be included in a Bundle with a product that contains only the Other Active, the sum of such average sales prices for the included Products) in the particular country of sale; Y is the sum of the average sales price during the applicable reporting period in the particular country of sale, when sold alone, of products containing only the Other Active(s) included in the Bundle (in the same dosage form); and Z equals the Net Sales of such Bundle. If any Other Active included in the Bundle is not sold alone, Net Sales shall be calculated by multiplying Net Sales of such Bundle by X/W where: X is as defined above; and W is the average sales price during the applicable reporting period for such Bundle. If neither (1) the Product containing only a Licensed Compound or Program Compound nor (2) products containing only Other Actives in the Bundle are sold separately (in the same dosage form), the Parties will discuss in good faith to determine an equitable fair market price to apply to calculate the Net Sales of such Product and the Other Active(s) in the Bundle.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1.86 </w:t>
      </w:r>
      <w:r>
        <w:rPr>
          <w:rFonts w:ascii="Arial" w:cs="Arial" w:eastAsia="Arial" w:hAnsi="Arial"/>
          <w:sz w:val="18"/>
          <w:szCs w:val="18"/>
          <w:color w:val="auto"/>
        </w:rPr>
        <w:t>“</w:t>
      </w:r>
      <w:r>
        <w:rPr>
          <w:rFonts w:ascii="Arial" w:cs="Arial" w:eastAsia="Arial" w:hAnsi="Arial"/>
          <w:sz w:val="18"/>
          <w:szCs w:val="18"/>
          <w:b w:val="1"/>
          <w:bCs w:val="1"/>
          <w:color w:val="auto"/>
        </w:rPr>
        <w:t>Newly Added Product</w:t>
      </w:r>
      <w:r>
        <w:rPr>
          <w:rFonts w:ascii="Arial" w:cs="Arial" w:eastAsia="Arial" w:hAnsi="Arial"/>
          <w:sz w:val="18"/>
          <w:szCs w:val="18"/>
          <w:color w:val="auto"/>
        </w:rPr>
        <w:t>” has the meaning set forth in Section 5.4.2(c).</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7"/>
          <w:szCs w:val="17"/>
          <w:b w:val="1"/>
          <w:bCs w:val="1"/>
          <w:color w:val="auto"/>
        </w:rPr>
        <w:t xml:space="preserve">Section 1.87 </w:t>
      </w:r>
      <w:r>
        <w:rPr>
          <w:rFonts w:ascii="Arial" w:cs="Arial" w:eastAsia="Arial" w:hAnsi="Arial"/>
          <w:sz w:val="17"/>
          <w:szCs w:val="17"/>
          <w:color w:val="auto"/>
        </w:rPr>
        <w:t>“</w:t>
      </w:r>
      <w:r>
        <w:rPr>
          <w:rFonts w:ascii="Arial" w:cs="Arial" w:eastAsia="Arial" w:hAnsi="Arial"/>
          <w:sz w:val="17"/>
          <w:szCs w:val="17"/>
          <w:b w:val="1"/>
          <w:bCs w:val="1"/>
          <w:color w:val="auto"/>
        </w:rPr>
        <w:t>Non-CNS Diseases</w:t>
      </w:r>
      <w:r>
        <w:rPr>
          <w:rFonts w:ascii="Arial" w:cs="Arial" w:eastAsia="Arial" w:hAnsi="Arial"/>
          <w:sz w:val="17"/>
          <w:szCs w:val="17"/>
          <w:color w:val="auto"/>
        </w:rPr>
        <w:t>” means all diseases, the effects of which manifest primarily outside the CNS, regardless of whether the source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diseases is in the central nervous system, including, without limitation, [***] that do not manifest primarily in the CNS.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1.88 </w:t>
      </w:r>
      <w:r>
        <w:rPr>
          <w:rFonts w:ascii="Arial" w:cs="Arial" w:eastAsia="Arial" w:hAnsi="Arial"/>
          <w:sz w:val="18"/>
          <w:szCs w:val="18"/>
          <w:color w:val="auto"/>
        </w:rPr>
        <w:t>“</w:t>
      </w:r>
      <w:r>
        <w:rPr>
          <w:rFonts w:ascii="Arial" w:cs="Arial" w:eastAsia="Arial" w:hAnsi="Arial"/>
          <w:sz w:val="18"/>
          <w:szCs w:val="18"/>
          <w:b w:val="1"/>
          <w:bCs w:val="1"/>
          <w:color w:val="auto"/>
        </w:rPr>
        <w:t>Notice Period</w:t>
      </w:r>
      <w:r>
        <w:rPr>
          <w:rFonts w:ascii="Arial" w:cs="Arial" w:eastAsia="Arial" w:hAnsi="Arial"/>
          <w:sz w:val="18"/>
          <w:szCs w:val="18"/>
          <w:color w:val="auto"/>
        </w:rPr>
        <w:t>” has the meaning set forth in Section 2.4.2 (Exclusive Right of First Negotiation).</w:t>
      </w:r>
    </w:p>
    <w:p>
      <w:pPr>
        <w:spacing w:after="0" w:line="1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362" w:name="page363"/>
    <w:bookmarkEnd w:id="362"/>
    <w:p>
      <w:pPr>
        <w:ind w:right="20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1.89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any provisional and non-provisional patents and patent applications, together with all additions, divisions,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continuations, continuations-in-part, substitutions, and reissues claiming priority to any of the foregoing applications, and all patents issuing on any of the foregoing patent applications, as well as any re-examinations, extensions, confirmations, registrations, revalidations, revisions, patent term extensions, supplemental protection certificates, renewals and the like with respect to any of the foregoing and all foreign counterparts thereof.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1.90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Section 1.91 </w:t>
      </w:r>
      <w:r>
        <w:rPr>
          <w:rFonts w:ascii="Arial" w:cs="Arial" w:eastAsia="Arial" w:hAnsi="Arial"/>
          <w:sz w:val="18"/>
          <w:szCs w:val="18"/>
          <w:color w:val="auto"/>
        </w:rPr>
        <w:t>“</w:t>
      </w:r>
      <w:r>
        <w:rPr>
          <w:rFonts w:ascii="Arial" w:cs="Arial" w:eastAsia="Arial" w:hAnsi="Arial"/>
          <w:sz w:val="18"/>
          <w:szCs w:val="18"/>
          <w:b w:val="1"/>
          <w:bCs w:val="1"/>
          <w:color w:val="auto"/>
        </w:rPr>
        <w:t>Payer</w:t>
      </w:r>
      <w:r>
        <w:rPr>
          <w:rFonts w:ascii="Arial" w:cs="Arial" w:eastAsia="Arial" w:hAnsi="Arial"/>
          <w:sz w:val="18"/>
          <w:szCs w:val="18"/>
          <w:color w:val="auto"/>
        </w:rPr>
        <w:t>” means an organization, whether private or governmental (e.g., Centers for Medicare and Medicaid Services, Veterans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that provides medical and/or pharmacy plans for covering and reimbursing patients and/or Healthcare Professionals from medical expenses incurred, including without limitation, managed care organizations, pharmacy benefit managers, health maintenance organizations, other healthcare coverage providers, and any similar such organization.</w:t>
      </w:r>
    </w:p>
    <w:p>
      <w:pPr>
        <w:spacing w:after="0" w:line="72"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Section 1.92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corporation, limited or general partnership, limited liability company, joint venture, trust, unincorporated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governmental body, authority, bureau or agency, any other entity or body, or an individual.</w:t>
      </w:r>
    </w:p>
    <w:p>
      <w:pPr>
        <w:spacing w:after="0" w:line="5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Section 1.93 </w:t>
      </w:r>
      <w:r>
        <w:rPr>
          <w:rFonts w:ascii="Arial" w:cs="Arial" w:eastAsia="Arial" w:hAnsi="Arial"/>
          <w:sz w:val="18"/>
          <w:szCs w:val="18"/>
          <w:color w:val="auto"/>
        </w:rPr>
        <w:t>“</w:t>
      </w:r>
      <w:r>
        <w:rPr>
          <w:rFonts w:ascii="Arial" w:cs="Arial" w:eastAsia="Arial" w:hAnsi="Arial"/>
          <w:sz w:val="18"/>
          <w:szCs w:val="18"/>
          <w:b w:val="1"/>
          <w:bCs w:val="1"/>
          <w:color w:val="auto"/>
        </w:rPr>
        <w:t>Phase II Clinical Trial</w:t>
      </w:r>
      <w:r>
        <w:rPr>
          <w:rFonts w:ascii="Arial" w:cs="Arial" w:eastAsia="Arial" w:hAnsi="Arial"/>
          <w:sz w:val="18"/>
          <w:szCs w:val="18"/>
          <w:color w:val="auto"/>
        </w:rPr>
        <w:t>” means a preliminary efficacy and safety or dose ranging human clinical study of a pharmaceutical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target patient population, as described under 21 C.F.R. §312.21(b) with respect to the United States, or, with respect to a jurisdiction other than the United States, a similar clinical study.</w:t>
      </w:r>
    </w:p>
    <w:p>
      <w:pPr>
        <w:spacing w:after="0" w:line="6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Section 1.94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any (a) pharmaceutical or biopharmaceutical product containing a Licensed Compound or Program Compound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form or formulation or (b) any Distracting Product (including, for clarity, a De Novo Product ) that RBNC has elected to treat as a Newly Added Product pursuant to Section 5.4.2(c) on and after the date of such election.</w:t>
      </w:r>
    </w:p>
    <w:p>
      <w:pPr>
        <w:spacing w:after="0" w:line="6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 xml:space="preserve">Section 1.95 </w:t>
      </w:r>
      <w:r>
        <w:rPr>
          <w:rFonts w:ascii="Arial" w:cs="Arial" w:eastAsia="Arial" w:hAnsi="Arial"/>
          <w:sz w:val="17"/>
          <w:szCs w:val="17"/>
          <w:color w:val="auto"/>
        </w:rPr>
        <w:t>“</w:t>
      </w:r>
      <w:r>
        <w:rPr>
          <w:rFonts w:ascii="Arial" w:cs="Arial" w:eastAsia="Arial" w:hAnsi="Arial"/>
          <w:sz w:val="17"/>
          <w:szCs w:val="17"/>
          <w:b w:val="1"/>
          <w:bCs w:val="1"/>
          <w:color w:val="auto"/>
        </w:rPr>
        <w:t>Program Compound</w:t>
      </w:r>
      <w:r>
        <w:rPr>
          <w:rFonts w:ascii="Arial" w:cs="Arial" w:eastAsia="Arial" w:hAnsi="Arial"/>
          <w:sz w:val="17"/>
          <w:szCs w:val="17"/>
          <w:color w:val="auto"/>
        </w:rPr>
        <w:t>” means (1) any compounds that are discovered or Exploited by or on behalf of RBNC, its Affiliates or</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Sublicensees that are Directed to CK1d and the discovery or Exploitation of which incorporates, uses or is Covered by any: (a) Licensed Know-How, (b) Licensed Patents, (c) Licensed Compound, or (d) Licensed Materials or (2) any compound or active ingredient Directed to CK1d included in any Newly Added Product (for clarity, including the RBNC Compounds) and any derivatives thereof developed by or on behalf of RBNC or its Affiliates or Sublicensees and that are Directed to CK1d. Notwithstanding anything to the contrary set forth herein, any improved or modified version or other variant or derivative of a Licensed Compound that is developed by or on behalf of RBNC (or any Sublicensee) and that is Directed to CK1d shall constitute a “Program Compound” for purposes of this Agreement.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1.96 </w:t>
      </w:r>
      <w:r>
        <w:rPr>
          <w:rFonts w:ascii="Arial" w:cs="Arial" w:eastAsia="Arial" w:hAnsi="Arial"/>
          <w:sz w:val="18"/>
          <w:szCs w:val="18"/>
          <w:color w:val="auto"/>
        </w:rPr>
        <w:t>“</w:t>
      </w:r>
      <w:r>
        <w:rPr>
          <w:rFonts w:ascii="Arial" w:cs="Arial" w:eastAsia="Arial" w:hAnsi="Arial"/>
          <w:sz w:val="18"/>
          <w:szCs w:val="18"/>
          <w:b w:val="1"/>
          <w:bCs w:val="1"/>
          <w:color w:val="auto"/>
        </w:rPr>
        <w:t>Program Compound Inventions</w:t>
      </w:r>
      <w:r>
        <w:rPr>
          <w:rFonts w:ascii="Arial" w:cs="Arial" w:eastAsia="Arial" w:hAnsi="Arial"/>
          <w:sz w:val="18"/>
          <w:szCs w:val="18"/>
          <w:color w:val="auto"/>
        </w:rPr>
        <w:t>” has the meaning set forth in Section 4.1.2 (Intellectual Property Ownership).</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Section 1.97 </w:t>
      </w:r>
      <w:r>
        <w:rPr>
          <w:rFonts w:ascii="Arial" w:cs="Arial" w:eastAsia="Arial" w:hAnsi="Arial"/>
          <w:sz w:val="18"/>
          <w:szCs w:val="18"/>
          <w:color w:val="auto"/>
        </w:rPr>
        <w:t>“</w:t>
      </w:r>
      <w:r>
        <w:rPr>
          <w:rFonts w:ascii="Arial" w:cs="Arial" w:eastAsia="Arial" w:hAnsi="Arial"/>
          <w:sz w:val="18"/>
          <w:szCs w:val="18"/>
          <w:b w:val="1"/>
          <w:bCs w:val="1"/>
          <w:color w:val="auto"/>
        </w:rPr>
        <w:t>Program Patent</w:t>
      </w:r>
      <w:r>
        <w:rPr>
          <w:rFonts w:ascii="Arial" w:cs="Arial" w:eastAsia="Arial" w:hAnsi="Arial"/>
          <w:sz w:val="18"/>
          <w:szCs w:val="18"/>
          <w:color w:val="auto"/>
        </w:rPr>
        <w:t>” means Patent Rights Controlled by RBNC or its Affiliates or Sublicensees after the Effective Date that Cover</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0" w:right="459" w:bottom="1440" w:gutter="0" w:footer="0" w:header="0"/>
        </w:sectPr>
      </w:pPr>
    </w:p>
    <w:bookmarkStart w:id="363" w:name="page364"/>
    <w:bookmarkEnd w:id="363"/>
    <w:p>
      <w:pPr>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1.98 </w:t>
      </w:r>
      <w:r>
        <w:rPr>
          <w:rFonts w:ascii="Arial" w:cs="Arial" w:eastAsia="Arial" w:hAnsi="Arial"/>
          <w:sz w:val="16"/>
          <w:szCs w:val="16"/>
          <w:color w:val="auto"/>
        </w:rPr>
        <w:t>“</w:t>
      </w:r>
      <w:r>
        <w:rPr>
          <w:rFonts w:ascii="Arial" w:cs="Arial" w:eastAsia="Arial" w:hAnsi="Arial"/>
          <w:sz w:val="16"/>
          <w:szCs w:val="16"/>
          <w:b w:val="1"/>
          <w:bCs w:val="1"/>
          <w:color w:val="auto"/>
        </w:rPr>
        <w:t>Proper Conduct Practices</w:t>
      </w:r>
      <w:r>
        <w:rPr>
          <w:rFonts w:ascii="Arial" w:cs="Arial" w:eastAsia="Arial" w:hAnsi="Arial"/>
          <w:sz w:val="16"/>
          <w:szCs w:val="16"/>
          <w:color w:val="auto"/>
        </w:rPr>
        <w:t>” means, in relation to any Person, such Person and each of its Representatives, not,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(a) making, offering, authorizing, providing or paying anything of value in any form, whether in money, property, services or otherwise to any Governmental Authority, Government Official, or other Person charged with similar public or quasi-public duties, or to any customer, supplier, or any other Person, or to any employee thereof, or failing to disclose fully any such payments in violation of the laws of any relevant jurisdiction to (i) obtain favorable treatment in obtaining or retaining business for it or any of its Affiliates, (ii) pay for favorable treatment for business secured, (iii) obtain special concessions or for special concessions already obtained, for or in respect of it or any of its Affiliates, in each case which would have been in violation of any Law, (iv) influence an act or decision of the recipient (including a decision not to act) in connection with the Person’s or its Affiliate’s business, (v) induce the recipient to use his or her influence to affect any government act or decision in connection with the Person’s or its Affiliate’s business, or (vi) induce the recipient to violate his or her duty of loyalty to his or her organization, or as a reward for having done so; (b) engaging in any transactions, establishing or maintaining any fund or assets in which it or any of its Affiliates shall have proprietary rights that have not been recorded in the books and records of it or any of its Affiliates; (c) making any unlawful payment to any agent, employee, officer or director of any Person with which it or any of its Affiliates does business for the purpose of influencing such agent, employee, officer or director to do business with it or any of its Affiliates; (d) violating any provision of applicable Anti-Corruption Laws; (e) making any payment in the nature of bribery, fraud, or any other unlawful payment under the Law of any jurisdiction where it or any of its Affiliates conducts business or is registered; or (f) if such Person or any of its Representatives is a Government Official, improperly using his or her position as a Government Official to influence the award of business or regulatory approvals to or for the benefit of such Person, its Representatives or any of their business operations, or failing to recuse himself or herself from any participation as a Government Official in decisions relating to such Person, its Representatives or any of their business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1.99 </w:t>
      </w:r>
      <w:r>
        <w:rPr>
          <w:rFonts w:ascii="Arial" w:cs="Arial" w:eastAsia="Arial" w:hAnsi="Arial"/>
          <w:sz w:val="18"/>
          <w:szCs w:val="18"/>
          <w:color w:val="auto"/>
        </w:rPr>
        <w:t>“</w:t>
      </w:r>
      <w:r>
        <w:rPr>
          <w:rFonts w:ascii="Arial" w:cs="Arial" w:eastAsia="Arial" w:hAnsi="Arial"/>
          <w:sz w:val="18"/>
          <w:szCs w:val="18"/>
          <w:b w:val="1"/>
          <w:bCs w:val="1"/>
          <w:color w:val="auto"/>
        </w:rPr>
        <w:t>Proposed ROFN Transaction</w:t>
      </w:r>
      <w:r>
        <w:rPr>
          <w:rFonts w:ascii="Arial" w:cs="Arial" w:eastAsia="Arial" w:hAnsi="Arial"/>
          <w:sz w:val="18"/>
          <w:szCs w:val="18"/>
          <w:color w:val="auto"/>
        </w:rPr>
        <w:t>” has the meaning set forth in Section 2.4.1 (Exclusive Right of First Negotiation).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1.100 “Purchase Agreement” </w:t>
      </w:r>
      <w:r>
        <w:rPr>
          <w:rFonts w:ascii="Arial" w:cs="Arial" w:eastAsia="Arial" w:hAnsi="Arial"/>
          <w:sz w:val="18"/>
          <w:szCs w:val="18"/>
          <w:color w:val="auto"/>
        </w:rPr>
        <w:t>shall have the meaning set forth in the recitals hereto.</w:t>
      </w:r>
    </w:p>
    <w:p>
      <w:pPr>
        <w:spacing w:after="0" w:line="11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 xml:space="preserve">Section 1.101 </w:t>
      </w: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means an individual or entity, including without limitation wholesalers, pharmacies, and group purchasing</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organizations, that purchase an Amgen Therapeutic Product to sell to members of the healthcare community or that are authorized to act as a purchasing agent for a group of individuals or entities who furnish healthcare services.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1.102 </w:t>
      </w:r>
      <w:r>
        <w:rPr>
          <w:rFonts w:ascii="Arial" w:cs="Arial" w:eastAsia="Arial" w:hAnsi="Arial"/>
          <w:sz w:val="18"/>
          <w:szCs w:val="18"/>
          <w:color w:val="auto"/>
        </w:rPr>
        <w:t>“</w:t>
      </w:r>
      <w:r>
        <w:rPr>
          <w:rFonts w:ascii="Arial" w:cs="Arial" w:eastAsia="Arial" w:hAnsi="Arial"/>
          <w:sz w:val="18"/>
          <w:szCs w:val="18"/>
          <w:b w:val="1"/>
          <w:bCs w:val="1"/>
          <w:color w:val="auto"/>
        </w:rPr>
        <w:t>RBNC</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Section 1.103 </w:t>
      </w:r>
      <w:r>
        <w:rPr>
          <w:rFonts w:ascii="Arial" w:cs="Arial" w:eastAsia="Arial" w:hAnsi="Arial"/>
          <w:sz w:val="18"/>
          <w:szCs w:val="18"/>
          <w:color w:val="auto"/>
        </w:rPr>
        <w:t>“</w:t>
      </w:r>
      <w:r>
        <w:rPr>
          <w:rFonts w:ascii="Arial" w:cs="Arial" w:eastAsia="Arial" w:hAnsi="Arial"/>
          <w:sz w:val="18"/>
          <w:szCs w:val="18"/>
          <w:b w:val="1"/>
          <w:bCs w:val="1"/>
          <w:color w:val="auto"/>
        </w:rPr>
        <w:t>RBNC Compound</w:t>
      </w:r>
      <w:r>
        <w:rPr>
          <w:rFonts w:ascii="Arial" w:cs="Arial" w:eastAsia="Arial" w:hAnsi="Arial"/>
          <w:sz w:val="18"/>
          <w:szCs w:val="18"/>
          <w:color w:val="auto"/>
        </w:rPr>
        <w:t>” means any compound that is Directed to CK1d that (i) is Covered by intellectual property rights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by RBNC or its Affiliates and (ii) was discovered, researched or developed by or on behalf of RBNC and its Affiliates prior to the Effective Date, as listed on Exhibit C.</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1.104 </w:t>
      </w:r>
      <w:r>
        <w:rPr>
          <w:rFonts w:ascii="Arial" w:cs="Arial" w:eastAsia="Arial" w:hAnsi="Arial"/>
          <w:sz w:val="18"/>
          <w:szCs w:val="18"/>
          <w:color w:val="auto"/>
        </w:rPr>
        <w:t>“</w:t>
      </w:r>
      <w:r>
        <w:rPr>
          <w:rFonts w:ascii="Arial" w:cs="Arial" w:eastAsia="Arial" w:hAnsi="Arial"/>
          <w:sz w:val="18"/>
          <w:szCs w:val="18"/>
          <w:b w:val="1"/>
          <w:bCs w:val="1"/>
          <w:color w:val="auto"/>
        </w:rPr>
        <w:t>RBNC Indemnified Parties</w:t>
      </w:r>
      <w:r>
        <w:rPr>
          <w:rFonts w:ascii="Arial" w:cs="Arial" w:eastAsia="Arial" w:hAnsi="Arial"/>
          <w:sz w:val="18"/>
          <w:szCs w:val="18"/>
          <w:color w:val="auto"/>
        </w:rPr>
        <w:t>” has the meaning set forth in Section 7.1.1 (By AMGEN).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1.105 </w:t>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8.1.1 (Confidential Information).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0" w:right="459" w:bottom="1440" w:gutter="0" w:footer="0" w:header="0"/>
        </w:sectPr>
      </w:pPr>
    </w:p>
    <w:bookmarkStart w:id="364" w:name="page365"/>
    <w:bookmarkEnd w:id="364"/>
    <w:p>
      <w:pPr>
        <w:ind w:right="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1.106 </w:t>
      </w:r>
      <w:r>
        <w:rPr>
          <w:rFonts w:ascii="Arial" w:cs="Arial" w:eastAsia="Arial" w:hAnsi="Arial"/>
          <w:sz w:val="17"/>
          <w:szCs w:val="17"/>
          <w:color w:val="auto"/>
        </w:rPr>
        <w:t>“</w:t>
      </w:r>
      <w:r>
        <w:rPr>
          <w:rFonts w:ascii="Arial" w:cs="Arial" w:eastAsia="Arial" w:hAnsi="Arial"/>
          <w:sz w:val="17"/>
          <w:szCs w:val="17"/>
          <w:b w:val="1"/>
          <w:bCs w:val="1"/>
          <w:color w:val="auto"/>
        </w:rPr>
        <w:t>Regulatory Authority</w:t>
      </w:r>
      <w:r>
        <w:rPr>
          <w:rFonts w:ascii="Arial" w:cs="Arial" w:eastAsia="Arial" w:hAnsi="Arial"/>
          <w:sz w:val="17"/>
          <w:szCs w:val="17"/>
          <w:color w:val="auto"/>
        </w:rPr>
        <w:t>” means any Governmental Authority or other authority responsible for granting Marketing Approvals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Product, including the FDA, European Commission/EMA and any corresponding national or regional regulatory authorities.</w:t>
      </w:r>
    </w:p>
    <w:p>
      <w:pPr>
        <w:spacing w:after="0" w:line="3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Section 1.107 </w:t>
      </w:r>
      <w:r>
        <w:rPr>
          <w:rFonts w:ascii="Arial" w:cs="Arial" w:eastAsia="Arial" w:hAnsi="Arial"/>
          <w:sz w:val="18"/>
          <w:szCs w:val="18"/>
          <w:color w:val="auto"/>
        </w:rPr>
        <w:t>“</w:t>
      </w:r>
      <w:r>
        <w:rPr>
          <w:rFonts w:ascii="Arial" w:cs="Arial" w:eastAsia="Arial" w:hAnsi="Arial"/>
          <w:sz w:val="18"/>
          <w:szCs w:val="18"/>
          <w:b w:val="1"/>
          <w:bCs w:val="1"/>
          <w:color w:val="auto"/>
        </w:rPr>
        <w:t>Regulatory Exclusivity</w:t>
      </w:r>
      <w:r>
        <w:rPr>
          <w:rFonts w:ascii="Arial" w:cs="Arial" w:eastAsia="Arial" w:hAnsi="Arial"/>
          <w:sz w:val="18"/>
          <w:szCs w:val="18"/>
          <w:color w:val="auto"/>
        </w:rPr>
        <w:t>” means, with respect to the Product, any exclusive marketing rights or data exclusivity rights conferred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applicable Regulatory Authority with respect to the Product other than a Patent Right.</w:t>
      </w:r>
    </w:p>
    <w:p>
      <w:pPr>
        <w:spacing w:after="0" w:line="5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Section 1.108 </w:t>
      </w:r>
      <w:r>
        <w:rPr>
          <w:rFonts w:ascii="Arial" w:cs="Arial" w:eastAsia="Arial" w:hAnsi="Arial"/>
          <w:sz w:val="18"/>
          <w:szCs w:val="18"/>
          <w:color w:val="auto"/>
        </w:rPr>
        <w:t>“</w:t>
      </w:r>
      <w:r>
        <w:rPr>
          <w:rFonts w:ascii="Arial" w:cs="Arial" w:eastAsia="Arial" w:hAnsi="Arial"/>
          <w:sz w:val="18"/>
          <w:szCs w:val="18"/>
          <w:b w:val="1"/>
          <w:bCs w:val="1"/>
          <w:color w:val="auto"/>
        </w:rPr>
        <w:t>Regulatory Filing</w:t>
      </w:r>
      <w:r>
        <w:rPr>
          <w:rFonts w:ascii="Arial" w:cs="Arial" w:eastAsia="Arial" w:hAnsi="Arial"/>
          <w:sz w:val="18"/>
          <w:szCs w:val="18"/>
          <w:color w:val="auto"/>
        </w:rPr>
        <w:t>” means any all (a) submissions, material correspondence, notifications, registrations, licenses, authorizations,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and other filings with any Governmental Authority with respect to the research, development, manufacture, distribution, pricing, reimbursement, marketing or sale of the Product and (b) Marketing Approvals for the Product.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1.109 </w:t>
      </w: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has the meaning set forth in Section 8.2.2 (Review).</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7"/>
          <w:szCs w:val="17"/>
          <w:b w:val="1"/>
          <w:bCs w:val="1"/>
          <w:color w:val="auto"/>
        </w:rPr>
        <w:t xml:space="preserve">Section 1.110 </w:t>
      </w:r>
      <w:r>
        <w:rPr>
          <w:rFonts w:ascii="Arial" w:cs="Arial" w:eastAsia="Arial" w:hAnsi="Arial"/>
          <w:sz w:val="17"/>
          <w:szCs w:val="17"/>
          <w:color w:val="auto"/>
        </w:rPr>
        <w:t>“</w:t>
      </w:r>
      <w:r>
        <w:rPr>
          <w:rFonts w:ascii="Arial" w:cs="Arial" w:eastAsia="Arial" w:hAnsi="Arial"/>
          <w:sz w:val="17"/>
          <w:szCs w:val="17"/>
          <w:b w:val="1"/>
          <w:bCs w:val="1"/>
          <w:color w:val="auto"/>
        </w:rPr>
        <w:t>Representatives</w:t>
      </w:r>
      <w:r>
        <w:rPr>
          <w:rFonts w:ascii="Arial" w:cs="Arial" w:eastAsia="Arial" w:hAnsi="Arial"/>
          <w:sz w:val="17"/>
          <w:szCs w:val="17"/>
          <w:color w:val="auto"/>
        </w:rPr>
        <w:t>” means, as to any Person, such Person’s Affiliates and its and their successors, owners, controlling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employees, agents, representatives, subcontractors, or other third party acting for or on its behalf.</w:t>
      </w:r>
    </w:p>
    <w:p>
      <w:pPr>
        <w:spacing w:after="0" w:line="3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Section 1.111 </w:t>
      </w:r>
      <w:r>
        <w:rPr>
          <w:rFonts w:ascii="Arial" w:cs="Arial" w:eastAsia="Arial" w:hAnsi="Arial"/>
          <w:sz w:val="18"/>
          <w:szCs w:val="18"/>
          <w:color w:val="auto"/>
        </w:rPr>
        <w:t>“</w:t>
      </w:r>
      <w:r>
        <w:rPr>
          <w:rFonts w:ascii="Arial" w:cs="Arial" w:eastAsia="Arial" w:hAnsi="Arial"/>
          <w:sz w:val="18"/>
          <w:szCs w:val="18"/>
          <w:b w:val="1"/>
          <w:bCs w:val="1"/>
          <w:color w:val="auto"/>
        </w:rPr>
        <w:t>Restricted Target Program</w:t>
      </w:r>
      <w:r>
        <w:rPr>
          <w:rFonts w:ascii="Arial" w:cs="Arial" w:eastAsia="Arial" w:hAnsi="Arial"/>
          <w:sz w:val="18"/>
          <w:szCs w:val="18"/>
          <w:color w:val="auto"/>
        </w:rPr>
        <w:t>” means the research (other than the use as tool molecules), manufacture, clinical development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any [***] CK1d and with intended use as a treatment in CNS Diseases.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1.112 </w:t>
      </w:r>
      <w:r>
        <w:rPr>
          <w:rFonts w:ascii="Arial" w:cs="Arial" w:eastAsia="Arial" w:hAnsi="Arial"/>
          <w:sz w:val="18"/>
          <w:szCs w:val="18"/>
          <w:color w:val="auto"/>
        </w:rPr>
        <w:t>“</w:t>
      </w:r>
      <w:r>
        <w:rPr>
          <w:rFonts w:ascii="Arial" w:cs="Arial" w:eastAsia="Arial" w:hAnsi="Arial"/>
          <w:sz w:val="18"/>
          <w:szCs w:val="18"/>
          <w:b w:val="1"/>
          <w:bCs w:val="1"/>
          <w:color w:val="auto"/>
        </w:rPr>
        <w:t>Reviewing Party</w:t>
      </w:r>
      <w:r>
        <w:rPr>
          <w:rFonts w:ascii="Arial" w:cs="Arial" w:eastAsia="Arial" w:hAnsi="Arial"/>
          <w:sz w:val="18"/>
          <w:szCs w:val="18"/>
          <w:color w:val="auto"/>
        </w:rPr>
        <w:t>” has the meaning set forth in Section 8.2.2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1.113 </w:t>
      </w:r>
      <w:r>
        <w:rPr>
          <w:rFonts w:ascii="Arial" w:cs="Arial" w:eastAsia="Arial" w:hAnsi="Arial"/>
          <w:sz w:val="18"/>
          <w:szCs w:val="18"/>
          <w:color w:val="auto"/>
        </w:rPr>
        <w:t>“</w:t>
      </w:r>
      <w:r>
        <w:rPr>
          <w:rFonts w:ascii="Arial" w:cs="Arial" w:eastAsia="Arial" w:hAnsi="Arial"/>
          <w:sz w:val="18"/>
          <w:szCs w:val="18"/>
          <w:b w:val="1"/>
          <w:bCs w:val="1"/>
          <w:color w:val="auto"/>
        </w:rPr>
        <w:t>ROFN Period</w:t>
      </w:r>
      <w:r>
        <w:rPr>
          <w:rFonts w:ascii="Arial" w:cs="Arial" w:eastAsia="Arial" w:hAnsi="Arial"/>
          <w:sz w:val="18"/>
          <w:szCs w:val="18"/>
          <w:color w:val="auto"/>
        </w:rPr>
        <w:t>” has the meaning set forth in Section 2.4.1 (Exclusive Right of First Negotiation).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1.114 </w:t>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set forth in Section 3.2.1 (Royalty Rate; Royalty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1.115 </w:t>
      </w:r>
      <w:r>
        <w:rPr>
          <w:rFonts w:ascii="Arial" w:cs="Arial" w:eastAsia="Arial" w:hAnsi="Arial"/>
          <w:sz w:val="18"/>
          <w:szCs w:val="18"/>
          <w:color w:val="auto"/>
        </w:rPr>
        <w:t>“</w:t>
      </w:r>
      <w:r>
        <w:rPr>
          <w:rFonts w:ascii="Arial" w:cs="Arial" w:eastAsia="Arial" w:hAnsi="Arial"/>
          <w:sz w:val="18"/>
          <w:szCs w:val="18"/>
          <w:b w:val="1"/>
          <w:bCs w:val="1"/>
          <w:color w:val="auto"/>
        </w:rPr>
        <w:t>Sale Transaction</w:t>
      </w:r>
      <w:r>
        <w:rPr>
          <w:rFonts w:ascii="Arial" w:cs="Arial" w:eastAsia="Arial" w:hAnsi="Arial"/>
          <w:sz w:val="18"/>
          <w:szCs w:val="18"/>
          <w:color w:val="auto"/>
        </w:rPr>
        <w:t>” has the meaning set forth in Section 10.8 (Successors and Assigns).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1.116 </w:t>
      </w: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Cuba, Iran, Syria, North Korea, and the Crimea Region of Ukraine, and any other country or region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comprehensive sanctions under applicable International Trade Laws.</w:t>
      </w:r>
    </w:p>
    <w:p>
      <w:pPr>
        <w:spacing w:after="0" w:line="54"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Section 1.117 </w:t>
      </w:r>
      <w:r>
        <w:rPr>
          <w:rFonts w:ascii="Arial" w:cs="Arial" w:eastAsia="Arial" w:hAnsi="Arial"/>
          <w:sz w:val="17"/>
          <w:szCs w:val="17"/>
          <w:color w:val="auto"/>
        </w:rPr>
        <w:t>“</w:t>
      </w:r>
      <w:r>
        <w:rPr>
          <w:rFonts w:ascii="Arial" w:cs="Arial" w:eastAsia="Arial" w:hAnsi="Arial"/>
          <w:sz w:val="17"/>
          <w:szCs w:val="17"/>
          <w:b w:val="1"/>
          <w:bCs w:val="1"/>
          <w:color w:val="auto"/>
        </w:rPr>
        <w:t>Sanctioned Person</w:t>
      </w:r>
      <w:r>
        <w:rPr>
          <w:rFonts w:ascii="Arial" w:cs="Arial" w:eastAsia="Arial" w:hAnsi="Arial"/>
          <w:sz w:val="17"/>
          <w:szCs w:val="17"/>
          <w:color w:val="auto"/>
        </w:rPr>
        <w:t>” means any natural or legal person (a) identified on the Specially Designated Nationals and Blocked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List administered by the U.S. Department of Treasury Office of Foreign Assets Control (OFAC), on the Entity List, the Unverified List, or the Denied Persons List administered by the U.S. Department of Commerce Bureau of Industry and Security (BIS), or on any equivalent lists maintained by the United Nations; (b) fifty percent (50%) or greater owned, directly or indirectly, in the aggregate, by a person or persons described in clause (a); or (c) that is organized, resident, or operating in a Sanctioned Country.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1.118 </w:t>
      </w:r>
      <w:r>
        <w:rPr>
          <w:rFonts w:ascii="Arial" w:cs="Arial" w:eastAsia="Arial" w:hAnsi="Arial"/>
          <w:sz w:val="18"/>
          <w:szCs w:val="18"/>
          <w:color w:val="auto"/>
        </w:rPr>
        <w:t>“</w:t>
      </w:r>
      <w:r>
        <w:rPr>
          <w:rFonts w:ascii="Arial" w:cs="Arial" w:eastAsia="Arial" w:hAnsi="Arial"/>
          <w:sz w:val="18"/>
          <w:szCs w:val="18"/>
          <w:b w:val="1"/>
          <w:bCs w:val="1"/>
          <w:color w:val="auto"/>
        </w:rPr>
        <w:t>Series A-2 Preferred Stock</w:t>
      </w:r>
      <w:r>
        <w:rPr>
          <w:rFonts w:ascii="Arial" w:cs="Arial" w:eastAsia="Arial" w:hAnsi="Arial"/>
          <w:sz w:val="18"/>
          <w:szCs w:val="18"/>
          <w:color w:val="auto"/>
        </w:rPr>
        <w:t>” means RBNC’s Series A-2 Preferred Stock,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1.119 </w:t>
      </w:r>
      <w:r>
        <w:rPr>
          <w:rFonts w:ascii="Arial" w:cs="Arial" w:eastAsia="Arial" w:hAnsi="Arial"/>
          <w:sz w:val="18"/>
          <w:szCs w:val="18"/>
          <w:color w:val="auto"/>
        </w:rPr>
        <w:t>“</w:t>
      </w:r>
      <w:r>
        <w:rPr>
          <w:rFonts w:ascii="Arial" w:cs="Arial" w:eastAsia="Arial" w:hAnsi="Arial"/>
          <w:sz w:val="18"/>
          <w:szCs w:val="18"/>
          <w:b w:val="1"/>
          <w:bCs w:val="1"/>
          <w:color w:val="auto"/>
        </w:rPr>
        <w:t>Significant Territorial Rights</w:t>
      </w:r>
      <w:r>
        <w:rPr>
          <w:rFonts w:ascii="Arial" w:cs="Arial" w:eastAsia="Arial" w:hAnsi="Arial"/>
          <w:sz w:val="18"/>
          <w:szCs w:val="18"/>
          <w:color w:val="auto"/>
        </w:rPr>
        <w:t>” means RBNC’s rights to develop or commercialize a Product in [***].</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60"/>
          </w:cols>
          <w:pgMar w:left="880" w:top="270" w:right="559"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1.120 </w:t>
      </w:r>
      <w:r>
        <w:rPr>
          <w:rFonts w:ascii="Arial" w:cs="Arial" w:eastAsia="Arial" w:hAnsi="Arial"/>
          <w:sz w:val="18"/>
          <w:szCs w:val="18"/>
          <w:color w:val="auto"/>
        </w:rPr>
        <w:t>“</w:t>
      </w:r>
      <w:r>
        <w:rPr>
          <w:rFonts w:ascii="Arial" w:cs="Arial" w:eastAsia="Arial" w:hAnsi="Arial"/>
          <w:sz w:val="18"/>
          <w:szCs w:val="18"/>
          <w:b w:val="1"/>
          <w:bCs w:val="1"/>
          <w:color w:val="auto"/>
        </w:rPr>
        <w:t>Sole Invention</w:t>
      </w:r>
      <w:r>
        <w:rPr>
          <w:rFonts w:ascii="Arial" w:cs="Arial" w:eastAsia="Arial" w:hAnsi="Arial"/>
          <w:sz w:val="18"/>
          <w:szCs w:val="18"/>
          <w:color w:val="auto"/>
        </w:rPr>
        <w:t>” has the meaning set forth in Section 4.1.1 (Intellectual Property 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1.121 </w:t>
      </w:r>
      <w:r>
        <w:rPr>
          <w:rFonts w:ascii="Arial" w:cs="Arial" w:eastAsia="Arial" w:hAnsi="Arial"/>
          <w:sz w:val="18"/>
          <w:szCs w:val="18"/>
          <w:color w:val="auto"/>
        </w:rPr>
        <w:t>“</w:t>
      </w:r>
      <w:r>
        <w:rPr>
          <w:rFonts w:ascii="Arial" w:cs="Arial" w:eastAsia="Arial" w:hAnsi="Arial"/>
          <w:sz w:val="18"/>
          <w:szCs w:val="18"/>
          <w:b w:val="1"/>
          <w:bCs w:val="1"/>
          <w:color w:val="auto"/>
        </w:rPr>
        <w:t>Sublicense Agreement</w:t>
      </w:r>
      <w:r>
        <w:rPr>
          <w:rFonts w:ascii="Arial" w:cs="Arial" w:eastAsia="Arial" w:hAnsi="Arial"/>
          <w:sz w:val="18"/>
          <w:szCs w:val="18"/>
          <w:color w:val="auto"/>
        </w:rPr>
        <w:t>” has the meaning set forth in Section 2.2 (Sublicenses).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1.122 </w:t>
      </w:r>
      <w:r>
        <w:rPr>
          <w:rFonts w:ascii="Arial" w:cs="Arial" w:eastAsia="Arial" w:hAnsi="Arial"/>
          <w:sz w:val="18"/>
          <w:szCs w:val="18"/>
          <w:color w:val="auto"/>
        </w:rPr>
        <w:t>“</w:t>
      </w:r>
      <w:r>
        <w:rPr>
          <w:rFonts w:ascii="Arial" w:cs="Arial" w:eastAsia="Arial" w:hAnsi="Arial"/>
          <w:sz w:val="18"/>
          <w:szCs w:val="18"/>
          <w:b w:val="1"/>
          <w:bCs w:val="1"/>
          <w:color w:val="auto"/>
        </w:rPr>
        <w:t>Sublicense Consideration</w:t>
      </w:r>
      <w:r>
        <w:rPr>
          <w:rFonts w:ascii="Arial" w:cs="Arial" w:eastAsia="Arial" w:hAnsi="Arial"/>
          <w:sz w:val="18"/>
          <w:szCs w:val="18"/>
          <w:color w:val="auto"/>
        </w:rPr>
        <w:t>” has the meaning set forth in Section 3.3 (Sublicensing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1.123 </w:t>
      </w:r>
      <w:r>
        <w:rPr>
          <w:rFonts w:ascii="Arial" w:cs="Arial" w:eastAsia="Arial" w:hAnsi="Arial"/>
          <w:sz w:val="18"/>
          <w:szCs w:val="18"/>
          <w:color w:val="auto"/>
        </w:rPr>
        <w:t>“</w:t>
      </w:r>
      <w:r>
        <w:rPr>
          <w:rFonts w:ascii="Arial" w:cs="Arial" w:eastAsia="Arial" w:hAnsi="Arial"/>
          <w:sz w:val="18"/>
          <w:szCs w:val="18"/>
          <w:b w:val="1"/>
          <w:bCs w:val="1"/>
          <w:color w:val="auto"/>
        </w:rPr>
        <w:t>Sublicense Income</w:t>
      </w:r>
      <w:r>
        <w:rPr>
          <w:rFonts w:ascii="Arial" w:cs="Arial" w:eastAsia="Arial" w:hAnsi="Arial"/>
          <w:sz w:val="18"/>
          <w:szCs w:val="18"/>
          <w:color w:val="auto"/>
        </w:rPr>
        <w:t>” has the meaning set forth in Section 3.3 (Sublicensing Income).</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Section 1.124 </w:t>
      </w:r>
      <w:r>
        <w:rPr>
          <w:rFonts w:ascii="Arial" w:cs="Arial" w:eastAsia="Arial" w:hAnsi="Arial"/>
          <w:sz w:val="18"/>
          <w:szCs w:val="18"/>
          <w:color w:val="auto"/>
        </w:rPr>
        <w:t>“</w:t>
      </w:r>
      <w:r>
        <w:rPr>
          <w:rFonts w:ascii="Arial" w:cs="Arial" w:eastAsia="Arial" w:hAnsi="Arial"/>
          <w:sz w:val="18"/>
          <w:szCs w:val="18"/>
          <w:b w:val="1"/>
          <w:bCs w:val="1"/>
          <w:color w:val="auto"/>
        </w:rPr>
        <w:t>Sublicensee(s)</w:t>
      </w:r>
      <w:r>
        <w:rPr>
          <w:rFonts w:ascii="Arial" w:cs="Arial" w:eastAsia="Arial" w:hAnsi="Arial"/>
          <w:sz w:val="18"/>
          <w:szCs w:val="18"/>
          <w:color w:val="auto"/>
        </w:rPr>
        <w:t>” means any Person other than an Affiliate of RBNC to which RBNC has granted a sublicense under Section 2.2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Section 1.125 </w:t>
      </w:r>
      <w:r>
        <w:rPr>
          <w:rFonts w:ascii="Arial" w:cs="Arial" w:eastAsia="Arial" w:hAnsi="Arial"/>
          <w:sz w:val="18"/>
          <w:szCs w:val="18"/>
          <w:color w:val="auto"/>
        </w:rPr>
        <w:t>“</w:t>
      </w:r>
      <w:r>
        <w:rPr>
          <w:rFonts w:ascii="Arial" w:cs="Arial" w:eastAsia="Arial" w:hAnsi="Arial"/>
          <w:sz w:val="18"/>
          <w:szCs w:val="18"/>
          <w:b w:val="1"/>
          <w:bCs w:val="1"/>
          <w:color w:val="auto"/>
        </w:rPr>
        <w:t>Successful Phase II Clinical Trial Report</w:t>
      </w:r>
      <w:r>
        <w:rPr>
          <w:rFonts w:ascii="Arial" w:cs="Arial" w:eastAsia="Arial" w:hAnsi="Arial"/>
          <w:sz w:val="18"/>
          <w:szCs w:val="18"/>
          <w:color w:val="auto"/>
        </w:rPr>
        <w:t>” means, with respect to a Phase II Clinical Trial in which [***], the final study report</w:t>
      </w:r>
      <w:r>
        <w:rPr>
          <w:rFonts w:ascii="Arial" w:cs="Arial" w:eastAsia="Arial" w:hAnsi="Arial"/>
          <w:sz w:val="18"/>
          <w:szCs w:val="18"/>
          <w:b w:val="1"/>
          <w:bCs w:val="1"/>
          <w:color w:val="auto"/>
        </w:rPr>
        <w:t xml:space="preserve"> </w:t>
      </w:r>
      <w:r>
        <w:rPr>
          <w:rFonts w:ascii="Arial" w:cs="Arial" w:eastAsia="Arial" w:hAnsi="Arial"/>
          <w:sz w:val="18"/>
          <w:szCs w:val="18"/>
          <w:color w:val="auto"/>
        </w:rPr>
        <w:t>from such Phase II Clinical Trial.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1.126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9.1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1.127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entire world.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1.128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 Person other than (a) AMGEN or any of its Affiliates and (b) RBNC or any of its Affiliates.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1.129 </w:t>
      </w:r>
      <w:r>
        <w:rPr>
          <w:rFonts w:ascii="Arial" w:cs="Arial" w:eastAsia="Arial" w:hAnsi="Arial"/>
          <w:sz w:val="18"/>
          <w:szCs w:val="18"/>
          <w:color w:val="auto"/>
        </w:rPr>
        <w:t>“</w:t>
      </w:r>
      <w:r>
        <w:rPr>
          <w:rFonts w:ascii="Arial" w:cs="Arial" w:eastAsia="Arial" w:hAnsi="Arial"/>
          <w:sz w:val="18"/>
          <w:szCs w:val="18"/>
          <w:b w:val="1"/>
          <w:bCs w:val="1"/>
          <w:color w:val="auto"/>
        </w:rPr>
        <w:t>Third Party Acquirer</w:t>
      </w:r>
      <w:r>
        <w:rPr>
          <w:rFonts w:ascii="Arial" w:cs="Arial" w:eastAsia="Arial" w:hAnsi="Arial"/>
          <w:sz w:val="18"/>
          <w:szCs w:val="18"/>
          <w:color w:val="auto"/>
        </w:rPr>
        <w:t>” has the meaning set forth in Section 10.9 (Sale Transaction or AMGEN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1.130 </w:t>
      </w: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has the meaning set forth in the Recitals 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1.131 </w:t>
      </w:r>
      <w:r>
        <w:rPr>
          <w:rFonts w:ascii="Arial" w:cs="Arial" w:eastAsia="Arial" w:hAnsi="Arial"/>
          <w:sz w:val="18"/>
          <w:szCs w:val="18"/>
          <w:color w:val="auto"/>
        </w:rPr>
        <w:t>“</w:t>
      </w:r>
      <w:r>
        <w:rPr>
          <w:rFonts w:ascii="Arial" w:cs="Arial" w:eastAsia="Arial" w:hAnsi="Arial"/>
          <w:sz w:val="18"/>
          <w:szCs w:val="18"/>
          <w:b w:val="1"/>
          <w:bCs w:val="1"/>
          <w:color w:val="auto"/>
        </w:rPr>
        <w:t>Transaction Notice</w:t>
      </w:r>
      <w:r>
        <w:rPr>
          <w:rFonts w:ascii="Arial" w:cs="Arial" w:eastAsia="Arial" w:hAnsi="Arial"/>
          <w:sz w:val="18"/>
          <w:szCs w:val="18"/>
          <w:color w:val="auto"/>
        </w:rPr>
        <w:t>” has the meaning set forth in Section 2.4.1 (Exclusive Right of First Negotiation).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1.132 </w:t>
      </w:r>
      <w:r>
        <w:rPr>
          <w:rFonts w:ascii="Arial" w:cs="Arial" w:eastAsia="Arial" w:hAnsi="Arial"/>
          <w:sz w:val="18"/>
          <w:szCs w:val="18"/>
          <w:color w:val="auto"/>
        </w:rPr>
        <w:t>“</w:t>
      </w:r>
      <w:r>
        <w:rPr>
          <w:rFonts w:ascii="Arial" w:cs="Arial" w:eastAsia="Arial" w:hAnsi="Arial"/>
          <w:sz w:val="18"/>
          <w:szCs w:val="18"/>
          <w:b w:val="1"/>
          <w:bCs w:val="1"/>
          <w:color w:val="auto"/>
        </w:rPr>
        <w:t>Transfer Support</w:t>
      </w:r>
      <w:r>
        <w:rPr>
          <w:rFonts w:ascii="Arial" w:cs="Arial" w:eastAsia="Arial" w:hAnsi="Arial"/>
          <w:sz w:val="18"/>
          <w:szCs w:val="18"/>
          <w:color w:val="auto"/>
        </w:rPr>
        <w:t>” has the meaning set forth in Section 2.5.3 (Technology Transfer Support).</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Section 1.133 </w:t>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including its territories and possessions (including the District of</w:t>
      </w:r>
      <w:r>
        <w:rPr>
          <w:rFonts w:ascii="Arial" w:cs="Arial" w:eastAsia="Arial" w:hAnsi="Arial"/>
          <w:sz w:val="18"/>
          <w:szCs w:val="18"/>
          <w:b w:val="1"/>
          <w:bCs w:val="1"/>
          <w:color w:val="auto"/>
        </w:rPr>
        <w:t xml:space="preserve"> </w:t>
      </w:r>
      <w:r>
        <w:rPr>
          <w:rFonts w:ascii="Arial" w:cs="Arial" w:eastAsia="Arial" w:hAnsi="Arial"/>
          <w:sz w:val="18"/>
          <w:szCs w:val="18"/>
          <w:color w:val="auto"/>
        </w:rPr>
        <w:t>Columbia and Puerto Rico).</w:t>
      </w:r>
    </w:p>
    <w:p>
      <w:pPr>
        <w:spacing w:after="0" w:line="5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Section 1.134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any issued and unexpired patent or patent application within the Program Patents,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Patents or Joint Patents and that has not been dedicated to the public, disclaimed, abandoned or held invalid or unenforceable by a final decision of a court or governmental agency of competent jurisdiction, which decision can no longer be appealed or was not appealed within the time allowed; </w:t>
      </w:r>
      <w:r>
        <w:rPr>
          <w:rFonts w:ascii="Arial" w:cs="Arial" w:eastAsia="Arial" w:hAnsi="Arial"/>
          <w:sz w:val="18"/>
          <w:szCs w:val="18"/>
          <w:b w:val="1"/>
          <w:bCs w:val="1"/>
          <w:i w:val="1"/>
          <w:iCs w:val="1"/>
          <w:color w:val="auto"/>
        </w:rPr>
        <w:t xml:space="preserve">provided, however, </w:t>
      </w:r>
      <w:r>
        <w:rPr>
          <w:rFonts w:ascii="Arial" w:cs="Arial" w:eastAsia="Arial" w:hAnsi="Arial"/>
          <w:sz w:val="18"/>
          <w:szCs w:val="18"/>
          <w:color w:val="auto"/>
        </w:rPr>
        <w:t>that if a claim of a pending patent application within the Program Patents, Licensed Patents or Joint Patents shall not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within [***] years after the earliest filing date from which such claim takes priority, such claim shall not constitute a Valid Claim for the purposes of this Agreement unless and until a Patent Right issues with such claim (from and after which time the same would be deemed a Valid Claim).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1.135 </w:t>
      </w: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has the meaning set forth in Section 3.10.3 (VAT).</w:t>
      </w:r>
    </w:p>
    <w:p>
      <w:pPr>
        <w:spacing w:after="0" w:line="1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0" w:right="459"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 LICENSE GRANT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2.1 Grant. </w:t>
      </w:r>
      <w:r>
        <w:rPr>
          <w:rFonts w:ascii="Arial" w:cs="Arial" w:eastAsia="Arial" w:hAnsi="Arial"/>
          <w:sz w:val="18"/>
          <w:szCs w:val="18"/>
          <w:color w:val="auto"/>
        </w:rPr>
        <w:t>Subject to the terms and conditions of this Agreement, AMGEN shall grant and hereby grants to RBNC:</w:t>
      </w:r>
    </w:p>
    <w:p>
      <w:pPr>
        <w:spacing w:after="0" w:line="121" w:lineRule="exact"/>
        <w:rPr>
          <w:sz w:val="20"/>
          <w:szCs w:val="20"/>
          <w:color w:val="auto"/>
        </w:rPr>
      </w:pPr>
    </w:p>
    <w:p>
      <w:pPr>
        <w:ind w:left="980" w:right="40" w:firstLine="7"/>
        <w:spacing w:after="0" w:line="263" w:lineRule="auto"/>
        <w:tabs>
          <w:tab w:leader="none" w:pos="122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 exclusive, (even as to AMGEN, but subject to Section 2.3), royalty-bearing, sublicensable (but only in accordance with Section 2.2 (Sublicenses)) license under AMGEN’s rights in and to the (i) Licensed Patents and Joint Patents and (ii) the Exclusively Licensed Know-How; and</w:t>
      </w:r>
    </w:p>
    <w:p>
      <w:pPr>
        <w:spacing w:after="0" w:line="75" w:lineRule="exact"/>
        <w:rPr>
          <w:rFonts w:ascii="Arial" w:cs="Arial" w:eastAsia="Arial" w:hAnsi="Arial"/>
          <w:sz w:val="18"/>
          <w:szCs w:val="18"/>
          <w:color w:val="auto"/>
        </w:rPr>
      </w:pPr>
    </w:p>
    <w:p>
      <w:pPr>
        <w:ind w:left="980" w:firstLine="7"/>
        <w:spacing w:after="0" w:line="277" w:lineRule="auto"/>
        <w:tabs>
          <w:tab w:leader="none" w:pos="123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non-exclusive, royalty-bearing, sublicensable (but only in accordance with Section 2.2 (Sublicenses)) license under AMGEN’s rights in and to the Licensed Know-How (other than the Exclusively Licensed Know-How);</w:t>
      </w:r>
    </w:p>
    <w:p>
      <w:pPr>
        <w:spacing w:after="0" w:line="62" w:lineRule="exact"/>
        <w:rPr>
          <w:sz w:val="20"/>
          <w:szCs w:val="20"/>
          <w:color w:val="auto"/>
        </w:rPr>
      </w:pPr>
    </w:p>
    <w:p>
      <w:pPr>
        <w:ind w:left="440" w:right="240"/>
        <w:spacing w:after="0" w:line="286" w:lineRule="auto"/>
        <w:rPr>
          <w:sz w:val="20"/>
          <w:szCs w:val="20"/>
          <w:color w:val="auto"/>
        </w:rPr>
      </w:pPr>
      <w:r>
        <w:rPr>
          <w:rFonts w:ascii="Arial" w:cs="Arial" w:eastAsia="Arial" w:hAnsi="Arial"/>
          <w:sz w:val="17"/>
          <w:szCs w:val="17"/>
          <w:color w:val="auto"/>
        </w:rPr>
        <w:t>in each case (a) and (b), solely to discover and Exploit Licensed Compounds, Program Compounds and Products in the Licensed Field in the Territory during the Term. For the avoidance of doubt, RBNC and its Affiliates may only use the Licensed Know-How to discover and Exploit Licensed Compounds, Program Compounds and Products in the Licensed Field in the Territory.</w:t>
      </w:r>
    </w:p>
    <w:p>
      <w:pPr>
        <w:spacing w:after="0" w:line="57" w:lineRule="exact"/>
        <w:rPr>
          <w:sz w:val="20"/>
          <w:szCs w:val="20"/>
          <w:color w:val="auto"/>
        </w:rPr>
      </w:pPr>
    </w:p>
    <w:p>
      <w:pPr>
        <w:ind w:left="440" w:right="120"/>
        <w:spacing w:after="0" w:line="275" w:lineRule="auto"/>
        <w:rPr>
          <w:sz w:val="20"/>
          <w:szCs w:val="20"/>
          <w:color w:val="auto"/>
        </w:rPr>
      </w:pPr>
      <w:r>
        <w:rPr>
          <w:rFonts w:ascii="Arial" w:cs="Arial" w:eastAsia="Arial" w:hAnsi="Arial"/>
          <w:sz w:val="17"/>
          <w:szCs w:val="17"/>
          <w:color w:val="auto"/>
        </w:rPr>
        <w:t>The rights licensed to RBNC pursuant to this Section 2.1 shall be sublicensable only in connection with the rights of RBNC with respect to Licensed Compounds, Program Compounds and Products and not with respect to any other products or services. Neither AMGEN nor any of its Affiliates will enter into any agreement or otherwise license, grant, assign, transfer, convey, or otherwise encumber or dispose any right, title, or interest in or to any of the Licensed Patents, Joint Patents or Licensed Know-How, which agreement, license, grant, assignment, transfer, conveyance, encumbrance, or disposition would conflict with the rights granted to RBNC hereunder.</w:t>
      </w:r>
    </w:p>
    <w:p>
      <w:pPr>
        <w:spacing w:after="0" w:line="64" w:lineRule="exact"/>
        <w:rPr>
          <w:sz w:val="20"/>
          <w:szCs w:val="20"/>
          <w:color w:val="auto"/>
        </w:rPr>
      </w:pPr>
    </w:p>
    <w:p>
      <w:pPr>
        <w:ind w:left="440" w:right="40"/>
        <w:spacing w:after="0" w:line="287" w:lineRule="auto"/>
        <w:rPr>
          <w:sz w:val="20"/>
          <w:szCs w:val="20"/>
          <w:color w:val="auto"/>
        </w:rPr>
      </w:pPr>
      <w:r>
        <w:rPr>
          <w:rFonts w:ascii="Arial" w:cs="Arial" w:eastAsia="Arial" w:hAnsi="Arial"/>
          <w:sz w:val="16"/>
          <w:szCs w:val="16"/>
          <w:b w:val="1"/>
          <w:bCs w:val="1"/>
          <w:color w:val="auto"/>
        </w:rPr>
        <w:t xml:space="preserve">Section 2.2 Sublicenses. </w:t>
      </w:r>
      <w:r>
        <w:rPr>
          <w:rFonts w:ascii="Arial" w:cs="Arial" w:eastAsia="Arial" w:hAnsi="Arial"/>
          <w:sz w:val="16"/>
          <w:szCs w:val="16"/>
          <w:color w:val="auto"/>
        </w:rPr>
        <w:t>RBNC shall be entitled, without the prior consent of AMGEN, to grant one or more sublicenses of the rights granted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AMGEN under Section 2.1 to RBNC, by a written agreement to one or more Sublicensees (including through multiple tiers of sublicenses),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as a condition precedent to and requirement of any such sublicense: (a) any such permitted sublicense shall be in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consistent with and subject to the terms and conditions of this Agreement (each a “</w:t>
      </w:r>
      <w:r>
        <w:rPr>
          <w:rFonts w:ascii="Arial" w:cs="Arial" w:eastAsia="Arial" w:hAnsi="Arial"/>
          <w:sz w:val="16"/>
          <w:szCs w:val="16"/>
          <w:b w:val="1"/>
          <w:bCs w:val="1"/>
          <w:color w:val="auto"/>
        </w:rPr>
        <w:t>Sublicense Agreement</w:t>
      </w:r>
      <w:r>
        <w:rPr>
          <w:rFonts w:ascii="Arial" w:cs="Arial" w:eastAsia="Arial" w:hAnsi="Arial"/>
          <w:sz w:val="16"/>
          <w:szCs w:val="16"/>
          <w:color w:val="auto"/>
        </w:rPr>
        <w:t>”); and (b) RBNC will continue to be responsible for full performance of RBNC’s obligations under this Agreement; and (c) RBNC shall pay Sublicense Consideration, if any, in accordance with Section 3.3 (Sublicensing Income); and (d) in all other respects, RBNC will be responsible for all actions of such Sublicensee as if such Sublicensee were RBNC hereunder, including, for clarity, payment of royalties under Section 3.2. Notwithstanding the foregoing, with respect to the sublicensing of Significant Territorial Rights, RBNC shall have no right to grant any such sublicenses to Exploit the Products prior to the earlier of [***], without AMGEN’s prior written consent, except that RBNC may grant sublicenses to contractors acting in support of RBNC’s efforts to Exploit the Products as described in Section 5.1 (Responsibility). [***] during the term of this Agreement, RBNC will provide AMGEN a list of all Sublicense Agreements (excluding agreements with contractors acting in support of RBNC’s efforts to Exploit the Products) then in effect together with a summary of any Sublicense Income received by RBNC pursuant to each such Sublicense Agreement.</w:t>
      </w:r>
    </w:p>
    <w:p>
      <w:pPr>
        <w:spacing w:after="0" w:line="10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0" w:right="519" w:bottom="1440" w:gutter="0" w:footer="0" w:header="0"/>
        </w:sectPr>
      </w:pPr>
    </w:p>
    <w:bookmarkStart w:id="367" w:name="page368"/>
    <w:bookmarkEnd w:id="367"/>
    <w:p>
      <w:pPr>
        <w:ind w:right="1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2.3 Retained Rights and Limitations</w:t>
      </w:r>
      <w:r>
        <w:rPr>
          <w:rFonts w:ascii="Arial" w:cs="Arial" w:eastAsia="Arial" w:hAnsi="Arial"/>
          <w:sz w:val="17"/>
          <w:szCs w:val="17"/>
          <w:color w:val="auto"/>
        </w:rPr>
        <w:t>. Notwithstanding the exclusive license granted to RBNC in this Article 2 (License Grant),</w:t>
      </w:r>
      <w:r>
        <w:rPr>
          <w:rFonts w:ascii="Arial" w:cs="Arial" w:eastAsia="Arial" w:hAnsi="Arial"/>
          <w:sz w:val="17"/>
          <w:szCs w:val="17"/>
          <w:b w:val="1"/>
          <w:bCs w:val="1"/>
          <w:color w:val="auto"/>
        </w:rPr>
        <w:t xml:space="preserve"> </w:t>
      </w:r>
      <w:r>
        <w:rPr>
          <w:rFonts w:ascii="Arial" w:cs="Arial" w:eastAsia="Arial" w:hAnsi="Arial"/>
          <w:sz w:val="17"/>
          <w:szCs w:val="17"/>
          <w:color w:val="auto"/>
        </w:rPr>
        <w:t>AMGEN retains a research-only right under AMGEN’s rights in and to the Licensed Patents, Joint Patents and Exclusively Licensed Know-How solely for AMGEN’s internal research use; provided, however, that neither AMGEN nor any of its Affiliates manufacture, clinically develop, interact with any Regulatory Authority with respect to, sell or otherwise commercialize, any Licensed Compound.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Exclusive Right of First Negotiation</w:t>
      </w:r>
      <w:r>
        <w:rPr>
          <w:rFonts w:ascii="Arial" w:cs="Arial" w:eastAsia="Arial" w:hAnsi="Arial"/>
          <w:sz w:val="18"/>
          <w:szCs w:val="18"/>
          <w:color w:val="auto"/>
        </w:rPr>
        <w:t>.</w:t>
      </w:r>
    </w:p>
    <w:p>
      <w:pPr>
        <w:spacing w:after="0" w:line="117" w:lineRule="exact"/>
        <w:rPr>
          <w:sz w:val="20"/>
          <w:szCs w:val="20"/>
          <w:color w:val="auto"/>
        </w:rPr>
      </w:pPr>
    </w:p>
    <w:p>
      <w:pPr>
        <w:ind w:left="540" w:right="100" w:firstLine="401"/>
        <w:spacing w:after="0" w:line="289" w:lineRule="auto"/>
        <w:rPr>
          <w:sz w:val="20"/>
          <w:szCs w:val="20"/>
          <w:color w:val="auto"/>
        </w:rPr>
      </w:pPr>
      <w:r>
        <w:rPr>
          <w:rFonts w:ascii="Arial" w:cs="Arial" w:eastAsia="Arial" w:hAnsi="Arial"/>
          <w:sz w:val="16"/>
          <w:szCs w:val="16"/>
          <w:b w:val="1"/>
          <w:bCs w:val="1"/>
          <w:color w:val="auto"/>
        </w:rPr>
        <w:t xml:space="preserve">2.4.1 </w:t>
      </w:r>
      <w:r>
        <w:rPr>
          <w:rFonts w:ascii="Arial" w:cs="Arial" w:eastAsia="Arial" w:hAnsi="Arial"/>
          <w:sz w:val="16"/>
          <w:szCs w:val="16"/>
          <w:color w:val="auto"/>
        </w:rPr>
        <w:t>If during the period starting on the Effective Date and ending on the date that is [***] days after the date on which RBNC first</w:t>
      </w:r>
      <w:r>
        <w:rPr>
          <w:rFonts w:ascii="Arial" w:cs="Arial" w:eastAsia="Arial" w:hAnsi="Arial"/>
          <w:sz w:val="16"/>
          <w:szCs w:val="16"/>
          <w:b w:val="1"/>
          <w:bCs w:val="1"/>
          <w:color w:val="auto"/>
        </w:rPr>
        <w:t xml:space="preserve"> </w:t>
      </w:r>
      <w:r>
        <w:rPr>
          <w:rFonts w:ascii="Arial" w:cs="Arial" w:eastAsia="Arial" w:hAnsi="Arial"/>
          <w:sz w:val="16"/>
          <w:szCs w:val="16"/>
          <w:color w:val="auto"/>
        </w:rPr>
        <w:t>delivers to AMGEN a Successful Phase II Clinical Trial Report for any Product (the “</w:t>
      </w:r>
      <w:r>
        <w:rPr>
          <w:rFonts w:ascii="Arial" w:cs="Arial" w:eastAsia="Arial" w:hAnsi="Arial"/>
          <w:sz w:val="16"/>
          <w:szCs w:val="16"/>
          <w:b w:val="1"/>
          <w:bCs w:val="1"/>
          <w:color w:val="auto"/>
        </w:rPr>
        <w:t>ROFN Period</w:t>
      </w:r>
      <w:r>
        <w:rPr>
          <w:rFonts w:ascii="Arial" w:cs="Arial" w:eastAsia="Arial" w:hAnsi="Arial"/>
          <w:sz w:val="16"/>
          <w:szCs w:val="16"/>
          <w:color w:val="auto"/>
        </w:rPr>
        <w:t>”), RBNC (or any assignee or surviving party) elects to (i) sell, transfer, sublicense or divest [***], or (ii) [***] (but excluding a transaction that involves RBNC’s Change of Control) (each, a “</w:t>
      </w:r>
      <w:r>
        <w:rPr>
          <w:rFonts w:ascii="Arial" w:cs="Arial" w:eastAsia="Arial" w:hAnsi="Arial"/>
          <w:sz w:val="16"/>
          <w:szCs w:val="16"/>
          <w:b w:val="1"/>
          <w:bCs w:val="1"/>
          <w:color w:val="auto"/>
        </w:rPr>
        <w:t>Proposed ROFN Transaction</w:t>
      </w:r>
      <w:r>
        <w:rPr>
          <w:rFonts w:ascii="Arial" w:cs="Arial" w:eastAsia="Arial" w:hAnsi="Arial"/>
          <w:sz w:val="16"/>
          <w:szCs w:val="16"/>
          <w:color w:val="auto"/>
        </w:rPr>
        <w:t>”), then within [***] days of such election or receipt RBNC will provide AMGEN with a confidential written notice of the Proposed ROFN Transaction summarizing [***] (the “</w:t>
      </w:r>
      <w:r>
        <w:rPr>
          <w:rFonts w:ascii="Arial" w:cs="Arial" w:eastAsia="Arial" w:hAnsi="Arial"/>
          <w:sz w:val="16"/>
          <w:szCs w:val="16"/>
          <w:b w:val="1"/>
          <w:bCs w:val="1"/>
          <w:color w:val="auto"/>
        </w:rPr>
        <w:t>Transaction Notice</w:t>
      </w:r>
      <w:r>
        <w:rPr>
          <w:rFonts w:ascii="Arial" w:cs="Arial" w:eastAsia="Arial" w:hAnsi="Arial"/>
          <w:sz w:val="16"/>
          <w:szCs w:val="16"/>
          <w:color w:val="auto"/>
        </w:rPr>
        <w:t>”). If subsection (ii) applies, [***] unless Amgen declines the opportunity to negotiate with RBNC pursuant to this Section 2.4 or fails to provide an Amgen Election Notice for such Proposed ROFN Transaction in response to the relevant Transaction Notice, or Amgen and RBNC do not enter into an agreement with respect to such Proposed ROFN Transaction prior to expiration of the Negotiation Exclusivity Period for such Proposed ROFN Transaction after Amgen provides a timely Transaction Notice for such Proposed ROFN Transaction.</w:t>
      </w:r>
    </w:p>
    <w:p>
      <w:pPr>
        <w:spacing w:after="0" w:line="58" w:lineRule="exact"/>
        <w:rPr>
          <w:sz w:val="20"/>
          <w:szCs w:val="20"/>
          <w:color w:val="auto"/>
        </w:rPr>
      </w:pPr>
    </w:p>
    <w:p>
      <w:pPr>
        <w:ind w:left="540" w:right="80" w:firstLine="401"/>
        <w:spacing w:after="0" w:line="274" w:lineRule="auto"/>
        <w:rPr>
          <w:sz w:val="20"/>
          <w:szCs w:val="20"/>
          <w:color w:val="auto"/>
        </w:rPr>
      </w:pPr>
      <w:r>
        <w:rPr>
          <w:rFonts w:ascii="Arial" w:cs="Arial" w:eastAsia="Arial" w:hAnsi="Arial"/>
          <w:sz w:val="17"/>
          <w:szCs w:val="17"/>
          <w:b w:val="1"/>
          <w:bCs w:val="1"/>
          <w:color w:val="auto"/>
        </w:rPr>
        <w:t xml:space="preserve">2.4.2 </w:t>
      </w:r>
      <w:r>
        <w:rPr>
          <w:rFonts w:ascii="Arial" w:cs="Arial" w:eastAsia="Arial" w:hAnsi="Arial"/>
          <w:sz w:val="17"/>
          <w:szCs w:val="17"/>
          <w:color w:val="auto"/>
        </w:rPr>
        <w:t>If AMGEN desires to negotiate an arrangement pursuant to which it would enter into an agreement with RBNC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Proposed ROFN Transaction, AMGEN must notify RBNC thereof (the “</w:t>
      </w:r>
      <w:r>
        <w:rPr>
          <w:rFonts w:ascii="Arial" w:cs="Arial" w:eastAsia="Arial" w:hAnsi="Arial"/>
          <w:sz w:val="17"/>
          <w:szCs w:val="17"/>
          <w:b w:val="1"/>
          <w:bCs w:val="1"/>
          <w:color w:val="auto"/>
        </w:rPr>
        <w:t>AMGEN Election Notice</w:t>
      </w:r>
      <w:r>
        <w:rPr>
          <w:rFonts w:ascii="Arial" w:cs="Arial" w:eastAsia="Arial" w:hAnsi="Arial"/>
          <w:sz w:val="17"/>
          <w:szCs w:val="17"/>
          <w:color w:val="auto"/>
        </w:rPr>
        <w:t>”) within [***] days of AMGEN’s receipt of the Transaction Notice (“</w:t>
      </w:r>
      <w:r>
        <w:rPr>
          <w:rFonts w:ascii="Arial" w:cs="Arial" w:eastAsia="Arial" w:hAnsi="Arial"/>
          <w:sz w:val="17"/>
          <w:szCs w:val="17"/>
          <w:b w:val="1"/>
          <w:bCs w:val="1"/>
          <w:color w:val="auto"/>
        </w:rPr>
        <w:t>Notice Period</w:t>
      </w:r>
      <w:r>
        <w:rPr>
          <w:rFonts w:ascii="Arial" w:cs="Arial" w:eastAsia="Arial" w:hAnsi="Arial"/>
          <w:sz w:val="17"/>
          <w:szCs w:val="17"/>
          <w:color w:val="auto"/>
        </w:rPr>
        <w:t>”). For [***] days following AMGEN’s timely delivery of the AMGEN Election Notice or such longer time as the Parties may mutually agree in writing (the “</w:t>
      </w:r>
      <w:r>
        <w:rPr>
          <w:rFonts w:ascii="Arial" w:cs="Arial" w:eastAsia="Arial" w:hAnsi="Arial"/>
          <w:sz w:val="17"/>
          <w:szCs w:val="17"/>
          <w:b w:val="1"/>
          <w:bCs w:val="1"/>
          <w:color w:val="auto"/>
        </w:rPr>
        <w:t>Negotiation Exclusivity Period</w:t>
      </w:r>
      <w:r>
        <w:rPr>
          <w:rFonts w:ascii="Arial" w:cs="Arial" w:eastAsia="Arial" w:hAnsi="Arial"/>
          <w:sz w:val="17"/>
          <w:szCs w:val="17"/>
          <w:color w:val="auto"/>
        </w:rPr>
        <w:t>”), AMGEN will have an exclusive right to negotiate such a Proposed ROFN Transaction. During the Negotiation Exclusivity Period, RBNC shall negotiate exclusively with AMGEN in good faith to reach agreement for such Proposed ROFN Transaction between the Parties.</w:t>
      </w:r>
    </w:p>
    <w:p>
      <w:pPr>
        <w:spacing w:after="0" w:line="65" w:lineRule="exact"/>
        <w:rPr>
          <w:sz w:val="20"/>
          <w:szCs w:val="20"/>
          <w:color w:val="auto"/>
        </w:rPr>
      </w:pPr>
    </w:p>
    <w:p>
      <w:pPr>
        <w:ind w:left="540" w:firstLine="401"/>
        <w:spacing w:after="0" w:line="255" w:lineRule="auto"/>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On a Proposed ROFN Transaction-by-Proposed ROFN Transaction basis, AMGEN’s rights under Sections 2.4.1 and 2.4.2 will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(and RBNC will have no further obligations to AMGEN under Sections 2.4.1 and 2.4.2), and for clarity RBNC will be free to offer, negotiate and execute an agreement with respect to such Proposed ROFN Transaction with any Third Party (a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 upon the earlier of: (a) AMGEN declining the opportunity to negotiate or failing to respond to the Transaction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Notice Period (a “</w:t>
      </w:r>
      <w:r>
        <w:rPr>
          <w:rFonts w:ascii="Arial" w:cs="Arial" w:eastAsia="Arial" w:hAnsi="Arial"/>
          <w:sz w:val="18"/>
          <w:szCs w:val="18"/>
          <w:b w:val="1"/>
          <w:bCs w:val="1"/>
          <w:color w:val="auto"/>
        </w:rPr>
        <w:t>Failure to Indicate Interest</w:t>
      </w:r>
      <w:r>
        <w:rPr>
          <w:rFonts w:ascii="Arial" w:cs="Arial" w:eastAsia="Arial" w:hAnsi="Arial"/>
          <w:sz w:val="18"/>
          <w:szCs w:val="18"/>
          <w:color w:val="auto"/>
        </w:rPr>
        <w:t>”), and (b) if AMGEN provides a timely AMGEN Election Notice, the expiration of the Negotiation Exclusivity Period without the Parties consummating such Proposed ROFN Transaction prior thereto (a “</w:t>
      </w:r>
      <w:r>
        <w:rPr>
          <w:rFonts w:ascii="Arial" w:cs="Arial" w:eastAsia="Arial" w:hAnsi="Arial"/>
          <w:sz w:val="18"/>
          <w:szCs w:val="18"/>
          <w:b w:val="1"/>
          <w:bCs w:val="1"/>
          <w:color w:val="auto"/>
        </w:rPr>
        <w:t>Failure to</w:t>
      </w:r>
      <w:r>
        <w:rPr>
          <w:rFonts w:ascii="Arial" w:cs="Arial" w:eastAsia="Arial" w:hAnsi="Arial"/>
          <w:sz w:val="18"/>
          <w:szCs w:val="18"/>
          <w:color w:val="auto"/>
        </w:rPr>
        <w:t xml:space="preserve"> </w:t>
      </w:r>
      <w:r>
        <w:rPr>
          <w:rFonts w:ascii="Arial" w:cs="Arial" w:eastAsia="Arial" w:hAnsi="Arial"/>
          <w:sz w:val="18"/>
          <w:szCs w:val="18"/>
          <w:b w:val="1"/>
          <w:bCs w:val="1"/>
          <w:color w:val="auto"/>
        </w:rPr>
        <w:t>Conclude License</w:t>
      </w:r>
      <w:r>
        <w:rPr>
          <w:rFonts w:ascii="Arial" w:cs="Arial" w:eastAsia="Arial" w:hAnsi="Arial"/>
          <w:sz w:val="18"/>
          <w:szCs w:val="18"/>
          <w:color w:val="auto"/>
        </w:rPr>
        <w:t>”); [***]. If [***].</w:t>
      </w:r>
    </w:p>
    <w:p>
      <w:pPr>
        <w:spacing w:after="0" w:line="81" w:lineRule="exact"/>
        <w:rPr>
          <w:sz w:val="20"/>
          <w:szCs w:val="20"/>
          <w:color w:val="auto"/>
        </w:rPr>
      </w:pPr>
    </w:p>
    <w:p>
      <w:pPr>
        <w:ind w:left="540" w:right="260" w:firstLine="401"/>
        <w:spacing w:after="0" w:line="282" w:lineRule="auto"/>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color w:val="auto"/>
        </w:rPr>
        <w:t>Amgen’s rights and RBNC’s obligations under Sections 2.4.1-2.4.3 will expire in their entirety with respect to any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ROFN Transaction upon the expiration of the ROFN Period for such Proposed ROFN Transaction, [***].</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0" w:right="459" w:bottom="1440" w:gutter="0" w:footer="0" w:header="0"/>
        </w:sectPr>
      </w:pPr>
    </w:p>
    <w:bookmarkStart w:id="368" w:name="page369"/>
    <w:bookmarkEnd w:id="368"/>
    <w:p>
      <w:pPr>
        <w:jc w:val="both"/>
        <w:ind w:left="540" w:right="520" w:firstLine="40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2.4.5 </w:t>
      </w:r>
      <w:r>
        <w:rPr>
          <w:rFonts w:ascii="Arial" w:cs="Arial" w:eastAsia="Arial" w:hAnsi="Arial"/>
          <w:sz w:val="18"/>
          <w:szCs w:val="18"/>
          <w:color w:val="auto"/>
        </w:rPr>
        <w:t>For the sake of clarity, the foregoing provision shall not apply to the grant of a sublicense to a contract manufacturer or a</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research organization or other Third Party contractor solely for the purpose of manufacturing, developing or researching a Licensed Compound, Program Compound or Product for RBNC.</w:t>
      </w:r>
    </w:p>
    <w:p>
      <w:pPr>
        <w:spacing w:after="0" w:line="68" w:lineRule="exact"/>
        <w:rPr>
          <w:sz w:val="20"/>
          <w:szCs w:val="20"/>
          <w:color w:val="auto"/>
        </w:rPr>
      </w:pPr>
    </w:p>
    <w:p>
      <w:pPr>
        <w:ind w:left="540" w:firstLine="401"/>
        <w:spacing w:after="0" w:line="314" w:lineRule="auto"/>
        <w:rPr>
          <w:sz w:val="20"/>
          <w:szCs w:val="20"/>
          <w:color w:val="auto"/>
        </w:rPr>
      </w:pPr>
      <w:r>
        <w:rPr>
          <w:rFonts w:ascii="Arial" w:cs="Arial" w:eastAsia="Arial" w:hAnsi="Arial"/>
          <w:sz w:val="16"/>
          <w:szCs w:val="16"/>
          <w:b w:val="1"/>
          <w:bCs w:val="1"/>
          <w:color w:val="auto"/>
        </w:rPr>
        <w:t xml:space="preserve">2.4.6 </w:t>
      </w:r>
      <w:r>
        <w:rPr>
          <w:rFonts w:ascii="Arial" w:cs="Arial" w:eastAsia="Arial" w:hAnsi="Arial"/>
          <w:sz w:val="16"/>
          <w:szCs w:val="16"/>
          <w:color w:val="auto"/>
        </w:rPr>
        <w:t>If RBNC undergoes a Change of Control (but excluding any Change of Control resulting from an IPO) during the ROFN</w:t>
      </w:r>
      <w:r>
        <w:rPr>
          <w:rFonts w:ascii="Arial" w:cs="Arial" w:eastAsia="Arial" w:hAnsi="Arial"/>
          <w:sz w:val="16"/>
          <w:szCs w:val="16"/>
          <w:b w:val="1"/>
          <w:bCs w:val="1"/>
          <w:color w:val="auto"/>
        </w:rPr>
        <w:t xml:space="preserve"> </w:t>
      </w:r>
      <w:r>
        <w:rPr>
          <w:rFonts w:ascii="Arial" w:cs="Arial" w:eastAsia="Arial" w:hAnsi="Arial"/>
          <w:sz w:val="16"/>
          <w:szCs w:val="16"/>
          <w:color w:val="auto"/>
        </w:rPr>
        <w:t>Period, then RBNC shall notify AMGEN in writing thereof, and notwithstanding anything to the contrary in this Agreement, AMGEN will not have any rights, and RBNC will not have any obligations to AMGEN, under this Section 2.4 following the closing of such transaction.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Transfer of Licensed Know-How and Licensed Materials</w:t>
      </w:r>
      <w:r>
        <w:rPr>
          <w:rFonts w:ascii="Arial" w:cs="Arial" w:eastAsia="Arial" w:hAnsi="Arial"/>
          <w:sz w:val="18"/>
          <w:szCs w:val="18"/>
          <w:color w:val="auto"/>
        </w:rPr>
        <w:t>.</w:t>
      </w:r>
    </w:p>
    <w:p>
      <w:pPr>
        <w:spacing w:after="0" w:line="117" w:lineRule="exact"/>
        <w:rPr>
          <w:sz w:val="20"/>
          <w:szCs w:val="20"/>
          <w:color w:val="auto"/>
        </w:rPr>
      </w:pPr>
    </w:p>
    <w:p>
      <w:pPr>
        <w:ind w:left="540" w:right="20" w:firstLine="401"/>
        <w:spacing w:after="0" w:line="270" w:lineRule="auto"/>
        <w:rPr>
          <w:sz w:val="20"/>
          <w:szCs w:val="20"/>
          <w:color w:val="auto"/>
        </w:rPr>
      </w:pPr>
      <w:r>
        <w:rPr>
          <w:rFonts w:ascii="Arial" w:cs="Arial" w:eastAsia="Arial" w:hAnsi="Arial"/>
          <w:sz w:val="17"/>
          <w:szCs w:val="17"/>
          <w:b w:val="1"/>
          <w:bCs w:val="1"/>
          <w:color w:val="auto"/>
        </w:rPr>
        <w:t>2.5.1 Licensed Know-How and Licensed Materials</w:t>
      </w:r>
      <w:r>
        <w:rPr>
          <w:rFonts w:ascii="Arial" w:cs="Arial" w:eastAsia="Arial" w:hAnsi="Arial"/>
          <w:sz w:val="17"/>
          <w:szCs w:val="17"/>
          <w:color w:val="auto"/>
        </w:rPr>
        <w:t>. AMGEN shall transfer to RBNC the Licensed Know-How and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 listed on Exhibit A, in accordance with a schedule to be mutually agreed by the Parties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the Parties will use reasonable efforts to ensure such transfer is completed within [***] months after the Effective Date). The Parties acknowledge that that the transfer of documents, materials and information hereunder shall be limited to those listed or described on Exhibit A. Accordingly, AMGEN shall not have any obligation to transfer to RBNC any Licensed Know-How or Licensed Materials other than those set forth on Exhibit A. AMGEN will provide notice to RBNC when AMGEN has completed the transfer of all Licensed Know-How and Licensed Materials listed in Exhibit A. Within [***] days of receipt of such notice RBNC will provide written notice to AMGEN if RBNC is then aware of any remaining Licensed Know-How or Licensed Materials that have not been transferred. In the event that RBNC is unable to accept any Licensed Materials in such [***] month transfer period, [***]. AMGEN shall not have any obligation to deliver the Licensed Know-How and Licensed Materials to more than a single location or facility.</w:t>
      </w:r>
    </w:p>
    <w:p>
      <w:pPr>
        <w:spacing w:after="0" w:line="69" w:lineRule="exact"/>
        <w:rPr>
          <w:sz w:val="20"/>
          <w:szCs w:val="20"/>
          <w:color w:val="auto"/>
        </w:rPr>
      </w:pPr>
    </w:p>
    <w:p>
      <w:pPr>
        <w:ind w:left="540" w:right="40" w:firstLine="401"/>
        <w:spacing w:after="0" w:line="291" w:lineRule="auto"/>
        <w:rPr>
          <w:sz w:val="20"/>
          <w:szCs w:val="20"/>
          <w:color w:val="auto"/>
        </w:rPr>
      </w:pPr>
      <w:r>
        <w:rPr>
          <w:rFonts w:ascii="Arial" w:cs="Arial" w:eastAsia="Arial" w:hAnsi="Arial"/>
          <w:sz w:val="16"/>
          <w:szCs w:val="16"/>
          <w:b w:val="1"/>
          <w:bCs w:val="1"/>
          <w:color w:val="auto"/>
        </w:rPr>
        <w:t>2.5.2 Transfer Support</w:t>
      </w:r>
      <w:r>
        <w:rPr>
          <w:rFonts w:ascii="Arial" w:cs="Arial" w:eastAsia="Arial" w:hAnsi="Arial"/>
          <w:sz w:val="16"/>
          <w:szCs w:val="16"/>
          <w:color w:val="auto"/>
        </w:rPr>
        <w:t>. Notwithstanding the foregoing, if during the Term either Party identifies any Know-How or materials that</w:t>
      </w:r>
      <w:r>
        <w:rPr>
          <w:rFonts w:ascii="Arial" w:cs="Arial" w:eastAsia="Arial" w:hAnsi="Arial"/>
          <w:sz w:val="16"/>
          <w:szCs w:val="16"/>
          <w:b w:val="1"/>
          <w:bCs w:val="1"/>
          <w:color w:val="auto"/>
        </w:rPr>
        <w:t xml:space="preserve"> </w:t>
      </w:r>
      <w:r>
        <w:rPr>
          <w:rFonts w:ascii="Arial" w:cs="Arial" w:eastAsia="Arial" w:hAnsi="Arial"/>
          <w:sz w:val="16"/>
          <w:szCs w:val="16"/>
          <w:color w:val="auto"/>
        </w:rPr>
        <w:t>was not listed on Exhibit A but is reasonably necessary for the Exploitation of the Licensed Compounds, such Party shall notify the other Party in writing identifying such Know-How or material, and AMGEN shall [***] and make a determination whether to transfer to RBNC such Know-How or Material within [***] days after the receipt of notice. If AMGEN determines in good faith that such Know-How or material are reasonably necessary for the Exploitation of the Licensed Compounds and AMGEN Controls such Know-How or material to allow such transfer, then AMGEN will use [***], provided any time required beyond the [***] of Transfer Support contemplated in Section 2.5.3 will be [***]. Such Know-How or material will thereafter be considered “Licensed Know-How” under this Agreement. Any dispute with respect to the application of this Section 2.5.2 may be submitted for resolution pursuant to Section 10.4).</w:t>
      </w:r>
    </w:p>
    <w:p>
      <w:pPr>
        <w:spacing w:after="0" w:line="51" w:lineRule="exact"/>
        <w:rPr>
          <w:sz w:val="20"/>
          <w:szCs w:val="20"/>
          <w:color w:val="auto"/>
        </w:rPr>
      </w:pPr>
    </w:p>
    <w:p>
      <w:pPr>
        <w:jc w:val="both"/>
        <w:ind w:left="540" w:right="540" w:firstLine="401"/>
        <w:spacing w:after="0" w:line="266" w:lineRule="auto"/>
        <w:rPr>
          <w:sz w:val="20"/>
          <w:szCs w:val="20"/>
          <w:color w:val="auto"/>
        </w:rPr>
      </w:pPr>
      <w:r>
        <w:rPr>
          <w:rFonts w:ascii="Arial" w:cs="Arial" w:eastAsia="Arial" w:hAnsi="Arial"/>
          <w:sz w:val="18"/>
          <w:szCs w:val="18"/>
          <w:b w:val="1"/>
          <w:bCs w:val="1"/>
          <w:color w:val="auto"/>
        </w:rPr>
        <w:t>2.5.3 Technology Transfer Support</w:t>
      </w:r>
      <w:r>
        <w:rPr>
          <w:rFonts w:ascii="Arial" w:cs="Arial" w:eastAsia="Arial" w:hAnsi="Arial"/>
          <w:sz w:val="18"/>
          <w:szCs w:val="18"/>
          <w:color w:val="auto"/>
        </w:rPr>
        <w:t>. Upon written request by RBNC, AMGEN shall provide up to a total of [***] of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w:t>
      </w:r>
      <w:r>
        <w:rPr>
          <w:rFonts w:ascii="Arial" w:cs="Arial" w:eastAsia="Arial" w:hAnsi="Arial"/>
          <w:sz w:val="18"/>
          <w:szCs w:val="18"/>
          <w:b w:val="1"/>
          <w:bCs w:val="1"/>
          <w:color w:val="auto"/>
        </w:rPr>
        <w:t>Transfer Support</w:t>
      </w:r>
      <w:r>
        <w:rPr>
          <w:rFonts w:ascii="Arial" w:cs="Arial" w:eastAsia="Arial" w:hAnsi="Arial"/>
          <w:sz w:val="18"/>
          <w:szCs w:val="18"/>
          <w:color w:val="auto"/>
        </w:rPr>
        <w:t>”) to RBNC (and its Affiliates and designees) in connection with the transfer set forth in Section 2.5.1, including by providing RBNC (and its Affiliates and designees) with reasonable access by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0" w:right="459" w:bottom="1440" w:gutter="0" w:footer="0" w:header="0"/>
        </w:sectPr>
      </w:pPr>
    </w:p>
    <w:bookmarkStart w:id="369" w:name="page370"/>
    <w:bookmarkEnd w:id="369"/>
    <w:p>
      <w:pPr>
        <w:ind w:left="5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teleconference, as reasonably requested by RBNC, to personnel of AMGEN and its Affiliates familiar with the Licensed Know-How or Licensed Materials (only to the extent that such personnel are still employed by Amgen and its Affiliates at the time such access is granted by Amgen) to assist RBNC (and its Affiliates and designees) with the transfer and receipt of the Licensed Know-How and/or Licensed Materials, [***]. In the event that RBNC requests support from AMGEN beyond or in addition to the [***] of transfer support contemplated above, [***], which such support would be provided at the FTE Rate.</w:t>
      </w:r>
    </w:p>
    <w:p>
      <w:pPr>
        <w:spacing w:after="0" w:line="76" w:lineRule="exact"/>
        <w:rPr>
          <w:sz w:val="20"/>
          <w:szCs w:val="20"/>
          <w:color w:val="auto"/>
        </w:rPr>
      </w:pPr>
    </w:p>
    <w:p>
      <w:pPr>
        <w:ind w:left="540" w:right="140" w:firstLine="401"/>
        <w:spacing w:after="0" w:line="303" w:lineRule="auto"/>
        <w:rPr>
          <w:sz w:val="20"/>
          <w:szCs w:val="20"/>
          <w:color w:val="auto"/>
        </w:rPr>
      </w:pPr>
      <w:r>
        <w:rPr>
          <w:rFonts w:ascii="Arial" w:cs="Arial" w:eastAsia="Arial" w:hAnsi="Arial"/>
          <w:sz w:val="16"/>
          <w:szCs w:val="16"/>
          <w:b w:val="1"/>
          <w:bCs w:val="1"/>
          <w:color w:val="auto"/>
        </w:rPr>
        <w:t xml:space="preserve">2.5.4 Experimental Materials. </w:t>
      </w:r>
      <w:r>
        <w:rPr>
          <w:rFonts w:ascii="Arial" w:cs="Arial" w:eastAsia="Arial" w:hAnsi="Arial"/>
          <w:sz w:val="16"/>
          <w:szCs w:val="16"/>
          <w:color w:val="auto"/>
        </w:rPr>
        <w:t>RBNC acknowledges that any Licensed Materials transferred by AMGEN to RBNC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are experimental in nature and may have unknown characteristics (including hazardous and toxicological properties) and therefore agrees to use prudence and reasonable care in the use, handling, storage, transportation and disposition and containment of any such materials. Accordingly, no such materials shall be used in any human application, including any clinical trial.</w:t>
      </w:r>
    </w:p>
    <w:p>
      <w:pPr>
        <w:spacing w:after="0" w:line="43"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Section 2.6 No Other Rights. </w:t>
      </w:r>
      <w:r>
        <w:rPr>
          <w:rFonts w:ascii="Arial" w:cs="Arial" w:eastAsia="Arial" w:hAnsi="Arial"/>
          <w:sz w:val="17"/>
          <w:szCs w:val="17"/>
          <w:color w:val="auto"/>
        </w:rPr>
        <w:t>The Parties acknowledge that the rights and licenses granted under this Article 2 (License Grant) and elsewhere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are limited to the scope expressly granted. Accordingly, except for the rights expressly granted under this Agreement, no right, title, or interest of any nature whatsoever is granted whether by implication, estoppel, reliance, or otherwise, by either Party to the other Party. All rights that are not specifically granted herein are reserved to the Party that Controls such rights.</w:t>
      </w:r>
    </w:p>
    <w:p>
      <w:pPr>
        <w:spacing w:after="0" w:line="38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ARTICLE 3. MILESTONES, ROYALTIES AND PAYMENTS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Section 3.1 Milestone Payments. </w:t>
      </w:r>
      <w:r>
        <w:rPr>
          <w:rFonts w:ascii="Arial" w:cs="Arial" w:eastAsia="Arial" w:hAnsi="Arial"/>
          <w:sz w:val="17"/>
          <w:szCs w:val="17"/>
          <w:color w:val="auto"/>
        </w:rPr>
        <w:t>As partial consideration for the rights granted to RBNC hereunder, RBNC shall pay AMGEN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non-creditable, non-refundable milestone payments on a Product-by-Product basis (described in the table below under the column “Milestone Payment”). Each such payment is a “</w:t>
      </w:r>
      <w:r>
        <w:rPr>
          <w:rFonts w:ascii="Arial" w:cs="Arial" w:eastAsia="Arial" w:hAnsi="Arial"/>
          <w:sz w:val="17"/>
          <w:szCs w:val="17"/>
          <w:b w:val="1"/>
          <w:bCs w:val="1"/>
          <w:color w:val="auto"/>
        </w:rPr>
        <w:t>Milestone Payment</w:t>
      </w:r>
      <w:r>
        <w:rPr>
          <w:rFonts w:ascii="Arial" w:cs="Arial" w:eastAsia="Arial" w:hAnsi="Arial"/>
          <w:sz w:val="17"/>
          <w:szCs w:val="17"/>
          <w:color w:val="auto"/>
        </w:rPr>
        <w:t>” and each such commercial milestone event, a “</w:t>
      </w:r>
      <w:r>
        <w:rPr>
          <w:rFonts w:ascii="Arial" w:cs="Arial" w:eastAsia="Arial" w:hAnsi="Arial"/>
          <w:sz w:val="17"/>
          <w:szCs w:val="17"/>
          <w:b w:val="1"/>
          <w:bCs w:val="1"/>
          <w:color w:val="auto"/>
        </w:rPr>
        <w:t>Milestone</w:t>
      </w:r>
      <w:r>
        <w:rPr>
          <w:rFonts w:ascii="Arial" w:cs="Arial" w:eastAsia="Arial" w:hAnsi="Arial"/>
          <w:sz w:val="17"/>
          <w:szCs w:val="17"/>
          <w:color w:val="auto"/>
        </w:rPr>
        <w:t>”. Each Milestone Payment shall be payable when the relevant Milestone is first achieved by RBNC or its Affiliates or its Sublicensees for such Product. RBNC shall include written notice of achievement of each Milestone within [***] days following the end of the Calendar Quarter in which such Milestone is achieved in the quarterly report provided to AMGEN under Section 3.5. RBNC shall make the corresponding Milestone Payment to AMGEN coincident with payment of royalties for such Calendar Quarter pursuant to Section 3.2.1.</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w w:val="93"/>
              </w:rPr>
              <w:t>Commercial</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23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6"/>
              </w:rPr>
              <w:t>Milestone</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Milestone</w:t>
            </w:r>
          </w:p>
        </w:tc>
      </w:tr>
      <w:tr>
        <w:trPr>
          <w:trHeight w:val="167"/>
        </w:trPr>
        <w:tc>
          <w:tcPr>
            <w:tcW w:w="23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Event</w:t>
            </w: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Payment</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w:t>
            </w:r>
          </w:p>
        </w:tc>
        <w:tc>
          <w:tcPr>
            <w:tcW w:w="4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2</w:t>
            </w:r>
          </w:p>
        </w:tc>
        <w:tc>
          <w:tcPr>
            <w:tcW w:w="5420" w:type="dxa"/>
            <w:vAlign w:val="bottom"/>
            <w:gridSpan w:val="3"/>
          </w:tcPr>
          <w:p>
            <w:pPr>
              <w:ind w:left="4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5420" w:type="dxa"/>
            <w:vAlign w:val="bottom"/>
            <w:gridSpan w:val="3"/>
            <w:shd w:val="clear" w:color="auto" w:fill="CCEEFF"/>
          </w:tcPr>
          <w:p>
            <w:pPr>
              <w:ind w:left="4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4</w:t>
            </w:r>
          </w:p>
        </w:tc>
        <w:tc>
          <w:tcPr>
            <w:tcW w:w="5420" w:type="dxa"/>
            <w:vAlign w:val="bottom"/>
            <w:gridSpan w:val="3"/>
          </w:tcPr>
          <w:p>
            <w:pPr>
              <w:ind w:left="4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5420" w:type="dxa"/>
            <w:vAlign w:val="bottom"/>
            <w:gridSpan w:val="3"/>
            <w:shd w:val="clear" w:color="auto" w:fill="CCEEFF"/>
          </w:tcPr>
          <w:p>
            <w:pPr>
              <w:ind w:left="4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w:t>
            </w:r>
          </w:p>
        </w:tc>
        <w:tc>
          <w:tcPr>
            <w:tcW w:w="4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0"/>
        </w:trPr>
        <w:tc>
          <w:tcPr>
            <w:tcW w:w="2320" w:type="dxa"/>
            <w:vAlign w:val="bottom"/>
          </w:tcPr>
          <w:p>
            <w:pPr>
              <w:spacing w:after="0"/>
              <w:rPr>
                <w:sz w:val="24"/>
                <w:szCs w:val="24"/>
                <w:color w:val="auto"/>
              </w:rPr>
            </w:pPr>
          </w:p>
        </w:tc>
        <w:tc>
          <w:tcPr>
            <w:tcW w:w="4180" w:type="dxa"/>
            <w:vAlign w:val="bottom"/>
          </w:tcPr>
          <w:p>
            <w:pPr>
              <w:jc w:val="right"/>
              <w:ind w:right="1830"/>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20"/>
          </w:cols>
          <w:pgMar w:left="880" w:top="274" w:right="49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3.2 Royalties</w:t>
      </w:r>
      <w:r>
        <w:rPr>
          <w:rFonts w:ascii="Arial" w:cs="Arial" w:eastAsia="Arial" w:hAnsi="Arial"/>
          <w:sz w:val="18"/>
          <w:szCs w:val="18"/>
          <w:color w:val="auto"/>
        </w:rPr>
        <w:t>.</w:t>
      </w:r>
    </w:p>
    <w:p>
      <w:pPr>
        <w:spacing w:after="0" w:line="117" w:lineRule="exact"/>
        <w:rPr>
          <w:sz w:val="20"/>
          <w:szCs w:val="20"/>
          <w:color w:val="auto"/>
        </w:rPr>
      </w:pPr>
    </w:p>
    <w:p>
      <w:pPr>
        <w:ind w:left="540" w:right="220" w:firstLine="401"/>
        <w:spacing w:after="0" w:line="312" w:lineRule="auto"/>
        <w:rPr>
          <w:sz w:val="20"/>
          <w:szCs w:val="20"/>
          <w:color w:val="auto"/>
        </w:rPr>
      </w:pPr>
      <w:r>
        <w:rPr>
          <w:rFonts w:ascii="Arial" w:cs="Arial" w:eastAsia="Arial" w:hAnsi="Arial"/>
          <w:sz w:val="17"/>
          <w:szCs w:val="17"/>
          <w:b w:val="1"/>
          <w:bCs w:val="1"/>
          <w:color w:val="auto"/>
        </w:rPr>
        <w:t xml:space="preserve">3.2.1 Royalty Rate; Royalty Term. </w:t>
      </w:r>
      <w:r>
        <w:rPr>
          <w:rFonts w:ascii="Arial" w:cs="Arial" w:eastAsia="Arial" w:hAnsi="Arial"/>
          <w:sz w:val="17"/>
          <w:szCs w:val="17"/>
          <w:color w:val="auto"/>
        </w:rPr>
        <w:t>On a Product-by-Product basis, RBNC shall pay to AMGEN the following tiered royalties on</w:t>
      </w:r>
      <w:r>
        <w:rPr>
          <w:rFonts w:ascii="Arial" w:cs="Arial" w:eastAsia="Arial" w:hAnsi="Arial"/>
          <w:sz w:val="17"/>
          <w:szCs w:val="17"/>
          <w:b w:val="1"/>
          <w:bCs w:val="1"/>
          <w:color w:val="auto"/>
        </w:rPr>
        <w:t xml:space="preserve"> </w:t>
      </w:r>
      <w:r>
        <w:rPr>
          <w:rFonts w:ascii="Arial" w:cs="Arial" w:eastAsia="Arial" w:hAnsi="Arial"/>
          <w:sz w:val="17"/>
          <w:szCs w:val="17"/>
          <w:color w:val="auto"/>
        </w:rPr>
        <w:t>annual Net Sales in the Territory of each Product sold by a Selling Party during the Royalty Term applicable to such Product:</w:t>
      </w:r>
    </w:p>
    <w:p>
      <w:pPr>
        <w:spacing w:after="0" w:line="36" w:lineRule="exact"/>
        <w:rPr>
          <w:sz w:val="20"/>
          <w:szCs w:val="20"/>
          <w:color w:val="auto"/>
        </w:rPr>
      </w:pPr>
    </w:p>
    <w:p>
      <w:pPr>
        <w:ind w:left="1780" w:hanging="241"/>
        <w:spacing w:after="0"/>
        <w:tabs>
          <w:tab w:leader="none" w:pos="17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of the portion of annual Net Sales of such Product in the Territory less than [***];</w:t>
      </w:r>
    </w:p>
    <w:p>
      <w:pPr>
        <w:spacing w:after="0" w:line="117" w:lineRule="exact"/>
        <w:rPr>
          <w:rFonts w:ascii="Arial" w:cs="Arial" w:eastAsia="Arial" w:hAnsi="Arial"/>
          <w:sz w:val="18"/>
          <w:szCs w:val="18"/>
          <w:color w:val="auto"/>
        </w:rPr>
      </w:pPr>
    </w:p>
    <w:p>
      <w:pPr>
        <w:ind w:left="1800" w:hanging="261"/>
        <w:spacing w:after="0"/>
        <w:tabs>
          <w:tab w:leader="none" w:pos="18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of the portion of annual Net Sales of such Product in the Territory greater than or equal to [***] but less than [***];</w:t>
      </w:r>
    </w:p>
    <w:p>
      <w:pPr>
        <w:spacing w:after="0" w:line="140" w:lineRule="exact"/>
        <w:rPr>
          <w:rFonts w:ascii="Arial" w:cs="Arial" w:eastAsia="Arial" w:hAnsi="Arial"/>
          <w:sz w:val="16"/>
          <w:szCs w:val="16"/>
          <w:color w:val="auto"/>
        </w:rPr>
      </w:pPr>
    </w:p>
    <w:p>
      <w:pPr>
        <w:ind w:left="1780" w:hanging="241"/>
        <w:spacing w:after="0"/>
        <w:tabs>
          <w:tab w:leader="none" w:pos="17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of the portion of annual Net Sales of such Product in the Territory greater than or equal to [***] but less than [***];</w:t>
      </w:r>
    </w:p>
    <w:p>
      <w:pPr>
        <w:spacing w:after="0" w:line="140" w:lineRule="exact"/>
        <w:rPr>
          <w:rFonts w:ascii="Arial" w:cs="Arial" w:eastAsia="Arial" w:hAnsi="Arial"/>
          <w:sz w:val="16"/>
          <w:szCs w:val="16"/>
          <w:color w:val="auto"/>
        </w:rPr>
      </w:pPr>
    </w:p>
    <w:p>
      <w:pPr>
        <w:ind w:left="1800" w:hanging="261"/>
        <w:spacing w:after="0"/>
        <w:tabs>
          <w:tab w:leader="none" w:pos="18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of the portion of annual Net Sales of such Product in the Territory that is equal to or greater than [***].</w:t>
      </w:r>
    </w:p>
    <w:p>
      <w:pPr>
        <w:spacing w:after="0" w:line="117" w:lineRule="exact"/>
        <w:rPr>
          <w:sz w:val="20"/>
          <w:szCs w:val="20"/>
          <w:color w:val="auto"/>
        </w:rPr>
      </w:pPr>
    </w:p>
    <w:p>
      <w:pPr>
        <w:ind w:left="540" w:right="240"/>
        <w:spacing w:after="0" w:line="287" w:lineRule="auto"/>
        <w:rPr>
          <w:sz w:val="20"/>
          <w:szCs w:val="20"/>
          <w:color w:val="auto"/>
        </w:rPr>
      </w:pPr>
      <w:r>
        <w:rPr>
          <w:rFonts w:ascii="Arial" w:cs="Arial" w:eastAsia="Arial" w:hAnsi="Arial"/>
          <w:sz w:val="16"/>
          <w:szCs w:val="16"/>
          <w:color w:val="auto"/>
        </w:rPr>
        <w:t>Royalties will be payable on a quarterly basis within [***] days after the end of the Calendar Quarter during which the applicable Net Sales occurred. RBNC’s obligation to pay royalties with respect to each Product in a particular country shall commence upon the First Commercial Sale of such Product in such country and shall expire on a country-by-country and Product-by-Product basis on the later of</w:t>
      </w:r>
    </w:p>
    <w:p>
      <w:pPr>
        <w:spacing w:after="0" w:line="2" w:lineRule="exact"/>
        <w:rPr>
          <w:sz w:val="20"/>
          <w:szCs w:val="20"/>
          <w:color w:val="auto"/>
        </w:rPr>
      </w:pPr>
    </w:p>
    <w:p>
      <w:pPr>
        <w:ind w:left="540" w:firstLine="7"/>
        <w:spacing w:after="0" w:line="255" w:lineRule="auto"/>
        <w:tabs>
          <w:tab w:leader="none" w:pos="78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date on which the Exploitation of such Product is no longer Covered by a Valid Claim of a Program Patent, Licensed Patent or Joint Patent that claims the composition of matter of the CK1d Directed Compound included in such Product in such country, or (b) the tenth (10</w:t>
      </w:r>
      <w:r>
        <w:rPr>
          <w:rFonts w:ascii="Arial" w:cs="Arial" w:eastAsia="Arial" w:hAnsi="Arial"/>
          <w:sz w:val="15"/>
          <w:szCs w:val="15"/>
          <w:color w:val="auto"/>
        </w:rPr>
        <w:t>th</w:t>
      </w:r>
      <w:r>
        <w:rPr>
          <w:rFonts w:ascii="Arial" w:cs="Arial" w:eastAsia="Arial" w:hAnsi="Arial"/>
          <w:sz w:val="18"/>
          <w:szCs w:val="18"/>
          <w:color w:val="auto"/>
        </w:rPr>
        <w:t>) anniversary of the First Commercial Sale of such Product in such country (the “</w:t>
      </w:r>
      <w:r>
        <w:rPr>
          <w:rFonts w:ascii="Arial" w:cs="Arial" w:eastAsia="Arial" w:hAnsi="Arial"/>
          <w:sz w:val="18"/>
          <w:szCs w:val="18"/>
          <w:b w:val="1"/>
          <w:bCs w:val="1"/>
          <w:color w:val="auto"/>
        </w:rPr>
        <w:t>Royalty Term</w:t>
      </w:r>
      <w:r>
        <w:rPr>
          <w:rFonts w:ascii="Arial" w:cs="Arial" w:eastAsia="Arial" w:hAnsi="Arial"/>
          <w:sz w:val="18"/>
          <w:szCs w:val="18"/>
          <w:color w:val="auto"/>
        </w:rPr>
        <w:t>”).</w:t>
      </w:r>
    </w:p>
    <w:p>
      <w:pPr>
        <w:spacing w:after="0" w:line="8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3.2.2 Royalty Reductions.</w:t>
      </w:r>
    </w:p>
    <w:p>
      <w:pPr>
        <w:spacing w:after="0" w:line="113" w:lineRule="exact"/>
        <w:rPr>
          <w:sz w:val="20"/>
          <w:szCs w:val="20"/>
          <w:color w:val="auto"/>
        </w:rPr>
      </w:pPr>
    </w:p>
    <w:p>
      <w:pPr>
        <w:jc w:val="both"/>
        <w:ind w:left="1540" w:right="140" w:hanging="1"/>
        <w:spacing w:after="0" w:line="277" w:lineRule="auto"/>
        <w:tabs>
          <w:tab w:leader="none" w:pos="1784" w:val="left"/>
        </w:tabs>
        <w:numPr>
          <w:ilvl w:val="0"/>
          <w:numId w:val="219"/>
        </w:numPr>
        <w:rPr>
          <w:rFonts w:ascii="Arial" w:cs="Arial" w:eastAsia="Arial" w:hAnsi="Arial"/>
          <w:sz w:val="17"/>
          <w:szCs w:val="17"/>
          <w:color w:val="auto"/>
        </w:rPr>
      </w:pPr>
      <w:r>
        <w:rPr>
          <w:rFonts w:ascii="Arial" w:cs="Arial" w:eastAsia="Arial" w:hAnsi="Arial"/>
          <w:sz w:val="17"/>
          <w:szCs w:val="17"/>
          <w:b w:val="1"/>
          <w:bCs w:val="1"/>
          <w:color w:val="auto"/>
        </w:rPr>
        <w:t>Patent Expiry</w:t>
      </w:r>
      <w:r>
        <w:rPr>
          <w:rFonts w:ascii="Arial" w:cs="Arial" w:eastAsia="Arial" w:hAnsi="Arial"/>
          <w:sz w:val="17"/>
          <w:szCs w:val="17"/>
          <w:color w:val="auto"/>
        </w:rPr>
        <w:t>. On a country-by-country basis, in the event that the Exploitation of a Product is not Covered by a Valid</w:t>
      </w:r>
      <w:r>
        <w:rPr>
          <w:rFonts w:ascii="Arial" w:cs="Arial" w:eastAsia="Arial" w:hAnsi="Arial"/>
          <w:sz w:val="17"/>
          <w:szCs w:val="17"/>
          <w:b w:val="1"/>
          <w:bCs w:val="1"/>
          <w:color w:val="auto"/>
        </w:rPr>
        <w:t xml:space="preserve"> </w:t>
      </w:r>
      <w:r>
        <w:rPr>
          <w:rFonts w:ascii="Arial" w:cs="Arial" w:eastAsia="Arial" w:hAnsi="Arial"/>
          <w:sz w:val="17"/>
          <w:szCs w:val="17"/>
          <w:color w:val="auto"/>
        </w:rPr>
        <w:t>Claim of a [***] of the CK1d Directed Compound in such country, then the royalty rates set forth in Section 3.2.1 (Royalty Rate; Royalty Term) with respect to Net Sales for such Product in such country shall be reduced by [***] (e.g., the royalty rates would be reduced to [***], depending on royalty tier), effective as of the date such Product is no longer Covered by a Valid Claim of a [***] of the CK1d Directed Compound, in such country.</w:t>
      </w:r>
    </w:p>
    <w:p>
      <w:pPr>
        <w:spacing w:after="0" w:line="59" w:lineRule="exact"/>
        <w:rPr>
          <w:rFonts w:ascii="Arial" w:cs="Arial" w:eastAsia="Arial" w:hAnsi="Arial"/>
          <w:sz w:val="17"/>
          <w:szCs w:val="17"/>
          <w:color w:val="auto"/>
        </w:rPr>
      </w:pPr>
    </w:p>
    <w:p>
      <w:pPr>
        <w:ind w:left="1540" w:right="20" w:hanging="1"/>
        <w:spacing w:after="0" w:line="294" w:lineRule="auto"/>
        <w:tabs>
          <w:tab w:leader="none" w:pos="1795" w:val="left"/>
        </w:tabs>
        <w:numPr>
          <w:ilvl w:val="0"/>
          <w:numId w:val="219"/>
        </w:numPr>
        <w:rPr>
          <w:rFonts w:ascii="Arial" w:cs="Arial" w:eastAsia="Arial" w:hAnsi="Arial"/>
          <w:sz w:val="16"/>
          <w:szCs w:val="16"/>
          <w:color w:val="auto"/>
        </w:rPr>
      </w:pPr>
      <w:r>
        <w:rPr>
          <w:rFonts w:ascii="Arial" w:cs="Arial" w:eastAsia="Arial" w:hAnsi="Arial"/>
          <w:sz w:val="16"/>
          <w:szCs w:val="16"/>
          <w:b w:val="1"/>
          <w:bCs w:val="1"/>
          <w:color w:val="auto"/>
        </w:rPr>
        <w:t>Generic Entry</w:t>
      </w:r>
      <w:r>
        <w:rPr>
          <w:rFonts w:ascii="Arial" w:cs="Arial" w:eastAsia="Arial" w:hAnsi="Arial"/>
          <w:sz w:val="16"/>
          <w:szCs w:val="16"/>
          <w:color w:val="auto"/>
        </w:rPr>
        <w:t>. On a country-by-country basis, in the event that one or more Generic Products to a Product is launched</w:t>
      </w:r>
      <w:r>
        <w:rPr>
          <w:rFonts w:ascii="Arial" w:cs="Arial" w:eastAsia="Arial" w:hAnsi="Arial"/>
          <w:sz w:val="16"/>
          <w:szCs w:val="16"/>
          <w:b w:val="1"/>
          <w:bCs w:val="1"/>
          <w:color w:val="auto"/>
        </w:rPr>
        <w:t xml:space="preserve"> </w:t>
      </w:r>
      <w:r>
        <w:rPr>
          <w:rFonts w:ascii="Arial" w:cs="Arial" w:eastAsia="Arial" w:hAnsi="Arial"/>
          <w:sz w:val="16"/>
          <w:szCs w:val="16"/>
          <w:color w:val="auto"/>
        </w:rPr>
        <w:t>in any country in the Territory during the Royalty Term for such Product in such country, and the average quarterly Net Sales of such Product in such country during any subsequent [***] Calendar Quarters decrease by more than [***] of the average quarterly Net Sales of such Product in such country during the [***] Calendar Quarters immediately preceding the Calendar Quarter in which the first Generic Product is launched in such country, the royalty rates provided in Section 3.2.1 for such Product shall be reduced in such country by [***] (e.g., to [***], as applicable) for each Calendar</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0" w:right="459" w:bottom="1440" w:gutter="0" w:footer="0" w:header="0"/>
        </w:sectPr>
      </w:pPr>
    </w:p>
    <w:bookmarkStart w:id="371" w:name="page372"/>
    <w:bookmarkEnd w:id="371"/>
    <w:p>
      <w:pPr>
        <w:jc w:val="both"/>
        <w:ind w:left="1540"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Quarter in the remainder of such Royalty Term. For the purposes of this Section 3.2.2(b), the term “launched” shall refer to both the listing of a wholesale acquisition cost (WAC) price for the Generic Product on the applicable pricing compendium and the conduct of sales with respect to such Generic Product.</w:t>
      </w:r>
    </w:p>
    <w:p>
      <w:pPr>
        <w:spacing w:after="0" w:line="72" w:lineRule="exact"/>
        <w:rPr>
          <w:sz w:val="20"/>
          <w:szCs w:val="20"/>
          <w:color w:val="auto"/>
        </w:rPr>
      </w:pPr>
    </w:p>
    <w:p>
      <w:pPr>
        <w:ind w:left="540" w:firstLine="401"/>
        <w:spacing w:after="0" w:line="254" w:lineRule="auto"/>
        <w:rPr>
          <w:sz w:val="20"/>
          <w:szCs w:val="20"/>
          <w:color w:val="auto"/>
        </w:rPr>
      </w:pPr>
      <w:r>
        <w:rPr>
          <w:rFonts w:ascii="Arial" w:cs="Arial" w:eastAsia="Arial" w:hAnsi="Arial"/>
          <w:sz w:val="18"/>
          <w:szCs w:val="18"/>
          <w:b w:val="1"/>
          <w:bCs w:val="1"/>
          <w:color w:val="auto"/>
        </w:rPr>
        <w:t>3.2.3 Third Party Royalties</w:t>
      </w:r>
      <w:r>
        <w:rPr>
          <w:rFonts w:ascii="Arial" w:cs="Arial" w:eastAsia="Arial" w:hAnsi="Arial"/>
          <w:sz w:val="18"/>
          <w:szCs w:val="18"/>
          <w:color w:val="auto"/>
        </w:rPr>
        <w:t>. If RBNC, its Affiliates or any Sublicensee is required by (a) an order by a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(b) settlement agreement, (c) license or contract, or (d) other legally binding commitment to make royalty payments to a Third Party, in each case in exchange for a license or other right under Patent Rights held by such Third Party and such license or other rights are necessary for the Exploitation of any Licensed Compound in a given country, then RBNC shall be entitled to deduct from royalties due to AMGEN under this Agreement with respect to Net Sales of all Products containing such Licensed Compound in a given Calendar Quarter in each such country an amount equal to [***] of the royalties actually paid to such Third Party in such Calendar Quarter as consideration for such license under such Patent Rights, up to a maximum amount of [***] of the royalties due to AMGEN in each affected country in such Calendar Quarter,</w:t>
      </w:r>
    </w:p>
    <w:p>
      <w:pPr>
        <w:spacing w:after="0" w:line="84" w:lineRule="exact"/>
        <w:rPr>
          <w:sz w:val="20"/>
          <w:szCs w:val="20"/>
          <w:color w:val="auto"/>
        </w:rPr>
      </w:pPr>
    </w:p>
    <w:p>
      <w:pPr>
        <w:ind w:left="540" w:right="120" w:firstLine="401"/>
        <w:spacing w:after="0" w:line="261" w:lineRule="auto"/>
        <w:rPr>
          <w:sz w:val="20"/>
          <w:szCs w:val="20"/>
          <w:color w:val="auto"/>
        </w:rPr>
      </w:pPr>
      <w:r>
        <w:rPr>
          <w:rFonts w:ascii="Arial" w:cs="Arial" w:eastAsia="Arial" w:hAnsi="Arial"/>
          <w:sz w:val="18"/>
          <w:szCs w:val="18"/>
          <w:b w:val="1"/>
          <w:bCs w:val="1"/>
          <w:color w:val="auto"/>
        </w:rPr>
        <w:t xml:space="preserve">3.2.4 Maximum Reduction. </w:t>
      </w:r>
      <w:r>
        <w:rPr>
          <w:rFonts w:ascii="Arial" w:cs="Arial" w:eastAsia="Arial" w:hAnsi="Arial"/>
          <w:sz w:val="18"/>
          <w:szCs w:val="18"/>
          <w:color w:val="auto"/>
        </w:rPr>
        <w:t>Notwithstanding anything to the contrary, the reductions with respect to any Product in any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during the applicable Royalty Term in any country pursuant to Section 3.2.2 (Royalty Reductions) and Section 3.2.3 (Third Party Royalties) shall not reduce the royalty rate provided in Section 3.2.1 by more than [***] in the aggregate (i.e., the royalty rate shall be no lower than [***], depending on royalty tier).</w:t>
      </w:r>
    </w:p>
    <w:p>
      <w:pPr>
        <w:spacing w:after="0" w:line="72" w:lineRule="exact"/>
        <w:rPr>
          <w:sz w:val="20"/>
          <w:szCs w:val="20"/>
          <w:color w:val="auto"/>
        </w:rPr>
      </w:pPr>
    </w:p>
    <w:p>
      <w:pPr>
        <w:ind w:left="540" w:right="20" w:firstLine="401"/>
        <w:spacing w:after="0" w:line="266" w:lineRule="auto"/>
        <w:rPr>
          <w:sz w:val="20"/>
          <w:szCs w:val="20"/>
          <w:color w:val="auto"/>
        </w:rPr>
      </w:pPr>
      <w:r>
        <w:rPr>
          <w:rFonts w:ascii="Arial" w:cs="Arial" w:eastAsia="Arial" w:hAnsi="Arial"/>
          <w:sz w:val="18"/>
          <w:szCs w:val="18"/>
          <w:b w:val="1"/>
          <w:bCs w:val="1"/>
          <w:color w:val="auto"/>
        </w:rPr>
        <w:t xml:space="preserve">3.2.5 Mutual Convenience of the Parties. </w:t>
      </w:r>
      <w:r>
        <w:rPr>
          <w:rFonts w:ascii="Arial" w:cs="Arial" w:eastAsia="Arial" w:hAnsi="Arial"/>
          <w:sz w:val="18"/>
          <w:szCs w:val="18"/>
          <w:color w:val="auto"/>
        </w:rPr>
        <w:t>The royalty and other payment obligations set forth hereunder have been agreed to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for the purpose of reflecting and advancing their mutual convenience, including the ease of calculating and paying royalties and other amounts to AMGEN.</w:t>
      </w:r>
    </w:p>
    <w:p>
      <w:pPr>
        <w:spacing w:after="0" w:line="6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Section 3.3 Sublicensing Income</w:t>
      </w:r>
      <w:r>
        <w:rPr>
          <w:rFonts w:ascii="Arial" w:cs="Arial" w:eastAsia="Arial" w:hAnsi="Arial"/>
          <w:sz w:val="16"/>
          <w:szCs w:val="16"/>
          <w:color w:val="auto"/>
        </w:rPr>
        <w:t>. Without limiting the payment obligations set forth in Section 3.1 (Milestone Payments) and Section 3.2</w:t>
      </w:r>
      <w:r>
        <w:rPr>
          <w:rFonts w:ascii="Arial" w:cs="Arial" w:eastAsia="Arial" w:hAnsi="Arial"/>
          <w:sz w:val="16"/>
          <w:szCs w:val="16"/>
          <w:b w:val="1"/>
          <w:bCs w:val="1"/>
          <w:color w:val="auto"/>
        </w:rPr>
        <w:t xml:space="preserve"> </w:t>
      </w:r>
      <w:r>
        <w:rPr>
          <w:rFonts w:ascii="Arial" w:cs="Arial" w:eastAsia="Arial" w:hAnsi="Arial"/>
          <w:sz w:val="16"/>
          <w:szCs w:val="16"/>
          <w:color w:val="auto"/>
        </w:rPr>
        <w:t>(Royalties), in the event that RBNC enters into a Sublicense Agreement prior to the second anniversary of the Effective Date, then RBNC shall promptly notify AMGEN in writing and RBNC shall pay to AMGEN [***] of (a) any amounts paid to RBNC by such Sublicensee under such Sublicense Agreement in consideration for the rights licensed to Sublicensee with respect to RBNC’s CK1d program, whether in the form of cash, up-front fees (including any fees paid in installments), milestone payments and other sales-based payments or otherwise and (b) the fair market value of any other consideration received by RBNC under such Sublicense Agreement in consideration for the rights licensed to Sublicensee with respect to RBNC’s CK1d program ((a) and (b) collectively, “</w:t>
      </w:r>
      <w:r>
        <w:rPr>
          <w:rFonts w:ascii="Arial" w:cs="Arial" w:eastAsia="Arial" w:hAnsi="Arial"/>
          <w:sz w:val="16"/>
          <w:szCs w:val="16"/>
          <w:b w:val="1"/>
          <w:bCs w:val="1"/>
          <w:color w:val="auto"/>
        </w:rPr>
        <w:t>Sublicense Income”</w:t>
      </w:r>
      <w:r>
        <w:rPr>
          <w:rFonts w:ascii="Arial" w:cs="Arial" w:eastAsia="Arial" w:hAnsi="Arial"/>
          <w:sz w:val="16"/>
          <w:szCs w:val="16"/>
          <w:color w:val="auto"/>
        </w:rPr>
        <w:t xml:space="preserve"> and such amounts payable to Amgen, “</w:t>
      </w:r>
      <w:r>
        <w:rPr>
          <w:rFonts w:ascii="Arial" w:cs="Arial" w:eastAsia="Arial" w:hAnsi="Arial"/>
          <w:sz w:val="16"/>
          <w:szCs w:val="16"/>
          <w:b w:val="1"/>
          <w:bCs w:val="1"/>
          <w:color w:val="auto"/>
        </w:rPr>
        <w:t>Sublicense</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w:t>
      </w:r>
      <w:r>
        <w:rPr>
          <w:rFonts w:ascii="Arial" w:cs="Arial" w:eastAsia="Arial" w:hAnsi="Arial"/>
          <w:sz w:val="16"/>
          <w:szCs w:val="16"/>
          <w:color w:val="auto"/>
        </w:rPr>
        <w:t>”), but in all cases excluding (i) royalties paid to RBNC by any Sublicensee with respect to “net sales” of Products; (ii) any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by a Sublicensee to RBNC that are attributed to the fair market value of the provision of goods and services by RBNC to such Sublicensee (including research and development funding); (iii) payments for equity or debt securities of or by RBNC (but solely to the extent that such payment is at a price equal to or less than one hundred percent (100%) of the fair market value of such securities at the date of</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80" w:top="274" w:right="459" w:bottom="1440" w:gutter="0" w:footer="0" w:header="0"/>
        </w:sectPr>
      </w:pPr>
    </w:p>
    <w:bookmarkStart w:id="372" w:name="page373"/>
    <w:bookmarkEnd w:id="372"/>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and (iv) payment for or reimbursement of patent prosecution, filing and maintenance costs actually incurred by RBNC. The Milestone Payments listed in Section 3.1 (Milestone Payments) that are paid to AMGEN for a Product under this Agreement shall be deductible from Sublicense Income that constitutes [***] owed to RBNC under a Sublicense for such Product in the calculation of Sublicense Consideration payable in accordance with this Section 3.3. RBNC shall not attempt to reduce compensation rightly due to AMGEN under this Section 3.3 (Sublicensing Income) by shifting compensation otherwise payable to RBNC from a Third Party with respect to the Product to another product or service for which no amounts are payable under this Section 3.3 (Sublicensing Income).</w:t>
      </w:r>
    </w:p>
    <w:p>
      <w:pPr>
        <w:spacing w:after="0" w:line="66"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 xml:space="preserve">Section 3.4 Method of Payment . </w:t>
      </w:r>
      <w:r>
        <w:rPr>
          <w:rFonts w:ascii="Arial" w:cs="Arial" w:eastAsia="Arial" w:hAnsi="Arial"/>
          <w:sz w:val="16"/>
          <w:szCs w:val="16"/>
          <w:color w:val="auto"/>
        </w:rPr>
        <w:t>Unless otherwise agreed by the Parties, all payments due from RBNC to AMGEN under this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paid in United States Dollars by wire transfer or electronic funds transfer of immediately available funds to the following account:</w:t>
      </w:r>
    </w:p>
    <w:p>
      <w:pPr>
        <w:spacing w:after="0" w:line="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Beneficiary Name: [***]</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Beneficiary Account #: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Bank Name: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Swift Code: [***]</w:t>
      </w:r>
    </w:p>
    <w:p>
      <w:pPr>
        <w:spacing w:after="0" w:line="99"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Section 3.5 Royalty Reports . </w:t>
      </w:r>
      <w:r>
        <w:rPr>
          <w:rFonts w:ascii="Arial" w:cs="Arial" w:eastAsia="Arial" w:hAnsi="Arial"/>
          <w:sz w:val="17"/>
          <w:szCs w:val="17"/>
          <w:color w:val="auto"/>
        </w:rPr>
        <w:t>After the First Commercial Sale of the first Product and until expiration of the last Royalty Term, RBNC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prepare and deliver to AMGEN royalty reports of the sale of the Products by the Selling Parties for each Calendar Quarter within [***] days of the end of each such Calendar Quarter specifying in the aggregate and on a Product-by-Product and country-by-country basis: (a) total gross amounts for each Product sold or otherwise disposed of by a Selling Party; (b) amounts deducted by category in accordance with the definition of “Net Sales” in Article 1 (Definitions) from gross amounts to calculate Net Sales; (c) Net Sales; and (d) royalties payable.</w:t>
      </w:r>
    </w:p>
    <w:p>
      <w:pPr>
        <w:spacing w:after="0" w:line="6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Section 3.6 Clarification of Products. </w:t>
      </w:r>
      <w:r>
        <w:rPr>
          <w:rFonts w:ascii="Arial" w:cs="Arial" w:eastAsia="Arial" w:hAnsi="Arial"/>
          <w:sz w:val="18"/>
          <w:szCs w:val="18"/>
          <w:color w:val="auto"/>
        </w:rPr>
        <w:t>For purposes of this Article 3, one Product shall be deemed different from another Product if a new IND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filed to conduct a clinical trial of such other Product.</w:t>
      </w:r>
    </w:p>
    <w:p>
      <w:pPr>
        <w:spacing w:after="0" w:line="5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Section 3.7 Currency Conversion. </w:t>
      </w:r>
      <w:r>
        <w:rPr>
          <w:rFonts w:ascii="Arial" w:cs="Arial" w:eastAsia="Arial" w:hAnsi="Arial"/>
          <w:sz w:val="17"/>
          <w:szCs w:val="17"/>
          <w:color w:val="auto"/>
        </w:rPr>
        <w:t>With respect to Net Sales invoiced in U.S. Dollars, such Net Sales invoiced shall be expressed in U.S. Dollars.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Net Sales invoiced in a currency other than U.S. Dollars, such Net Sales invoiced shall be converted into the U.S. Dollar equivalent using a rate of exchange which corresponds to the rate used by the Selling Party in recording such receipt, for the respective reporting period, related to recording such Net Sales in its books and records that are maintained in accordance with Accounting Standards. If a Selling Party is not required to perform such currency conversion for its Accounting Standards reporting with respect to the applicable period, then for such period such Selling Party shall convert its amounts received incurred into U.S. Dollars using a rate of exchange which corresponds to the noon buying rate as published in the Wall Street Journal, Eastern U.S. Edition on the second to last business day of the Calendar Quarter (or such other publication as agreed-upon by the Parties). Any royalty amount shall be calculated based upon the U.S. Dollar equivalent calculated in accordance with the foregoing.</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373" w:name="page374"/>
    <w:bookmarkEnd w:id="373"/>
    <w:p>
      <w:pPr>
        <w:ind w:left="440" w:right="10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3.8 Late Payments. </w:t>
      </w:r>
      <w:r>
        <w:rPr>
          <w:rFonts w:ascii="Arial" w:cs="Arial" w:eastAsia="Arial" w:hAnsi="Arial"/>
          <w:sz w:val="17"/>
          <w:szCs w:val="17"/>
          <w:color w:val="auto"/>
        </w:rPr>
        <w:t>In the event that any payment due hereunder is not made when due, the payment shall accrue interest beginning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day following the due date thereof, calculated at the annual rate of the sum of (a) [***] plus (b) the prime rate effective for the date that payment was due, as published by the Wall Street Journal, Eastern U.S. Edition, the interest being compounded on the last day of each Calendar Quarter;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in no event shall said annual interest rate exceed the maximum rate permitted by Law. Each such payment when made shall be accompanied by all interest so accrued. Said interest and the payment and acceptance thereof shall not negate or waive the right of any Party to seek any other remedy, legal or equitable, to which it may be entitled because of the delinquency of any payment including, but not limited to termination of this Agreement as set forth in Article 10 (Term &amp; Termination). The Parties will use good faith efforts to reconcile any disputed amounts of payments due hereunder as soon as practicable.</w:t>
      </w:r>
    </w:p>
    <w:p>
      <w:pPr>
        <w:spacing w:after="0" w:line="64" w:lineRule="exact"/>
        <w:rPr>
          <w:sz w:val="20"/>
          <w:szCs w:val="20"/>
          <w:color w:val="auto"/>
        </w:rPr>
      </w:pPr>
    </w:p>
    <w:p>
      <w:pPr>
        <w:ind w:left="440"/>
        <w:spacing w:after="0" w:line="268" w:lineRule="auto"/>
        <w:rPr>
          <w:sz w:val="20"/>
          <w:szCs w:val="20"/>
          <w:color w:val="auto"/>
        </w:rPr>
      </w:pPr>
      <w:r>
        <w:rPr>
          <w:rFonts w:ascii="Arial" w:cs="Arial" w:eastAsia="Arial" w:hAnsi="Arial"/>
          <w:sz w:val="17"/>
          <w:szCs w:val="17"/>
          <w:b w:val="1"/>
          <w:bCs w:val="1"/>
          <w:color w:val="auto"/>
        </w:rPr>
        <w:t xml:space="preserve">Section 3.9 Records and Audits. </w:t>
      </w:r>
      <w:r>
        <w:rPr>
          <w:rFonts w:ascii="Arial" w:cs="Arial" w:eastAsia="Arial" w:hAnsi="Arial"/>
          <w:sz w:val="17"/>
          <w:szCs w:val="17"/>
          <w:color w:val="auto"/>
        </w:rPr>
        <w:t>RBNC will keep complete and accurate records of the underlying revenue and expense data relating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calculations of Net Sales generated in the then current Calendar Year and payments required under this Agreement, and during the preceding [***] Calendar Years. AMGEN will have the right, [***] at its own expense, to have a nationally recognized, independent, certified public accounting firm, selected by it and subject to RBNC’s prior written consent (which shall not be unreasonably withheld), review any such records of RBNC and its Affiliates and Sublicensees (the “</w:t>
      </w:r>
      <w:r>
        <w:rPr>
          <w:rFonts w:ascii="Arial" w:cs="Arial" w:eastAsia="Arial" w:hAnsi="Arial"/>
          <w:sz w:val="17"/>
          <w:szCs w:val="17"/>
          <w:b w:val="1"/>
          <w:bCs w:val="1"/>
          <w:color w:val="auto"/>
        </w:rPr>
        <w:t>Audited Party</w:t>
      </w:r>
      <w:r>
        <w:rPr>
          <w:rFonts w:ascii="Arial" w:cs="Arial" w:eastAsia="Arial" w:hAnsi="Arial"/>
          <w:sz w:val="17"/>
          <w:szCs w:val="17"/>
          <w:color w:val="auto"/>
        </w:rPr>
        <w:t>”) in the location(s) where such records are maintained by the Audited Party upon reasonable written notice (which shall be no less than [***] days’ prior written notice) and during regular business hours and under obligations of strict confidence, for the sole purpose of verifying the basis and accuracy of payments made under Section 3.2 (Royalties) within the [***] month period preceding the date of the request for review. No Calendar Year will be subject to audit under this Section 3.9 more than once. RBNC will receive a copy of each such report concurrently with receipt by AMGEN. Should such inspection lead to the discovery of a discrepancy to AMGEN’s detriment, RBNC will, within [***] days after receipt of such report from the accounting firm, pay any undisputed amount of the discrepancy together with interest at the rate set forth in Section 3.8 (Late Payments). AMGEN will pay the full cost of the review unless the underpayment of amounts due to AMGEN is [***] of the amount due for the entire period being examined, in which case RBNC will pay the cost charged by such accounting firm for such review. Should the audit lead to the discovery of a discrepancy to RBNC’s detriment, RBNC may credit the amount of the discrepancy, without interest, against future payments payable to AMGEN under this Agreement, and if there are no such payments payable, then AMGEN shall pay to RBNC the amount of the discrepancy, without interest, within [***] days of AMGEN’s receipt of the report.</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3.10 Taxes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 xml:space="preserve">3.10.1 Sales Tax. </w:t>
      </w:r>
      <w:r>
        <w:rPr>
          <w:rFonts w:ascii="Arial" w:cs="Arial" w:eastAsia="Arial" w:hAnsi="Arial"/>
          <w:sz w:val="16"/>
          <w:szCs w:val="16"/>
          <w:color w:val="auto"/>
        </w:rPr>
        <w:t>RBNC is responsible for the payment of any state or local, sales or use, or similar fees or taxes arising as a result of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of Licensed Materials by AMGEN to RBNC pursuant to Section 2.5 (Transfer of Licensed Know-How and Licensed Materials), and RBNC will remit such fees or taxes to the appropriate tax collector. The Parties shall cooperate in accordance with Law to minimize any such taxes imposed or required to be paid in connection with this Agreement, and if any such taxes are owed, provide reasonable assistance to obtain a refund or credit of the taxes paid.</w:t>
      </w:r>
    </w:p>
    <w:p>
      <w:pPr>
        <w:spacing w:after="0" w:line="8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374" w:name="page375"/>
    <w:bookmarkEnd w:id="374"/>
    <w:p>
      <w:pPr>
        <w:ind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3.10.2 Withholding. </w:t>
      </w:r>
      <w:r>
        <w:rPr>
          <w:rFonts w:ascii="Arial" w:cs="Arial" w:eastAsia="Arial" w:hAnsi="Arial"/>
          <w:sz w:val="16"/>
          <w:szCs w:val="16"/>
          <w:color w:val="auto"/>
        </w:rPr>
        <w:t>RBNC shall be entitled to deduct and withhold from any amounts payable under this Agreement such taxes as are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be deducted or withheld therefrom under any provision of Law. In the event that any Law requires RBNC to withhold taxes with respect to any payment to be made by RBNC pursuant to this Agreement, RBNC will use commercially reasonable efforts to notify AMGEN of such withholding requirement prior to making the payment to AMGEN and cooperate with AMGEN, including by providing standard documentation as may be required by a tax authority, as may be reasonably necessary in AMGEN’s efforts to claim an exemption from or reduction of such taxes. RBNC will, in accordance with such Law withhold taxes from the amount due, remit such taxes to the appropriate tax authority, and furnish AMGEN with proof of payment of such taxes within [***] days following the payment. If any such taxes are paid to a tax authority, RBNC shall use commercially reasonable efforts to provide reasonable assistance to AMGEN to obtain a refund of such taxes withheld, or obtain a credit with respect to such taxes paid. Any such amounts deducted and withheld shall be treated for all purposes of this Agreement as having been paid to the party in respect of whom such deduction and withholding was made. On or prior to the Effective Date, AMGEN will provide RBNC with a completed and duly executed IRS Form W-9.</w:t>
      </w:r>
    </w:p>
    <w:p>
      <w:pPr>
        <w:spacing w:after="0" w:line="161" w:lineRule="exact"/>
        <w:rPr>
          <w:sz w:val="20"/>
          <w:szCs w:val="20"/>
          <w:color w:val="auto"/>
        </w:rPr>
      </w:pPr>
    </w:p>
    <w:p>
      <w:pPr>
        <w:ind w:right="180" w:firstLine="440"/>
        <w:spacing w:after="0" w:line="281" w:lineRule="auto"/>
        <w:rPr>
          <w:sz w:val="20"/>
          <w:szCs w:val="20"/>
          <w:color w:val="auto"/>
        </w:rPr>
      </w:pPr>
      <w:r>
        <w:rPr>
          <w:rFonts w:ascii="Arial" w:cs="Arial" w:eastAsia="Arial" w:hAnsi="Arial"/>
          <w:sz w:val="17"/>
          <w:szCs w:val="17"/>
          <w:b w:val="1"/>
          <w:bCs w:val="1"/>
          <w:color w:val="auto"/>
        </w:rPr>
        <w:t xml:space="preserve">3.10.3 VAT. </w:t>
      </w:r>
      <w:r>
        <w:rPr>
          <w:rFonts w:ascii="Arial" w:cs="Arial" w:eastAsia="Arial" w:hAnsi="Arial"/>
          <w:sz w:val="17"/>
          <w:szCs w:val="17"/>
          <w:color w:val="auto"/>
        </w:rPr>
        <w:t>All payments due to AMGEN from RBNC pursuant to this Agreement shall be paid exclusive of any value-added tax (“</w:t>
      </w:r>
      <w:r>
        <w:rPr>
          <w:rFonts w:ascii="Arial" w:cs="Arial" w:eastAsia="Arial" w:hAnsi="Arial"/>
          <w:sz w:val="17"/>
          <w:szCs w:val="17"/>
          <w:b w:val="1"/>
          <w:bCs w:val="1"/>
          <w:color w:val="auto"/>
        </w:rPr>
        <w:t>VAT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(which, if applicable, shall be payable by RBNC upon receipt of a valid VAT invoice). If AMGEN determines that it is required to report any such tax, RBNC shall promptly provide AMGEN with applicable receipts and other documentation necessary or appropriate for such report. For clarity, this Section 3.10.3 (VAT) is not intended to limit RBNC’s right to deduct value-added taxes in determining Net Sales.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3.10.4 Tax Treatment of Payments.</w:t>
      </w:r>
    </w:p>
    <w:p>
      <w:pPr>
        <w:spacing w:after="0" w:line="121" w:lineRule="exact"/>
        <w:rPr>
          <w:sz w:val="20"/>
          <w:szCs w:val="20"/>
          <w:color w:val="auto"/>
        </w:rPr>
      </w:pPr>
    </w:p>
    <w:p>
      <w:pPr>
        <w:jc w:val="both"/>
        <w:ind w:left="1980" w:right="100" w:hanging="1"/>
        <w:spacing w:after="0" w:line="263" w:lineRule="auto"/>
        <w:tabs>
          <w:tab w:leader="none" w:pos="222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AMGEN and RBNC intend to treat the payment of any Sublicense Consideration, Milestone Payments and any royalties pursuant to this Article 3 as consideration for the licenses granted hereunder to RBNC for U.S. federal income tax purposes (and applicable state, local or non-U.S. Tax purposes).</w:t>
      </w:r>
    </w:p>
    <w:p>
      <w:pPr>
        <w:spacing w:after="0" w:line="75" w:lineRule="exact"/>
        <w:rPr>
          <w:rFonts w:ascii="Arial" w:cs="Arial" w:eastAsia="Arial" w:hAnsi="Arial"/>
          <w:sz w:val="18"/>
          <w:szCs w:val="18"/>
          <w:color w:val="auto"/>
        </w:rPr>
      </w:pPr>
    </w:p>
    <w:p>
      <w:pPr>
        <w:ind w:left="1980" w:right="280" w:hanging="1"/>
        <w:spacing w:after="0" w:line="257" w:lineRule="auto"/>
        <w:tabs>
          <w:tab w:leader="none" w:pos="223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AMGEN and RBNC shall file all Tax returns, reports, schedules, information statements and other documents consistently with the understandings set forth in this Section 3.10.4, and shall take no contrary position on any such Tax return, or in any audit, claim, investigation or proceeding in respect of Taxes unless otherwise required pursuant to a final determination within the meaning of Section 1313 of the Code, or any analogous provision of applicable state, local or non-U.S. law.</w:t>
      </w:r>
    </w:p>
    <w:p>
      <w:pPr>
        <w:spacing w:after="0" w:line="292" w:lineRule="exact"/>
        <w:rPr>
          <w:sz w:val="20"/>
          <w:szCs w:val="20"/>
          <w:color w:val="auto"/>
        </w:rPr>
      </w:pPr>
    </w:p>
    <w:p>
      <w:pPr>
        <w:ind w:left="440" w:right="4700" w:hanging="439"/>
        <w:spacing w:after="0" w:line="375" w:lineRule="auto"/>
        <w:rPr>
          <w:sz w:val="20"/>
          <w:szCs w:val="20"/>
          <w:color w:val="auto"/>
        </w:rPr>
      </w:pPr>
      <w:r>
        <w:rPr>
          <w:rFonts w:ascii="Arial" w:cs="Arial" w:eastAsia="Arial" w:hAnsi="Arial"/>
          <w:sz w:val="18"/>
          <w:szCs w:val="18"/>
          <w:b w:val="1"/>
          <w:bCs w:val="1"/>
          <w:color w:val="auto"/>
        </w:rPr>
        <w:t>ARTICLE 4. PATENT PROSECUTION, MAINTENANCE, &amp; INFRINGEMENT Section 4.1 Intellectual Property Ownership .</w:t>
      </w:r>
    </w:p>
    <w:p>
      <w:pPr>
        <w:spacing w:after="0" w:line="1" w:lineRule="exact"/>
        <w:rPr>
          <w:sz w:val="20"/>
          <w:szCs w:val="20"/>
          <w:color w:val="auto"/>
        </w:rPr>
      </w:pPr>
    </w:p>
    <w:p>
      <w:pPr>
        <w:ind w:left="980" w:right="420" w:firstLine="401"/>
        <w:spacing w:after="0" w:line="266" w:lineRule="auto"/>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color w:val="auto"/>
        </w:rPr>
        <w:t>Except to the extent set forth in Section 4.1.2: (i) each Party shall retain and own all right, title, and interest in and to all</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discoveries, Know-How, trade secrets, proprietary rights and other intellectual property rights (collectively “</w:t>
      </w:r>
      <w:r>
        <w:rPr>
          <w:rFonts w:ascii="Arial" w:cs="Arial" w:eastAsia="Arial" w:hAnsi="Arial"/>
          <w:sz w:val="18"/>
          <w:szCs w:val="18"/>
          <w:b w:val="1"/>
          <w:bCs w:val="1"/>
          <w:color w:val="auto"/>
        </w:rPr>
        <w:t>Inventions</w:t>
      </w:r>
      <w:r>
        <w:rPr>
          <w:rFonts w:ascii="Arial" w:cs="Arial" w:eastAsia="Arial" w:hAnsi="Arial"/>
          <w:sz w:val="18"/>
          <w:szCs w:val="18"/>
          <w:color w:val="auto"/>
        </w:rPr>
        <w:t>”) conceived or created solely by or on behalf of such Party in the course of activities</w:t>
      </w:r>
    </w:p>
    <w:p>
      <w:pPr>
        <w:spacing w:after="0" w:line="1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375" w:name="page376"/>
    <w:bookmarkEnd w:id="375"/>
    <w:p>
      <w:pPr>
        <w:ind w:left="5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conducted pursuant to this Agreement (“</w:t>
      </w:r>
      <w:r>
        <w:rPr>
          <w:rFonts w:ascii="Arial" w:cs="Arial" w:eastAsia="Arial" w:hAnsi="Arial"/>
          <w:sz w:val="18"/>
          <w:szCs w:val="18"/>
          <w:b w:val="1"/>
          <w:bCs w:val="1"/>
          <w:color w:val="auto"/>
        </w:rPr>
        <w:t>Sole Inventions</w:t>
      </w:r>
      <w:r>
        <w:rPr>
          <w:rFonts w:ascii="Arial" w:cs="Arial" w:eastAsia="Arial" w:hAnsi="Arial"/>
          <w:sz w:val="18"/>
          <w:szCs w:val="18"/>
          <w:color w:val="auto"/>
        </w:rPr>
        <w:t>”); and (ii) the Parties shall jointly own all right, title, and interest in and to Inventions conceived or created jointly by the Parties in the course of activities conducted pursuant to this Agreement (“</w:t>
      </w:r>
      <w:r>
        <w:rPr>
          <w:rFonts w:ascii="Arial" w:cs="Arial" w:eastAsia="Arial" w:hAnsi="Arial"/>
          <w:sz w:val="18"/>
          <w:szCs w:val="18"/>
          <w:b w:val="1"/>
          <w:b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color w:val="auto"/>
        </w:rPr>
        <w:t>Inventions</w:t>
      </w:r>
      <w:r>
        <w:rPr>
          <w:rFonts w:ascii="Arial" w:cs="Arial" w:eastAsia="Arial" w:hAnsi="Arial"/>
          <w:sz w:val="18"/>
          <w:szCs w:val="18"/>
          <w:color w:val="auto"/>
        </w:rPr>
        <w:t>”), including all Patent Rights claiming such Joint Inventions (“</w:t>
      </w:r>
      <w:r>
        <w:rPr>
          <w:rFonts w:ascii="Arial" w:cs="Arial" w:eastAsia="Arial" w:hAnsi="Arial"/>
          <w:sz w:val="18"/>
          <w:szCs w:val="18"/>
          <w:b w:val="1"/>
          <w:bCs w:val="1"/>
          <w:color w:val="auto"/>
        </w:rPr>
        <w:t>Joint Patents</w:t>
      </w:r>
      <w:r>
        <w:rPr>
          <w:rFonts w:ascii="Arial" w:cs="Arial" w:eastAsia="Arial" w:hAnsi="Arial"/>
          <w:sz w:val="18"/>
          <w:szCs w:val="18"/>
          <w:color w:val="auto"/>
        </w:rPr>
        <w:t>”). Subject to the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shall have any duty to account or obtain the consent of the other Party (such consent deemed given hereunder) in order to exploit, license or assign its respective rights in Joint Inventions and Joint Patents. With respect to Joint Inventions and Joint Patents, to the extent necessary to effect the foregoing in a country other than the United States, each Party hereby grants to the other Party a non-exclusive, irrevocable, perpetual, fully-paid (except as expressly stated in this Agreement), worldwide license, with the right to grant sublicenses, under the granting Party’s interest in Joint Inventions and Joint Patents, for any and all purposes. Inventorship and authorship of any Invention or work of authorship conceived or created by either Party or jointly by the Parties pursuant to this Agreement, shall follow the rules of the U.S. Patent and Trademark Office and the Laws of the U.S., respectively (without reference to any conflict of law principles).</w:t>
      </w:r>
    </w:p>
    <w:p>
      <w:pPr>
        <w:spacing w:after="0" w:line="84" w:lineRule="exact"/>
        <w:rPr>
          <w:sz w:val="20"/>
          <w:szCs w:val="20"/>
          <w:color w:val="auto"/>
        </w:rPr>
      </w:pPr>
    </w:p>
    <w:p>
      <w:pPr>
        <w:ind w:left="540" w:right="20" w:firstLine="401"/>
        <w:spacing w:after="0" w:line="289" w:lineRule="auto"/>
        <w:rPr>
          <w:sz w:val="20"/>
          <w:szCs w:val="20"/>
          <w:color w:val="auto"/>
        </w:rPr>
      </w:pPr>
      <w:r>
        <w:rPr>
          <w:rFonts w:ascii="Arial" w:cs="Arial" w:eastAsia="Arial" w:hAnsi="Arial"/>
          <w:sz w:val="16"/>
          <w:szCs w:val="16"/>
          <w:b w:val="1"/>
          <w:bCs w:val="1"/>
          <w:color w:val="auto"/>
        </w:rPr>
        <w:t xml:space="preserve">4.1.2 </w:t>
      </w:r>
      <w:r>
        <w:rPr>
          <w:rFonts w:ascii="Arial" w:cs="Arial" w:eastAsia="Arial" w:hAnsi="Arial"/>
          <w:sz w:val="16"/>
          <w:szCs w:val="16"/>
          <w:color w:val="auto"/>
        </w:rPr>
        <w:t>Notwithstanding anything to the contrary in Section 4.1.1, all right, title, and interest in and to Sole Inventions and Joint</w:t>
      </w:r>
      <w:r>
        <w:rPr>
          <w:rFonts w:ascii="Arial" w:cs="Arial" w:eastAsia="Arial" w:hAnsi="Arial"/>
          <w:sz w:val="16"/>
          <w:szCs w:val="16"/>
          <w:b w:val="1"/>
          <w:bCs w:val="1"/>
          <w:color w:val="auto"/>
        </w:rPr>
        <w:t xml:space="preserve"> </w:t>
      </w:r>
      <w:r>
        <w:rPr>
          <w:rFonts w:ascii="Arial" w:cs="Arial" w:eastAsia="Arial" w:hAnsi="Arial"/>
          <w:sz w:val="16"/>
          <w:szCs w:val="16"/>
          <w:color w:val="auto"/>
        </w:rPr>
        <w:t>Inventions exclusively related to Program Compounds (collectively, “</w:t>
      </w:r>
      <w:r>
        <w:rPr>
          <w:rFonts w:ascii="Arial" w:cs="Arial" w:eastAsia="Arial" w:hAnsi="Arial"/>
          <w:sz w:val="16"/>
          <w:szCs w:val="16"/>
          <w:b w:val="1"/>
          <w:bCs w:val="1"/>
          <w:color w:val="auto"/>
        </w:rPr>
        <w:t>Program Compound Inventions</w:t>
      </w:r>
      <w:r>
        <w:rPr>
          <w:rFonts w:ascii="Arial" w:cs="Arial" w:eastAsia="Arial" w:hAnsi="Arial"/>
          <w:sz w:val="16"/>
          <w:szCs w:val="16"/>
          <w:color w:val="auto"/>
        </w:rPr>
        <w:t>”) (and any associated Patent Rights) shall be owned exclusively by RBNC regardless of inventorship. AMGEN shall and hereby does assign to RBNC all of AMGEN’s right, title and interest in and to any such Program Compound Inventions developed solely by or on behalf of AMGEN or jointly by the Parties pursuant to this Agreement, including all Patent Rights claiming such Program Compound Inventions. AMGEN shall, at its sole expense, take (and cause its Affiliates and its and their employees, contractors and agents to take) such further actions reasonably requested by RBNC to evidence such assignment, including the execution of any assignments or other legal documentation, and to assist RBNC in obtaining patent and other intellectual property rights protection for such Program Compound Inventions. AMGEN shall obligate its Affiliates to assign all such Program Compound Inventions to RBNC so that RBNC shall promptly obtain such assignment. AMGEN shall promptly disclose to RBNC any Program Compound Inventions and Program Patents that arise during the Term.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Cross-Licenses</w:t>
      </w:r>
      <w:r>
        <w:rPr>
          <w:rFonts w:ascii="Arial" w:cs="Arial" w:eastAsia="Arial" w:hAnsi="Arial"/>
          <w:sz w:val="18"/>
          <w:szCs w:val="18"/>
          <w:color w:val="auto"/>
        </w:rPr>
        <w:t>.</w:t>
      </w:r>
    </w:p>
    <w:p>
      <w:pPr>
        <w:spacing w:after="0" w:line="117" w:lineRule="exact"/>
        <w:rPr>
          <w:sz w:val="20"/>
          <w:szCs w:val="20"/>
          <w:color w:val="auto"/>
        </w:rPr>
      </w:pPr>
    </w:p>
    <w:p>
      <w:pPr>
        <w:ind w:left="540" w:right="520" w:firstLine="401"/>
        <w:spacing w:after="0" w:line="281" w:lineRule="auto"/>
        <w:rPr>
          <w:sz w:val="20"/>
          <w:szCs w:val="20"/>
          <w:color w:val="auto"/>
        </w:rPr>
      </w:pPr>
      <w:r>
        <w:rPr>
          <w:rFonts w:ascii="Arial" w:cs="Arial" w:eastAsia="Arial" w:hAnsi="Arial"/>
          <w:sz w:val="17"/>
          <w:szCs w:val="17"/>
          <w:b w:val="1"/>
          <w:bCs w:val="1"/>
          <w:color w:val="auto"/>
        </w:rPr>
        <w:t xml:space="preserve">4.2.1 </w:t>
      </w:r>
      <w:r>
        <w:rPr>
          <w:rFonts w:ascii="Arial" w:cs="Arial" w:eastAsia="Arial" w:hAnsi="Arial"/>
          <w:sz w:val="17"/>
          <w:szCs w:val="17"/>
          <w:color w:val="auto"/>
        </w:rPr>
        <w:t>Subject to the terms and conditions of this Agreement, AMGEN shall grant and hereby grants to RBNC a non-exclusive,</w:t>
      </w:r>
      <w:r>
        <w:rPr>
          <w:rFonts w:ascii="Arial" w:cs="Arial" w:eastAsia="Arial" w:hAnsi="Arial"/>
          <w:sz w:val="17"/>
          <w:szCs w:val="17"/>
          <w:b w:val="1"/>
          <w:bCs w:val="1"/>
          <w:color w:val="auto"/>
        </w:rPr>
        <w:t xml:space="preserve"> </w:t>
      </w:r>
      <w:r>
        <w:rPr>
          <w:rFonts w:ascii="Arial" w:cs="Arial" w:eastAsia="Arial" w:hAnsi="Arial"/>
          <w:sz w:val="17"/>
          <w:szCs w:val="17"/>
          <w:color w:val="auto"/>
        </w:rPr>
        <w:t>royalty-free, fully paid up, sublicensable (but only in accordance with Section 2.2 (Sublicenses)) license under any Patent Rights Controlled by AMGEN during the Term Covering the Licensed Compounds and/or Program Compounds solely to Exploit Licensed Compounds, Program Compounds and Products in the Licensed Field in the Territory during the Term.</w:t>
      </w:r>
    </w:p>
    <w:p>
      <w:pPr>
        <w:spacing w:after="0" w:line="57" w:lineRule="exact"/>
        <w:rPr>
          <w:sz w:val="20"/>
          <w:szCs w:val="20"/>
          <w:color w:val="auto"/>
        </w:rPr>
      </w:pPr>
    </w:p>
    <w:p>
      <w:pPr>
        <w:ind w:left="540" w:right="40" w:firstLine="401"/>
        <w:spacing w:after="0" w:line="289" w:lineRule="auto"/>
        <w:rPr>
          <w:sz w:val="20"/>
          <w:szCs w:val="20"/>
          <w:color w:val="auto"/>
        </w:rPr>
      </w:pPr>
      <w:r>
        <w:rPr>
          <w:rFonts w:ascii="Arial" w:cs="Arial" w:eastAsia="Arial" w:hAnsi="Arial"/>
          <w:sz w:val="17"/>
          <w:szCs w:val="17"/>
          <w:b w:val="1"/>
          <w:bCs w:val="1"/>
          <w:color w:val="auto"/>
        </w:rPr>
        <w:t xml:space="preserve">4.2.2 </w:t>
      </w:r>
      <w:r>
        <w:rPr>
          <w:rFonts w:ascii="Arial" w:cs="Arial" w:eastAsia="Arial" w:hAnsi="Arial"/>
          <w:sz w:val="17"/>
          <w:szCs w:val="17"/>
          <w:color w:val="auto"/>
        </w:rPr>
        <w:t>Subject to the terms and conditions of this Agreement, including Section 2.3 (Retained Rights and Limitations) and Section 5.6</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(Exclusivity), RBNC shall grant and hereby grants to AMGEN a non-exclusive, royalty-free, fully paid up, sublicensable in connection with the Exploitation of compounds and products, perpetual, irrevocable license under any [***], solely to [***].</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0"/>
          </w:cols>
          <w:pgMar w:left="880" w:top="270" w:right="45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4.3 Prosecution and Maintenance.</w:t>
      </w:r>
    </w:p>
    <w:p>
      <w:pPr>
        <w:spacing w:after="0" w:line="117" w:lineRule="exact"/>
        <w:rPr>
          <w:sz w:val="20"/>
          <w:szCs w:val="20"/>
          <w:color w:val="auto"/>
        </w:rPr>
      </w:pPr>
    </w:p>
    <w:p>
      <w:pPr>
        <w:ind w:left="540" w:right="60" w:firstLine="401"/>
        <w:spacing w:after="0" w:line="269" w:lineRule="auto"/>
        <w:rPr>
          <w:sz w:val="20"/>
          <w:szCs w:val="20"/>
          <w:color w:val="auto"/>
        </w:rPr>
      </w:pPr>
      <w:r>
        <w:rPr>
          <w:rFonts w:ascii="Arial" w:cs="Arial" w:eastAsia="Arial" w:hAnsi="Arial"/>
          <w:sz w:val="17"/>
          <w:szCs w:val="17"/>
          <w:b w:val="1"/>
          <w:bCs w:val="1"/>
          <w:color w:val="auto"/>
        </w:rPr>
        <w:t xml:space="preserve">4.3.1 </w:t>
      </w:r>
      <w:r>
        <w:rPr>
          <w:rFonts w:ascii="Arial" w:cs="Arial" w:eastAsia="Arial" w:hAnsi="Arial"/>
          <w:sz w:val="17"/>
          <w:szCs w:val="17"/>
          <w:color w:val="auto"/>
        </w:rPr>
        <w:t>RBNC shall have the first right, but not the obligation, to file, prosecute and maintain all Patent Rights in the Program Patents,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Licensed Patents and Joint Patents, and Patent Rights claiming any Licensed Know-How or Sole Inventions conceived or created by or on behalf of AMGEN relating directly to the composition of a Licensed Compound, at RBNC’s sole expense using outside counsel reasonably acceptable to AMGEN. AMGEN shall reasonably cooperate with RBNC’s requests for data, affidavits, and other information and assistance to support prosecution and maintenance of the Patent Rights in the Program Patents, Licensed Patents and Joint Patents; </w:t>
      </w:r>
      <w:r>
        <w:rPr>
          <w:rFonts w:ascii="Arial" w:cs="Arial" w:eastAsia="Arial" w:hAnsi="Arial"/>
          <w:sz w:val="17"/>
          <w:szCs w:val="17"/>
          <w:b w:val="1"/>
          <w:bCs w:val="1"/>
          <w:i w:val="1"/>
          <w:iCs w:val="1"/>
          <w:color w:val="auto"/>
        </w:rPr>
        <w:t xml:space="preserve">provided, however, </w:t>
      </w:r>
      <w:r>
        <w:rPr>
          <w:rFonts w:ascii="Arial" w:cs="Arial" w:eastAsia="Arial" w:hAnsi="Arial"/>
          <w:sz w:val="17"/>
          <w:szCs w:val="17"/>
          <w:color w:val="auto"/>
        </w:rPr>
        <w:t>that RBNC shall reimburse AMGEN for its reasonable, documented out-of-pocket expenses with respect to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cooperation. RBNC shall promptly upon receipt forward to AMGEN copies of any significant office actions, communications, and correspondence relating to the Program Patents, Licensed Patents and Joint Patents. AMGEN shall have the right to comment on and to discuss prosecution and maintenance activities with RBNC, and RBNC shall consider the same in good faith and shall provide AMGEN with copies of all such proposed filings and correspondence relating to the Program Patents, Licensed Patents and Joint Patents to give AMGEN the opportunity to review and comment.</w:t>
      </w:r>
    </w:p>
    <w:p>
      <w:pPr>
        <w:spacing w:after="0" w:line="74" w:lineRule="exact"/>
        <w:rPr>
          <w:sz w:val="20"/>
          <w:szCs w:val="20"/>
          <w:color w:val="auto"/>
        </w:rPr>
      </w:pPr>
    </w:p>
    <w:p>
      <w:pPr>
        <w:ind w:left="540" w:firstLine="401"/>
        <w:spacing w:after="0" w:line="274" w:lineRule="auto"/>
        <w:rPr>
          <w:sz w:val="20"/>
          <w:szCs w:val="20"/>
          <w:color w:val="auto"/>
        </w:rPr>
      </w:pPr>
      <w:r>
        <w:rPr>
          <w:rFonts w:ascii="Arial" w:cs="Arial" w:eastAsia="Arial" w:hAnsi="Arial"/>
          <w:sz w:val="17"/>
          <w:szCs w:val="17"/>
          <w:b w:val="1"/>
          <w:bCs w:val="1"/>
          <w:color w:val="auto"/>
        </w:rPr>
        <w:t xml:space="preserve">4.3.2 </w:t>
      </w:r>
      <w:r>
        <w:rPr>
          <w:rFonts w:ascii="Arial" w:cs="Arial" w:eastAsia="Arial" w:hAnsi="Arial"/>
          <w:sz w:val="17"/>
          <w:szCs w:val="17"/>
          <w:color w:val="auto"/>
        </w:rPr>
        <w:t>Notwithstanding the foregoing, if RBNC, its Affiliate or Sublicensee declines to file, prosecute or maintain any Patent Rights</w:t>
      </w:r>
      <w:r>
        <w:rPr>
          <w:rFonts w:ascii="Arial" w:cs="Arial" w:eastAsia="Arial" w:hAnsi="Arial"/>
          <w:sz w:val="17"/>
          <w:szCs w:val="17"/>
          <w:b w:val="1"/>
          <w:bCs w:val="1"/>
          <w:color w:val="auto"/>
        </w:rPr>
        <w:t xml:space="preserve"> </w:t>
      </w:r>
      <w:r>
        <w:rPr>
          <w:rFonts w:ascii="Arial" w:cs="Arial" w:eastAsia="Arial" w:hAnsi="Arial"/>
          <w:sz w:val="17"/>
          <w:szCs w:val="17"/>
          <w:color w:val="auto"/>
        </w:rPr>
        <w:t>under Section 4.3.1 in (1) Program Patents that claim the composition of matter of Licensed Compounds or derivatives thereof Directed to CK1d, (2) Licensed Patents, (3) Joint Patents , or Patent Rights claiming any Licensed Know-How or Sole Inventions conceived or created by or on behalf of AMGEN to the extent relating directly to the composition of a Licensed Compound, or elects to allow any such Patent Rights to lapse in any country, or elects to abandon any such Patent Rights before all appeals within the respective patent office have been exhausted (each, an “</w:t>
      </w:r>
      <w:r>
        <w:rPr>
          <w:rFonts w:ascii="Arial" w:cs="Arial" w:eastAsia="Arial" w:hAnsi="Arial"/>
          <w:sz w:val="17"/>
          <w:szCs w:val="17"/>
          <w:b w:val="1"/>
          <w:bCs w:val="1"/>
          <w:color w:val="auto"/>
        </w:rPr>
        <w:t>Abandoned Patent Right</w:t>
      </w:r>
      <w:r>
        <w:rPr>
          <w:rFonts w:ascii="Arial" w:cs="Arial" w:eastAsia="Arial" w:hAnsi="Arial"/>
          <w:sz w:val="17"/>
          <w:szCs w:val="17"/>
          <w:color w:val="auto"/>
        </w:rPr>
        <w:t>”), then:</w:t>
      </w:r>
    </w:p>
    <w:p>
      <w:pPr>
        <w:spacing w:after="0" w:line="83" w:lineRule="exact"/>
        <w:rPr>
          <w:sz w:val="20"/>
          <w:szCs w:val="20"/>
          <w:color w:val="auto"/>
        </w:rPr>
      </w:pPr>
    </w:p>
    <w:p>
      <w:pPr>
        <w:ind w:left="1960" w:right="60" w:hanging="433"/>
        <w:spacing w:after="0" w:line="301" w:lineRule="auto"/>
        <w:tabs>
          <w:tab w:leader="none" w:pos="19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RBNC shall provide AMGEN with reasonable notice of such decision so as to permit AMGEN to decide whether to file, prosecute or maintain such Abandoned Patent Rights and to take any necessary action (which notice shall, in any event, be given no later than [***] days prior to the next deadline for any action that may be taken with respect to such Abandoned Patent Right with the U.S. Patent &amp; Trademark Office or any foreign patent office)</w:t>
      </w:r>
      <w:r>
        <w:rPr>
          <w:rFonts w:ascii="Arial" w:cs="Arial" w:eastAsia="Arial" w:hAnsi="Arial"/>
          <w:sz w:val="16"/>
          <w:szCs w:val="16"/>
          <w:b w:val="1"/>
          <w:bCs w:val="1"/>
          <w:i w:val="1"/>
          <w:iCs w:val="1"/>
          <w:color w:val="auto"/>
        </w:rPr>
        <w:t>.</w:t>
      </w:r>
    </w:p>
    <w:p>
      <w:pPr>
        <w:spacing w:after="0" w:line="62" w:lineRule="exact"/>
        <w:rPr>
          <w:rFonts w:ascii="Arial" w:cs="Arial" w:eastAsia="Arial" w:hAnsi="Arial"/>
          <w:sz w:val="16"/>
          <w:szCs w:val="16"/>
          <w:color w:val="auto"/>
        </w:rPr>
      </w:pPr>
    </w:p>
    <w:p>
      <w:pPr>
        <w:ind w:left="1960" w:right="20" w:hanging="433"/>
        <w:spacing w:after="0" w:line="277" w:lineRule="auto"/>
        <w:tabs>
          <w:tab w:leader="none" w:pos="1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AMGEN, at AMGEN’s expense, may assume control of the filing, prosecution and/or maintenance of such Abandoned Patent Rights.</w:t>
      </w:r>
    </w:p>
    <w:p>
      <w:pPr>
        <w:spacing w:after="0" w:line="75" w:lineRule="exact"/>
        <w:rPr>
          <w:rFonts w:ascii="Arial" w:cs="Arial" w:eastAsia="Arial" w:hAnsi="Arial"/>
          <w:sz w:val="18"/>
          <w:szCs w:val="18"/>
          <w:color w:val="auto"/>
        </w:rPr>
      </w:pPr>
    </w:p>
    <w:p>
      <w:pPr>
        <w:ind w:left="1960" w:right="640" w:hanging="433"/>
        <w:spacing w:after="0" w:line="308" w:lineRule="auto"/>
        <w:tabs>
          <w:tab w:leader="none" w:pos="19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AMGEN shall have the right to transfer the responsibility for such filing, prosecution and maintenance of such Abandoned Patent Rights to patent counsel (outside or internal) selected by AMGEN.</w:t>
      </w:r>
    </w:p>
    <w:p>
      <w:pPr>
        <w:spacing w:after="0" w:line="51" w:lineRule="exact"/>
        <w:rPr>
          <w:rFonts w:ascii="Arial" w:cs="Arial" w:eastAsia="Arial" w:hAnsi="Arial"/>
          <w:sz w:val="17"/>
          <w:szCs w:val="17"/>
          <w:color w:val="auto"/>
        </w:rPr>
      </w:pPr>
    </w:p>
    <w:p>
      <w:pPr>
        <w:ind w:left="1960" w:right="120" w:hanging="433"/>
        <w:spacing w:after="0" w:line="286" w:lineRule="auto"/>
        <w:tabs>
          <w:tab w:leader="none" w:pos="19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RBNC shall assist and cooperate with AMGEN’s reasonable requests to support prosecution and maintenance of such Abandoned Patent Rights;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AMGEN shall reimburse RBNC for its reasonable expenses with respect to such cooperation (including RBNC’s employee’s time at the FTE Rate).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0"/>
          </w:cols>
          <w:pgMar w:left="880" w:top="270" w:right="45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4.4 Enforcement.</w:t>
      </w:r>
    </w:p>
    <w:p>
      <w:pPr>
        <w:spacing w:after="0" w:line="117" w:lineRule="exact"/>
        <w:rPr>
          <w:sz w:val="20"/>
          <w:szCs w:val="20"/>
          <w:color w:val="auto"/>
        </w:rPr>
      </w:pPr>
    </w:p>
    <w:p>
      <w:pPr>
        <w:ind w:left="540" w:firstLine="401"/>
        <w:spacing w:after="0" w:line="269" w:lineRule="auto"/>
        <w:rPr>
          <w:sz w:val="20"/>
          <w:szCs w:val="20"/>
          <w:color w:val="auto"/>
        </w:rPr>
      </w:pPr>
      <w:r>
        <w:rPr>
          <w:rFonts w:ascii="Arial" w:cs="Arial" w:eastAsia="Arial" w:hAnsi="Arial"/>
          <w:sz w:val="17"/>
          <w:szCs w:val="17"/>
          <w:b w:val="1"/>
          <w:bCs w:val="1"/>
          <w:color w:val="auto"/>
        </w:rPr>
        <w:t xml:space="preserve">4.4.1 RBNC Enforcement. </w:t>
      </w:r>
      <w:r>
        <w:rPr>
          <w:rFonts w:ascii="Arial" w:cs="Arial" w:eastAsia="Arial" w:hAnsi="Arial"/>
          <w:sz w:val="17"/>
          <w:szCs w:val="17"/>
          <w:color w:val="auto"/>
        </w:rPr>
        <w:t>Each Party will notify the other promptly in writing when any Infringement of a Licensed Patent,</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Patent or Joint Patent by a Third Party is uncovered or reasonably suspected in connection with compounds or products that are Directed to CK1d. RBNC shall have the first right to enforce any patent within the Licensed Patents, Program Patents or Joint Patents against any such Infringement or alleged Infringement thereof, and shall at all times keep AMGEN informed as to the status thereof. RBNC may, at its own expense, institute suit against any such infringer or alleged infringer and control and defend and settle such suit in a manner consistent with the terms and provisions hereof and recover any damages, awards or settlements resulting therefrom, subject to Section 4.6 (Recovery). AMGEN shall reasonably cooperate in any such litigation (including joining or being named a necessary party thereto) at RBNC’s expense. RBNC shall not enter into any settlement of any claim described in this Section 4.4.1 (RBNC Enforcement) that admits to the invalidity or unenforceability of the Licensed Patents, Program Patents or Joint Patents, incurs any financial liability on the part of AMGEN or requires an admission of liability, wrongdoing or fault on the part of AMGEN, without AMGEN’s prior written consent, in each case, such consent not to be unreasonably withheld.</w:t>
      </w:r>
    </w:p>
    <w:p>
      <w:pPr>
        <w:spacing w:after="0" w:line="74" w:lineRule="exact"/>
        <w:rPr>
          <w:sz w:val="20"/>
          <w:szCs w:val="20"/>
          <w:color w:val="auto"/>
        </w:rPr>
      </w:pPr>
    </w:p>
    <w:p>
      <w:pPr>
        <w:ind w:left="540" w:right="20" w:firstLine="401"/>
        <w:spacing w:after="0" w:line="270" w:lineRule="auto"/>
        <w:rPr>
          <w:sz w:val="20"/>
          <w:szCs w:val="20"/>
          <w:color w:val="auto"/>
        </w:rPr>
      </w:pPr>
      <w:r>
        <w:rPr>
          <w:rFonts w:ascii="Arial" w:cs="Arial" w:eastAsia="Arial" w:hAnsi="Arial"/>
          <w:sz w:val="17"/>
          <w:szCs w:val="17"/>
          <w:b w:val="1"/>
          <w:bCs w:val="1"/>
          <w:color w:val="auto"/>
        </w:rPr>
        <w:t xml:space="preserve">4.4.2 AMGEN Enforcement. </w:t>
      </w:r>
      <w:r>
        <w:rPr>
          <w:rFonts w:ascii="Arial" w:cs="Arial" w:eastAsia="Arial" w:hAnsi="Arial"/>
          <w:sz w:val="17"/>
          <w:szCs w:val="17"/>
          <w:color w:val="auto"/>
        </w:rPr>
        <w:t>If RBNC (directly or through an Affiliate or Sublicensee) elects not to enforce any patent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Patents, Program Patents or Joint Patents, then it shall so notify AMGEN in writing within [***] months of receiving notice that such an Infringement exists (or such shorter period as may be necessary to prevent exhaustion of a statute of limitations (or laches) applicable to such Infringement), and AMGEN may, in its sole judgement, and at its own expense, take steps to enforce any such patent, and control, settle, and defend such suit in a manner consistent with the terms and provisions hereof, and recover any damages, awards or settlements resulting therefrom, subject to Section 4.6 (Recovery). RBNC shall reasonably cooperate in any such litigation (including joining or being named a necessary party thereto) at AMGEN’s expense. AMGEN shall not enter into any settlement of any claim described in this Section 4.4.2 (AMGEN Enforcement) that admits to the invalidity or unenforceability of the Licensed Patents, Program Patents or Joint Patents, incurs any financial liability on the part of RBNC or requires an admission of liability, wrongdoing or fault on the part of RBNC without RBNC’s prior written consent.</w:t>
      </w:r>
    </w:p>
    <w:p>
      <w:pPr>
        <w:spacing w:after="0" w:line="69" w:lineRule="exact"/>
        <w:rPr>
          <w:sz w:val="20"/>
          <w:szCs w:val="20"/>
          <w:color w:val="auto"/>
        </w:rPr>
      </w:pPr>
    </w:p>
    <w:p>
      <w:pPr>
        <w:ind w:left="540" w:right="20" w:firstLine="401"/>
        <w:spacing w:after="0" w:line="266" w:lineRule="auto"/>
        <w:rPr>
          <w:sz w:val="20"/>
          <w:szCs w:val="20"/>
          <w:color w:val="auto"/>
        </w:rPr>
      </w:pPr>
      <w:r>
        <w:rPr>
          <w:rFonts w:ascii="Arial" w:cs="Arial" w:eastAsia="Arial" w:hAnsi="Arial"/>
          <w:sz w:val="18"/>
          <w:szCs w:val="18"/>
          <w:b w:val="1"/>
          <w:bCs w:val="1"/>
          <w:color w:val="auto"/>
        </w:rPr>
        <w:t xml:space="preserve">4.4.3 Progress Reports. </w:t>
      </w:r>
      <w:r>
        <w:rPr>
          <w:rFonts w:ascii="Arial" w:cs="Arial" w:eastAsia="Arial" w:hAnsi="Arial"/>
          <w:sz w:val="18"/>
          <w:szCs w:val="18"/>
          <w:color w:val="auto"/>
        </w:rPr>
        <w:t>The Party initiating or defending any such enforcement action (the “</w:t>
      </w:r>
      <w:r>
        <w:rPr>
          <w:rFonts w:ascii="Arial" w:cs="Arial" w:eastAsia="Arial" w:hAnsi="Arial"/>
          <w:sz w:val="18"/>
          <w:szCs w:val="18"/>
          <w:b w:val="1"/>
          <w:bCs w:val="1"/>
          <w:color w:val="auto"/>
        </w:rPr>
        <w:t>Enforcing Party</w:t>
      </w:r>
      <w:r>
        <w:rPr>
          <w:rFonts w:ascii="Arial" w:cs="Arial" w:eastAsia="Arial" w:hAnsi="Arial"/>
          <w:sz w:val="18"/>
          <w:szCs w:val="18"/>
          <w:color w:val="auto"/>
        </w:rPr>
        <w:t>”) shall keep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reasonably informed of the progress of any such enforcement action, and such other Party shall have the individual right to participate with counsel of its own choice at its own expense.</w:t>
      </w:r>
    </w:p>
    <w:p>
      <w:pPr>
        <w:spacing w:after="0" w:line="6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Section 4.5 Defense of Third Party Claims</w:t>
      </w:r>
      <w:r>
        <w:rPr>
          <w:rFonts w:ascii="Arial" w:cs="Arial" w:eastAsia="Arial" w:hAnsi="Arial"/>
          <w:sz w:val="18"/>
          <w:szCs w:val="18"/>
          <w:color w:val="auto"/>
        </w:rPr>
        <w:t>. If either (a) any Product Exploited by or under authority of RBNC becomes the subject of a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Party’s claim or assertion of Infringement of a patent relating to the manufacture, use, sale, offer for sale or importation of such Product in the Licensed Field in the Territory, or (b) a declaratory judgment action is brought naming</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20"/>
          </w:cols>
          <w:pgMar w:left="880" w:top="270" w:right="499" w:bottom="1440" w:gutter="0" w:footer="0" w:header="0"/>
        </w:sectPr>
      </w:pPr>
    </w:p>
    <w:bookmarkStart w:id="378" w:name="page379"/>
    <w:bookmarkEnd w:id="378"/>
    <w:p>
      <w:pPr>
        <w:ind w:left="44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either Party as a defendant and alleging invalidity or unenforceability of any of the Licensed Patents, Program Patents or Joint Patents, the Party first having notice of the claim or assertion shall promptly notify the other Party, and the Parties shall promptly confer to consider the claim or assertion and the appropriate course of action. Subject to Article 7 (Indemnification), unless the Parties otherwise agree in writing, (i) with respect to claims or assertions in Section 4.5(a), each Party shall have the right to defend itself against a suit that names it as a defendant at its expense, and (ii) with respect to actions in Section 4.5(b) alleging invalidity or unenforceability of any Licensed Patent, Program Patent or Joint Patent, RBNC shall have the first right, but not the obligation, directly or through an Affiliate or Sublicensee, to defend and control the defense of any such action at its expense, and if RBNC elects not to or fails to defend or control the defense of such action, then AMGEN may conduct and control the defense of such action at its expense. Neither Party shall enter into any settlement of any claim described in this Section 4.5 that admits to the invalidity or unenforceability of the Licensed Patents, Program Patents or Joint Patents, incurs any financial liability on the part of the other Party, requires an admission of liability, wrongdoing or fault on the part of the other Party, without the other Party’s prior written consent, in each case such consent not to be unreasonably withheld. In any event, the other Party shall reasonably assist the Party defending a claim, assertion or action in accordance with this Section 4.5 (the “</w:t>
      </w:r>
      <w:r>
        <w:rPr>
          <w:rFonts w:ascii="Arial" w:cs="Arial" w:eastAsia="Arial" w:hAnsi="Arial"/>
          <w:sz w:val="17"/>
          <w:szCs w:val="17"/>
          <w:b w:val="1"/>
          <w:bCs w:val="1"/>
          <w:color w:val="auto"/>
        </w:rPr>
        <w:t>Defending Party</w:t>
      </w:r>
      <w:r>
        <w:rPr>
          <w:rFonts w:ascii="Arial" w:cs="Arial" w:eastAsia="Arial" w:hAnsi="Arial"/>
          <w:sz w:val="17"/>
          <w:szCs w:val="17"/>
          <w:color w:val="auto"/>
        </w:rPr>
        <w:t>”) and cooperate in any such litigation at the Defending Party’s request and expense.</w:t>
      </w:r>
    </w:p>
    <w:p>
      <w:pPr>
        <w:spacing w:after="0" w:line="74" w:lineRule="exact"/>
        <w:rPr>
          <w:sz w:val="20"/>
          <w:szCs w:val="20"/>
          <w:color w:val="auto"/>
        </w:rPr>
      </w:pPr>
    </w:p>
    <w:p>
      <w:pPr>
        <w:ind w:left="440"/>
        <w:spacing w:after="0" w:line="281" w:lineRule="auto"/>
        <w:rPr>
          <w:sz w:val="20"/>
          <w:szCs w:val="20"/>
          <w:color w:val="auto"/>
        </w:rPr>
      </w:pPr>
      <w:r>
        <w:rPr>
          <w:rFonts w:ascii="Arial" w:cs="Arial" w:eastAsia="Arial" w:hAnsi="Arial"/>
          <w:sz w:val="17"/>
          <w:szCs w:val="17"/>
          <w:b w:val="1"/>
          <w:bCs w:val="1"/>
          <w:color w:val="auto"/>
        </w:rPr>
        <w:t>Section 4.6 Recovery</w:t>
      </w:r>
      <w:r>
        <w:rPr>
          <w:rFonts w:ascii="Arial" w:cs="Arial" w:eastAsia="Arial" w:hAnsi="Arial"/>
          <w:sz w:val="17"/>
          <w:szCs w:val="17"/>
          <w:color w:val="auto"/>
        </w:rPr>
        <w:t>. Except as otherwise provided, the costs and expenses of the Party bringing suit under Section 4.4 (Enforcement)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borne by such Party, and any damages, settlements or other monetary awards recovered shall be shared as follows: (a) the amount of such recovery actually received by the Party controlling such action shall first be applied on a pro-rata basis to the out-of-pocket costs of each Party in connection with such action; and then (b) the remainder of the recovery shall be shared as follows:</w:t>
      </w:r>
    </w:p>
    <w:p>
      <w:pPr>
        <w:spacing w:after="0" w:line="74" w:lineRule="exact"/>
        <w:rPr>
          <w:sz w:val="20"/>
          <w:szCs w:val="20"/>
          <w:color w:val="auto"/>
        </w:rPr>
      </w:pPr>
    </w:p>
    <w:p>
      <w:pPr>
        <w:ind w:left="1960" w:hanging="533"/>
        <w:spacing w:after="0"/>
        <w:tabs>
          <w:tab w:leader="none" w:pos="1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RBNC is the Enforcing Party, [***]; and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AMGEN is the Enforcing Party, [***].</w:t>
      </w:r>
    </w:p>
    <w:p>
      <w:pPr>
        <w:spacing w:after="0" w:line="113" w:lineRule="exact"/>
        <w:rPr>
          <w:sz w:val="20"/>
          <w:szCs w:val="20"/>
          <w:color w:val="auto"/>
        </w:rPr>
      </w:pPr>
    </w:p>
    <w:p>
      <w:pPr>
        <w:ind w:left="440" w:right="120"/>
        <w:spacing w:after="0" w:line="303" w:lineRule="auto"/>
        <w:rPr>
          <w:sz w:val="20"/>
          <w:szCs w:val="20"/>
          <w:color w:val="auto"/>
        </w:rPr>
      </w:pPr>
      <w:r>
        <w:rPr>
          <w:rFonts w:ascii="Arial" w:cs="Arial" w:eastAsia="Arial" w:hAnsi="Arial"/>
          <w:sz w:val="16"/>
          <w:szCs w:val="16"/>
          <w:b w:val="1"/>
          <w:bCs w:val="1"/>
          <w:color w:val="auto"/>
        </w:rPr>
        <w:t xml:space="preserve">Section 4.7 Patent Term Extensions and Filings for Regulatory Exclusivity Periods. </w:t>
      </w:r>
      <w:r>
        <w:rPr>
          <w:rFonts w:ascii="Arial" w:cs="Arial" w:eastAsia="Arial" w:hAnsi="Arial"/>
          <w:sz w:val="16"/>
          <w:szCs w:val="16"/>
          <w:color w:val="auto"/>
        </w:rPr>
        <w:t>RBNC will advise AMGEN when it is considering any</w:t>
      </w:r>
      <w:r>
        <w:rPr>
          <w:rFonts w:ascii="Arial" w:cs="Arial" w:eastAsia="Arial" w:hAnsi="Arial"/>
          <w:sz w:val="16"/>
          <w:szCs w:val="16"/>
          <w:b w:val="1"/>
          <w:bCs w:val="1"/>
          <w:color w:val="auto"/>
        </w:rPr>
        <w:t xml:space="preserve"> </w:t>
      </w:r>
      <w:r>
        <w:rPr>
          <w:rFonts w:ascii="Arial" w:cs="Arial" w:eastAsia="Arial" w:hAnsi="Arial"/>
          <w:sz w:val="16"/>
          <w:szCs w:val="16"/>
          <w:color w:val="auto"/>
        </w:rPr>
        <w:t>patent term extension or supplementary protection certificates or their equivalent for the Licensed Patents, Program Patents or Joint Patents. With respect to any patent listings required for any Regulatory Exclusivity for the Products, the Parties will discuss in good faith which Licensed Patents, Joint Patents or Program Patents, if any, to list; provided, the decision as to which Patents are listed resides with RBNC.</w:t>
      </w:r>
    </w:p>
    <w:p>
      <w:pPr>
        <w:spacing w:after="0" w:line="43" w:lineRule="exact"/>
        <w:rPr>
          <w:sz w:val="20"/>
          <w:szCs w:val="20"/>
          <w:color w:val="auto"/>
        </w:rPr>
      </w:pPr>
    </w:p>
    <w:p>
      <w:pPr>
        <w:ind w:left="440" w:right="140"/>
        <w:spacing w:after="0" w:line="347" w:lineRule="auto"/>
        <w:rPr>
          <w:sz w:val="20"/>
          <w:szCs w:val="20"/>
          <w:color w:val="auto"/>
        </w:rPr>
      </w:pPr>
      <w:r>
        <w:rPr>
          <w:rFonts w:ascii="Arial" w:cs="Arial" w:eastAsia="Arial" w:hAnsi="Arial"/>
          <w:sz w:val="16"/>
          <w:szCs w:val="16"/>
          <w:b w:val="1"/>
          <w:bCs w:val="1"/>
          <w:color w:val="auto"/>
        </w:rPr>
        <w:t xml:space="preserve">Section 4.8 Patent Marking. </w:t>
      </w:r>
      <w:r>
        <w:rPr>
          <w:rFonts w:ascii="Arial" w:cs="Arial" w:eastAsia="Arial" w:hAnsi="Arial"/>
          <w:sz w:val="16"/>
          <w:szCs w:val="16"/>
          <w:color w:val="auto"/>
        </w:rPr>
        <w:t>RBNC will mark, and will cause all other Selling Parties to mark, the Products with all Joint Patents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applicable Law, which marking obligation will continue for as long as (and only for as long as) required under applicable Law.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OBLIGATIONS OF THE PARTIES</w:t>
      </w:r>
    </w:p>
    <w:p>
      <w:pPr>
        <w:spacing w:after="0" w:line="117" w:lineRule="exact"/>
        <w:rPr>
          <w:sz w:val="20"/>
          <w:szCs w:val="20"/>
          <w:color w:val="auto"/>
        </w:rPr>
      </w:pPr>
    </w:p>
    <w:p>
      <w:pPr>
        <w:jc w:val="both"/>
        <w:ind w:left="440" w:right="260"/>
        <w:spacing w:after="0" w:line="266" w:lineRule="auto"/>
        <w:rPr>
          <w:sz w:val="20"/>
          <w:szCs w:val="20"/>
          <w:color w:val="auto"/>
        </w:rPr>
      </w:pPr>
      <w:r>
        <w:rPr>
          <w:rFonts w:ascii="Arial" w:cs="Arial" w:eastAsia="Arial" w:hAnsi="Arial"/>
          <w:sz w:val="18"/>
          <w:szCs w:val="18"/>
          <w:b w:val="1"/>
          <w:bCs w:val="1"/>
          <w:color w:val="auto"/>
        </w:rPr>
        <w:t xml:space="preserve">Section 5.1 Responsibility. </w:t>
      </w:r>
      <w:r>
        <w:rPr>
          <w:rFonts w:ascii="Arial" w:cs="Arial" w:eastAsia="Arial" w:hAnsi="Arial"/>
          <w:sz w:val="18"/>
          <w:szCs w:val="18"/>
          <w:color w:val="auto"/>
        </w:rPr>
        <w:t>Following the Effective Date and at all times during the Term (except as expressly stated otherwise herein), RBNC</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solely responsible for, and shall bear all costs associated with, the Exploitation of the Licensed Compounds, Program Compounds and Products in the Licensed Field in the Territory, including regulatory,</w:t>
      </w:r>
    </w:p>
    <w:p>
      <w:pPr>
        <w:spacing w:after="0" w:line="1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79" w:name="page380"/>
    <w:bookmarkEnd w:id="379"/>
    <w:p>
      <w:pPr>
        <w:jc w:val="both"/>
        <w:ind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manufacturing, distribution, marketing and sales activities. Subject to the express written terms of this Agreement, all decisions concerning the development, marketing and sales of Products in the Licensed Field in the Territory including the clinical and regulatory strategy, design, sale, price and promotion of Products covered under this Agreement shall be within the sole discretion of RBNC.</w:t>
      </w:r>
    </w:p>
    <w:p>
      <w:pPr>
        <w:spacing w:after="0" w:line="5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Section 5.2 Diligence. </w:t>
      </w:r>
      <w:r>
        <w:rPr>
          <w:rFonts w:ascii="Arial" w:cs="Arial" w:eastAsia="Arial" w:hAnsi="Arial"/>
          <w:sz w:val="18"/>
          <w:szCs w:val="18"/>
          <w:color w:val="auto"/>
        </w:rPr>
        <w:t>RBNC shall (directly and/or through one or more Affiliates and/or Sublicensees) use Commercially Reasonable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develop, manufacture, obtain Marketing Approval and commercialize at least one (1) Product. RBNC shall notify AMGEN immediately upon obtaining Marketing Approval for a Product in each country.</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Section 5.3 Reports. </w:t>
      </w:r>
      <w:r>
        <w:rPr>
          <w:rFonts w:ascii="Arial" w:cs="Arial" w:eastAsia="Arial" w:hAnsi="Arial"/>
          <w:sz w:val="18"/>
          <w:szCs w:val="18"/>
          <w:color w:val="auto"/>
        </w:rPr>
        <w:t>Within [***] days of the beginning of each Calendar Year, with respect to each Product until the first commercial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Product, RBNC shall submit to AMGEN a [***] providing the status of RBNC’s and its Affiliates’ and Sublicensees’ activities related to the research and development of and Marketing Approval for such Products during the [***], and plans for future activities related to the research and development of and Marketing Approval for such Products [***], in each case in relation to the last updated development plan including any updates to the clinical plans. In addition, with respect to each Phase II Clinical Trial completed for any Product during the ROFN Period, as promptly as practicable following completion of such Clinical Trial, RBNC shall prepare and deliver to Amgen the Clinical Trial Report with respect to such Phase II Clinical Trial.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Distracting Programs.</w:t>
      </w:r>
    </w:p>
    <w:p>
      <w:pPr>
        <w:spacing w:after="0" w:line="117" w:lineRule="exact"/>
        <w:rPr>
          <w:sz w:val="20"/>
          <w:szCs w:val="20"/>
          <w:color w:val="auto"/>
        </w:rPr>
      </w:pPr>
    </w:p>
    <w:p>
      <w:pPr>
        <w:ind w:right="40" w:firstLine="423"/>
        <w:spacing w:after="0" w:line="286" w:lineRule="auto"/>
        <w:rPr>
          <w:sz w:val="20"/>
          <w:szCs w:val="20"/>
          <w:color w:val="auto"/>
        </w:rPr>
      </w:pPr>
      <w:r>
        <w:rPr>
          <w:rFonts w:ascii="Arial" w:cs="Arial" w:eastAsia="Arial" w:hAnsi="Arial"/>
          <w:sz w:val="16"/>
          <w:szCs w:val="16"/>
          <w:b w:val="1"/>
          <w:bCs w:val="1"/>
          <w:color w:val="auto"/>
        </w:rPr>
        <w:t>5.4.1 Distracting Programs</w:t>
      </w:r>
      <w:r>
        <w:rPr>
          <w:rFonts w:ascii="Arial" w:cs="Arial" w:eastAsia="Arial" w:hAnsi="Arial"/>
          <w:sz w:val="16"/>
          <w:szCs w:val="16"/>
          <w:color w:val="auto"/>
        </w:rPr>
        <w:t>. Except as set forth in Section 5.4.2 (RBNC Election), Section 5.4.3 (Post-Effective Date Affiliates)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5.4.4 (Termination or Divestiture), during the Term until the [***] anniversary of the First Commercial Sale of the first Product in the United States, RBNC shall not (and shall ensure its Affiliates and Sublicensees do not) (a) directly, or indirectly with or through a Third Party, conduct or participate in any Distracting Program, or (b) enable a Third Party, by granting a license, sublicense or other rights to such Third Party, to conduct or participate in any Distracting Program. For clarity, any failure of any RBNC Affiliate or Sublicensee to comply with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Section 5.4.1 shall be deemed a breach by RBNC.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5.4.2 RBNC Election</w:t>
      </w:r>
      <w:r>
        <w:rPr>
          <w:rFonts w:ascii="Arial" w:cs="Arial" w:eastAsia="Arial" w:hAnsi="Arial"/>
          <w:sz w:val="18"/>
          <w:szCs w:val="18"/>
          <w:color w:val="auto"/>
        </w:rPr>
        <w:t>.</w:t>
      </w:r>
    </w:p>
    <w:p>
      <w:pPr>
        <w:spacing w:after="0" w:line="117" w:lineRule="exact"/>
        <w:rPr>
          <w:sz w:val="20"/>
          <w:szCs w:val="20"/>
          <w:color w:val="auto"/>
        </w:rPr>
      </w:pPr>
    </w:p>
    <w:p>
      <w:pPr>
        <w:ind w:left="980" w:firstLine="8"/>
        <w:spacing w:after="0" w:line="261" w:lineRule="auto"/>
        <w:tabs>
          <w:tab w:leader="none" w:pos="1225"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Distracting Program</w:t>
      </w:r>
      <w:r>
        <w:rPr>
          <w:rFonts w:ascii="Arial" w:cs="Arial" w:eastAsia="Arial" w:hAnsi="Arial"/>
          <w:sz w:val="18"/>
          <w:szCs w:val="18"/>
          <w:color w:val="auto"/>
        </w:rPr>
        <w:t>. In the event that RBNC or its Affiliate or its Sublicensee gains rights to a Distracting Program, then</w:t>
      </w:r>
      <w:r>
        <w:rPr>
          <w:rFonts w:ascii="Arial" w:cs="Arial" w:eastAsia="Arial" w:hAnsi="Arial"/>
          <w:sz w:val="18"/>
          <w:szCs w:val="18"/>
          <w:b w:val="1"/>
          <w:bCs w:val="1"/>
          <w:color w:val="auto"/>
        </w:rPr>
        <w:t xml:space="preserve"> </w:t>
      </w:r>
      <w:r>
        <w:rPr>
          <w:rFonts w:ascii="Arial" w:cs="Arial" w:eastAsia="Arial" w:hAnsi="Arial"/>
          <w:sz w:val="18"/>
          <w:szCs w:val="18"/>
          <w:color w:val="auto"/>
        </w:rPr>
        <w:t>RBNC shall provide prompt written notice (in all events within [***] days of gaining such rights) to AMGEN and include in such notice whether RBNC elects to treat all Distracting Product(s) that are the subject of such Distracting Program as “Product(s)” under this Agreement.</w:t>
      </w:r>
    </w:p>
    <w:p>
      <w:pPr>
        <w:spacing w:after="0" w:line="71" w:lineRule="exact"/>
        <w:rPr>
          <w:rFonts w:ascii="Arial" w:cs="Arial" w:eastAsia="Arial" w:hAnsi="Arial"/>
          <w:sz w:val="18"/>
          <w:szCs w:val="18"/>
          <w:color w:val="auto"/>
        </w:rPr>
      </w:pPr>
    </w:p>
    <w:p>
      <w:pPr>
        <w:ind w:left="980" w:firstLine="8"/>
        <w:spacing w:after="0" w:line="298" w:lineRule="auto"/>
        <w:tabs>
          <w:tab w:leader="none" w:pos="1235"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De Novo Compounds</w:t>
      </w:r>
      <w:r>
        <w:rPr>
          <w:rFonts w:ascii="Arial" w:cs="Arial" w:eastAsia="Arial" w:hAnsi="Arial"/>
          <w:sz w:val="16"/>
          <w:szCs w:val="16"/>
          <w:color w:val="auto"/>
        </w:rPr>
        <w:t>. In the event that RBNC or its Affiliate or its Sublicensee gains rights to Exploit a De Novo Compound or</w:t>
      </w:r>
      <w:r>
        <w:rPr>
          <w:rFonts w:ascii="Arial" w:cs="Arial" w:eastAsia="Arial" w:hAnsi="Arial"/>
          <w:sz w:val="16"/>
          <w:szCs w:val="16"/>
          <w:b w:val="1"/>
          <w:bCs w:val="1"/>
          <w:color w:val="auto"/>
        </w:rPr>
        <w:t xml:space="preserve"> </w:t>
      </w:r>
      <w:r>
        <w:rPr>
          <w:rFonts w:ascii="Arial" w:cs="Arial" w:eastAsia="Arial" w:hAnsi="Arial"/>
          <w:sz w:val="16"/>
          <w:szCs w:val="16"/>
          <w:color w:val="auto"/>
        </w:rPr>
        <w:t>De Novo Product, then RBNC shall provide prompt written notice (promptly following the later of such acquisition or the filing of any patent application with respect to a De Novo Compound or De Novo Product, and in all cases before any Licensed Know How is used or practiced in connection with such De Novo Compound or De Novo Product) to AMGEN and include in such notice whether RBNC elects to treat any such De Novo Compound and related De Novo Product as a “Product” under this Agreement.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40"/>
          </w:cols>
          <w:pgMar w:left="880" w:top="274" w:right="479" w:bottom="1440" w:gutter="0" w:footer="0" w:header="0"/>
        </w:sectPr>
      </w:pPr>
    </w:p>
    <w:bookmarkStart w:id="380" w:name="page381"/>
    <w:bookmarkEnd w:id="380"/>
    <w:p>
      <w:pPr>
        <w:ind w:left="980" w:firstLine="8"/>
        <w:spacing w:after="0" w:line="287" w:lineRule="auto"/>
        <w:tabs>
          <w:tab w:leader="none" w:pos="1225" w:val="left"/>
        </w:tabs>
        <w:numPr>
          <w:ilvl w:val="0"/>
          <w:numId w:val="22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Newly Added Products</w:t>
      </w:r>
      <w:r>
        <w:rPr>
          <w:rFonts w:ascii="Arial" w:cs="Arial" w:eastAsia="Arial" w:hAnsi="Arial"/>
          <w:sz w:val="16"/>
          <w:szCs w:val="16"/>
          <w:color w:val="auto"/>
        </w:rPr>
        <w:t>. If RBNC makes an election in the notice provided to AMGEN pursuant to Section 5.4.2(a) or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5.4.2(b) to treat a Distracting Product (including, for clarity, a De Novo Product) as a “Product”, then any such Distracting Product (including, for clarity, a De Novo Product) will thereafter be considered a “Product” for purposes of this Agreement (a “</w:t>
      </w:r>
      <w:r>
        <w:rPr>
          <w:rFonts w:ascii="Arial" w:cs="Arial" w:eastAsia="Arial" w:hAnsi="Arial"/>
          <w:sz w:val="16"/>
          <w:szCs w:val="16"/>
          <w:b w:val="1"/>
          <w:bCs w:val="1"/>
          <w:color w:val="auto"/>
        </w:rPr>
        <w:t>Newly Added Product</w:t>
      </w:r>
      <w:r>
        <w:rPr>
          <w:rFonts w:ascii="Arial" w:cs="Arial" w:eastAsia="Arial" w:hAnsi="Arial"/>
          <w:sz w:val="16"/>
          <w:szCs w:val="16"/>
          <w:color w:val="auto"/>
        </w:rPr>
        <w:t>”) and would cease to be considered a “Distracting Product” giving rise to a “Distracting Program” that is prohibited under Section 5.4.1. The Parties acknowledge and agree that, notwithstanding anything to the contrary herein, products containing RBNC Compounds are deemed Newly Added Products as of the Effective Date. RBNC’s (or its Affiliate’s or its Sublicensee’s) exploitation of the Newly Added Product would be subject to all diligence and reporting obligations under this Agreement as well as Milestone Payment and royalty obligations contemplated under this Agreement in each case from and after the time such Product becomes a Newly Added Product (for clarification, there shall be no obligation to make any back-payment of Milestone Payments that would have been triggered by such Newly Added Product had such Newly Added Product been considered a “Product” at the time such Milestone occurred). Any Patent Rights controlled by RBNC or its Affiliates or its Sublicensees (including, for clarity, any in-licensed Patent Rights) Covering such Newly Added Product would be considered “Program Patents” for purposes of determining the Royalty Term, royalties, and royalty reductions applicable to such Newly Added Product.</w:t>
      </w:r>
    </w:p>
    <w:p>
      <w:pPr>
        <w:spacing w:after="0" w:line="56" w:lineRule="exact"/>
        <w:rPr>
          <w:sz w:val="20"/>
          <w:szCs w:val="20"/>
          <w:color w:val="auto"/>
        </w:rPr>
      </w:pPr>
    </w:p>
    <w:p>
      <w:pPr>
        <w:ind w:right="120" w:firstLine="423"/>
        <w:spacing w:after="0" w:line="277" w:lineRule="auto"/>
        <w:rPr>
          <w:sz w:val="20"/>
          <w:szCs w:val="20"/>
          <w:color w:val="auto"/>
        </w:rPr>
      </w:pPr>
      <w:r>
        <w:rPr>
          <w:rFonts w:ascii="Arial" w:cs="Arial" w:eastAsia="Arial" w:hAnsi="Arial"/>
          <w:sz w:val="17"/>
          <w:szCs w:val="17"/>
          <w:b w:val="1"/>
          <w:bCs w:val="1"/>
          <w:color w:val="auto"/>
        </w:rPr>
        <w:t xml:space="preserve">5.4.3 Post-Effective Date Affiliates. </w:t>
      </w:r>
      <w:r>
        <w:rPr>
          <w:rFonts w:ascii="Arial" w:cs="Arial" w:eastAsia="Arial" w:hAnsi="Arial"/>
          <w:sz w:val="17"/>
          <w:szCs w:val="17"/>
          <w:color w:val="auto"/>
        </w:rPr>
        <w:t>In the event that RBNC or its Affiliates or Sublicensees enters into a Distracting Transaction with a</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Party (and for clarity, RBNC has not elected to treat such Distracting Product as a Newly Added Product pursuant to Section 5.4.2), then RBNC shall provide prompt written notice to AMGEN. Until the provisions of Section 5.4.4 (Termination or Divestiture) are effectuated, RBNC (or its Sublicensee) shall ensure that information and materials relating to the Products or activities hereunder are not shared with or used for the benefit of, and are sequestered from, Distracting Transaction Affiliate(s).</w:t>
      </w:r>
    </w:p>
    <w:p>
      <w:pPr>
        <w:spacing w:after="0" w:line="60" w:lineRule="exact"/>
        <w:rPr>
          <w:sz w:val="20"/>
          <w:szCs w:val="20"/>
          <w:color w:val="auto"/>
        </w:rPr>
      </w:pPr>
    </w:p>
    <w:p>
      <w:pPr>
        <w:ind w:right="20" w:firstLine="423"/>
        <w:spacing w:after="0" w:line="258" w:lineRule="auto"/>
        <w:rPr>
          <w:sz w:val="20"/>
          <w:szCs w:val="20"/>
          <w:color w:val="auto"/>
        </w:rPr>
      </w:pPr>
      <w:r>
        <w:rPr>
          <w:rFonts w:ascii="Arial" w:cs="Arial" w:eastAsia="Arial" w:hAnsi="Arial"/>
          <w:sz w:val="18"/>
          <w:szCs w:val="18"/>
          <w:b w:val="1"/>
          <w:bCs w:val="1"/>
          <w:color w:val="auto"/>
        </w:rPr>
        <w:t>5.4.4 Termination or Divestiture</w:t>
      </w:r>
      <w:r>
        <w:rPr>
          <w:rFonts w:ascii="Arial" w:cs="Arial" w:eastAsia="Arial" w:hAnsi="Arial"/>
          <w:sz w:val="18"/>
          <w:szCs w:val="18"/>
          <w:color w:val="auto"/>
        </w:rPr>
        <w:t>. The notice provided pursuant to Section 5.4.3 (Post-Effective Date Affiliates) shall include a notification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to whether RBNC (or its Affiliate or Sublicensee) intends to: (a) Divest the Distracting Program, in which case [***]; or (b) terminate such Distracting Program, in which case [***] or (c) in the case of a Sublicensee, terminate the Sublicense Agreement with respect to the Product [***]. In the event RBNC (or its Affiliate or Sublicensee) elects to Divest the Distracting Program under subsection (a) [***], then (i) [***] or (ii) [***].</w:t>
      </w:r>
    </w:p>
    <w:p>
      <w:pPr>
        <w:spacing w:after="0" w:line="75"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 xml:space="preserve">Section 5.5 Reasonable Restrictions. </w:t>
      </w:r>
      <w:r>
        <w:rPr>
          <w:rFonts w:ascii="Arial" w:cs="Arial" w:eastAsia="Arial" w:hAnsi="Arial"/>
          <w:sz w:val="17"/>
          <w:szCs w:val="17"/>
          <w:color w:val="auto"/>
        </w:rPr>
        <w:t>Each of the Parties acknowledges that the provisions of Section 5.4 (Distracting Programs) are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and necessary to protect the legitimate interests of the other Party and to encourage the free sharing of information between the Parties with respect to the Products and each of the Parties agrees not to contest such limitations in any proceeding.</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40"/>
          </w:cols>
          <w:pgMar w:left="880" w:top="270" w:right="479" w:bottom="1440" w:gutter="0" w:footer="0" w:header="0"/>
        </w:sectPr>
      </w:pPr>
    </w:p>
    <w:bookmarkStart w:id="381" w:name="page382"/>
    <w:bookmarkEnd w:id="381"/>
    <w:p>
      <w:pPr>
        <w:ind w:right="4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5.6 Exclusivity</w:t>
      </w:r>
      <w:r>
        <w:rPr>
          <w:rFonts w:ascii="Arial" w:cs="Arial" w:eastAsia="Arial" w:hAnsi="Arial"/>
          <w:sz w:val="18"/>
          <w:szCs w:val="18"/>
          <w:color w:val="auto"/>
        </w:rPr>
        <w:t>. During the Term until [***], AMGEN will not and will ensure its Affiliates do not (a) directly, or indirectly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Third Party, [***].</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5.7 Filings, Consents and Approvals</w:t>
      </w:r>
    </w:p>
    <w:p>
      <w:pPr>
        <w:spacing w:after="0" w:line="117" w:lineRule="exact"/>
        <w:rPr>
          <w:sz w:val="20"/>
          <w:szCs w:val="20"/>
          <w:color w:val="auto"/>
        </w:rPr>
      </w:pPr>
    </w:p>
    <w:p>
      <w:pPr>
        <w:ind w:right="20" w:firstLine="423"/>
        <w:spacing w:after="0" w:line="258" w:lineRule="auto"/>
        <w:rPr>
          <w:sz w:val="20"/>
          <w:szCs w:val="20"/>
          <w:color w:val="auto"/>
        </w:rPr>
      </w:pPr>
      <w:r>
        <w:rPr>
          <w:rFonts w:ascii="Arial" w:cs="Arial" w:eastAsia="Arial" w:hAnsi="Arial"/>
          <w:sz w:val="18"/>
          <w:szCs w:val="18"/>
          <w:b w:val="1"/>
          <w:bCs w:val="1"/>
          <w:color w:val="auto"/>
        </w:rPr>
        <w:t xml:space="preserve">5.7.1 </w:t>
      </w:r>
      <w:r>
        <w:rPr>
          <w:rFonts w:ascii="Arial" w:cs="Arial" w:eastAsia="Arial" w:hAnsi="Arial"/>
          <w:sz w:val="18"/>
          <w:szCs w:val="18"/>
          <w:color w:val="auto"/>
        </w:rPr>
        <w:t>To the extent permitted by applicable Law, each of AMGEN and RBNC shall consult and cooperate with one another, and consider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the views of one another, in connection with any analyses, appearances, presentations, memoranda, briefs, arguments, opinions and proposals made or submitted by or on behalf of any Party hereto in connection with proceedings under or relating to the HSR Act, and HSR Filing or any applicable foreign antitrust or competition-related legal requirement. AMGEN and RBNC shall cooperate fully with each other in connection with the making of all such filings or responses.</w:t>
      </w:r>
    </w:p>
    <w:p>
      <w:pPr>
        <w:spacing w:after="0" w:line="75" w:lineRule="exact"/>
        <w:rPr>
          <w:sz w:val="20"/>
          <w:szCs w:val="20"/>
          <w:color w:val="auto"/>
        </w:rPr>
      </w:pPr>
    </w:p>
    <w:p>
      <w:pPr>
        <w:ind w:right="60" w:firstLine="423"/>
        <w:spacing w:after="0" w:line="254" w:lineRule="auto"/>
        <w:rPr>
          <w:sz w:val="20"/>
          <w:szCs w:val="20"/>
          <w:color w:val="auto"/>
        </w:rPr>
      </w:pPr>
      <w:r>
        <w:rPr>
          <w:rFonts w:ascii="Arial" w:cs="Arial" w:eastAsia="Arial" w:hAnsi="Arial"/>
          <w:sz w:val="18"/>
          <w:szCs w:val="18"/>
          <w:b w:val="1"/>
          <w:bCs w:val="1"/>
          <w:color w:val="auto"/>
        </w:rPr>
        <w:t xml:space="preserve">5.7.2 </w:t>
      </w:r>
      <w:r>
        <w:rPr>
          <w:rFonts w:ascii="Arial" w:cs="Arial" w:eastAsia="Arial" w:hAnsi="Arial"/>
          <w:sz w:val="18"/>
          <w:szCs w:val="18"/>
          <w:color w:val="auto"/>
        </w:rPr>
        <w:t>Each of AMGEN and RBNC shall notify the other promptly upon the receipt of: (i) any communication from any official of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in connection with any HSR Filing; (ii) knowledge of the commencement or threat of commencement of any legal proceeding or before any Governmental Authority with respect to the transactions under this Agreement (and shall keep the other Party informed as to the status of any such legal proceeding or threat); and (iii) any request by any official of any Governmental Authority for any amendment or supplement to any HSR Filing or any information required to comply with any legal requirement applicable to the transactions under this Agreement. In addition, except as may be prohibited by any Governmental Authority or by any applicable Law each Party hereto will permit authorized representatives of the other Parties to be present at each meeting or telephone call and to have access to and be consulted in connection with any document, opinion or proposal made or submitted to any Governmental Authority in connection with such communication, request or proceeding.</w:t>
      </w:r>
    </w:p>
    <w:p>
      <w:pPr>
        <w:spacing w:after="0" w:line="80" w:lineRule="exact"/>
        <w:rPr>
          <w:sz w:val="20"/>
          <w:szCs w:val="20"/>
          <w:color w:val="auto"/>
        </w:rPr>
      </w:pPr>
    </w:p>
    <w:p>
      <w:pPr>
        <w:ind w:right="140" w:firstLine="423"/>
        <w:spacing w:after="0" w:line="258" w:lineRule="auto"/>
        <w:rPr>
          <w:sz w:val="20"/>
          <w:szCs w:val="20"/>
          <w:color w:val="auto"/>
        </w:rPr>
      </w:pPr>
      <w:r>
        <w:rPr>
          <w:rFonts w:ascii="Arial" w:cs="Arial" w:eastAsia="Arial" w:hAnsi="Arial"/>
          <w:sz w:val="18"/>
          <w:szCs w:val="18"/>
          <w:b w:val="1"/>
          <w:bCs w:val="1"/>
          <w:color w:val="auto"/>
        </w:rPr>
        <w:t xml:space="preserve">5.7.3 </w:t>
      </w:r>
      <w:r>
        <w:rPr>
          <w:rFonts w:ascii="Arial" w:cs="Arial" w:eastAsia="Arial" w:hAnsi="Arial"/>
          <w:sz w:val="18"/>
          <w:szCs w:val="18"/>
          <w:color w:val="auto"/>
        </w:rPr>
        <w:t>Subject to the terms and conditions of this Agreement, each of AMGEN and RBNC shall use its Commercially Reasonable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take, or cause to be taken, all other actions and do, or cause to be done, all other things necessary, proper or advisable under applicable Law to consummate the transactions contemplated by this Agreement, including (i) making all filings and submissions under the HSR Act, to the extent required, as promptly as practicable after the date hereof and (ii) obtaining as promptly as practicable the expiration of any waiting period under the HSR Act, if applicable.</w:t>
      </w:r>
    </w:p>
    <w:p>
      <w:pPr>
        <w:spacing w:after="0" w:line="75" w:lineRule="exact"/>
        <w:rPr>
          <w:sz w:val="20"/>
          <w:szCs w:val="20"/>
          <w:color w:val="auto"/>
        </w:rPr>
      </w:pPr>
    </w:p>
    <w:p>
      <w:pPr>
        <w:ind w:firstLine="423"/>
        <w:spacing w:after="0" w:line="294" w:lineRule="auto"/>
        <w:rPr>
          <w:sz w:val="20"/>
          <w:szCs w:val="20"/>
          <w:color w:val="auto"/>
        </w:rPr>
      </w:pPr>
      <w:r>
        <w:rPr>
          <w:rFonts w:ascii="Arial" w:cs="Arial" w:eastAsia="Arial" w:hAnsi="Arial"/>
          <w:sz w:val="16"/>
          <w:szCs w:val="16"/>
          <w:b w:val="1"/>
          <w:bCs w:val="1"/>
          <w:color w:val="auto"/>
        </w:rPr>
        <w:t xml:space="preserve">5.7.4 </w:t>
      </w:r>
      <w:r>
        <w:rPr>
          <w:rFonts w:ascii="Arial" w:cs="Arial" w:eastAsia="Arial" w:hAnsi="Arial"/>
          <w:sz w:val="16"/>
          <w:szCs w:val="16"/>
          <w:color w:val="auto"/>
        </w:rPr>
        <w:t>Notwithstanding anything in this Agreement to the contrary, it is expressly understood and agreed that: (i) neither AMGEN nor RBNC</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any obligation to litigate or contest any administrative or judicial action or proceeding or any decree, judgment, injunction or other order, whether temporary, preliminary or permanent; and (ii) neither AMGEN nor RBNC shall be under any obligation to make proposals, execute or carry out agreements, enter into consent decrees or submit to orders providing for (a) the sale, divestiture, license or other disposition or holding separate (through the establishment of a trust or otherwise) of any assets or categories of assets of AMGEN or RBNC or any of their subsidiaries, or (b) the imposition of any limitation or regulation on the ability of AMGEN or RBNC to freely conduct their business or own such assets.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0"/>
          </w:cols>
          <w:pgMar w:left="880" w:top="270" w:right="459"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6. REPRESENTATIONS</w:t>
      </w:r>
    </w:p>
    <w:p>
      <w:pPr>
        <w:spacing w:after="0" w:line="117" w:lineRule="exact"/>
        <w:rPr>
          <w:sz w:val="20"/>
          <w:szCs w:val="20"/>
          <w:color w:val="auto"/>
        </w:rPr>
      </w:pPr>
    </w:p>
    <w:p>
      <w:pPr>
        <w:ind w:left="440" w:right="120"/>
        <w:spacing w:after="0" w:line="282" w:lineRule="auto"/>
        <w:rPr>
          <w:sz w:val="20"/>
          <w:szCs w:val="20"/>
          <w:color w:val="auto"/>
        </w:rPr>
      </w:pPr>
      <w:r>
        <w:rPr>
          <w:rFonts w:ascii="Arial" w:cs="Arial" w:eastAsia="Arial" w:hAnsi="Arial"/>
          <w:sz w:val="18"/>
          <w:szCs w:val="18"/>
          <w:b w:val="1"/>
          <w:bCs w:val="1"/>
          <w:color w:val="auto"/>
        </w:rPr>
        <w:t>Section 6.1 Mutual Representations and Warranties</w:t>
      </w:r>
      <w:r>
        <w:rPr>
          <w:rFonts w:ascii="Arial" w:cs="Arial" w:eastAsia="Arial" w:hAnsi="Arial"/>
          <w:sz w:val="18"/>
          <w:szCs w:val="18"/>
          <w:color w:val="auto"/>
        </w:rPr>
        <w:t>. Each of AMGEN and RBNC represent and warrant that, as of the Execution Date and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w:t>
      </w:r>
    </w:p>
    <w:p>
      <w:pPr>
        <w:spacing w:after="0" w:line="71" w:lineRule="exact"/>
        <w:rPr>
          <w:sz w:val="20"/>
          <w:szCs w:val="20"/>
          <w:color w:val="auto"/>
        </w:rPr>
      </w:pPr>
    </w:p>
    <w:p>
      <w:pPr>
        <w:ind w:left="1960" w:hanging="533"/>
        <w:spacing w:after="0" w:line="277" w:lineRule="auto"/>
        <w:tabs>
          <w:tab w:leader="none" w:pos="19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 of the jurisdiction of its formation, and has full power and authority to enter into this Agreement and to carry out the provisions hereof;</w:t>
      </w:r>
    </w:p>
    <w:p>
      <w:pPr>
        <w:spacing w:after="0" w:line="75" w:lineRule="exact"/>
        <w:rPr>
          <w:rFonts w:ascii="Arial" w:cs="Arial" w:eastAsia="Arial" w:hAnsi="Arial"/>
          <w:sz w:val="18"/>
          <w:szCs w:val="18"/>
          <w:color w:val="auto"/>
        </w:rPr>
      </w:pPr>
    </w:p>
    <w:p>
      <w:pPr>
        <w:ind w:left="1960" w:right="500" w:hanging="533"/>
        <w:spacing w:after="0" w:line="308" w:lineRule="auto"/>
        <w:tabs>
          <w:tab w:leader="none" w:pos="19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it is duly authorized to execute and deliver this Agreement and to perform its obligations hereunder, and the individual executing this Agreement on its behalf has been duly authorized to do so by all requisite action;</w:t>
      </w:r>
    </w:p>
    <w:p>
      <w:pPr>
        <w:spacing w:after="0" w:line="51" w:lineRule="exact"/>
        <w:rPr>
          <w:rFonts w:ascii="Arial" w:cs="Arial" w:eastAsia="Arial" w:hAnsi="Arial"/>
          <w:sz w:val="17"/>
          <w:szCs w:val="17"/>
          <w:color w:val="auto"/>
        </w:rPr>
      </w:pPr>
    </w:p>
    <w:p>
      <w:pPr>
        <w:ind w:left="1960" w:right="220" w:hanging="533"/>
        <w:spacing w:after="0" w:line="263" w:lineRule="auto"/>
        <w:tabs>
          <w:tab w:leader="none" w:pos="19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it shall comply with all applicable Law (including applicable Law relating to data protection and privacy), Proper Conduct Practices, Health Care Laws and Anti-Corruption Laws in connection with the performance of its rights, duties and obligations under this Agreement;</w:t>
      </w:r>
    </w:p>
    <w:p>
      <w:pPr>
        <w:spacing w:after="0" w:line="89" w:lineRule="exact"/>
        <w:rPr>
          <w:rFonts w:ascii="Arial" w:cs="Arial" w:eastAsia="Arial" w:hAnsi="Arial"/>
          <w:sz w:val="18"/>
          <w:szCs w:val="18"/>
          <w:color w:val="auto"/>
        </w:rPr>
      </w:pPr>
    </w:p>
    <w:p>
      <w:pPr>
        <w:ind w:left="1960" w:right="240" w:hanging="533"/>
        <w:spacing w:after="0" w:line="263" w:lineRule="auto"/>
        <w:tabs>
          <w:tab w:leader="none" w:pos="19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this Agreement is legally binding upon it and enforceable in accordance with its terms. The execution, delivery and performance of this Agreement by it does not conflict with any agreement, instrument or understanding, oral or written, to which it is a party or by which it may be bound, nor violate any material applicable Law; and</w:t>
      </w:r>
    </w:p>
    <w:p>
      <w:pPr>
        <w:spacing w:after="0" w:line="89" w:lineRule="exact"/>
        <w:rPr>
          <w:rFonts w:ascii="Arial" w:cs="Arial" w:eastAsia="Arial" w:hAnsi="Arial"/>
          <w:sz w:val="18"/>
          <w:szCs w:val="18"/>
          <w:color w:val="auto"/>
        </w:rPr>
      </w:pPr>
    </w:p>
    <w:p>
      <w:pPr>
        <w:ind w:left="1960" w:right="220" w:hanging="533"/>
        <w:spacing w:after="0" w:line="277" w:lineRule="auto"/>
        <w:tabs>
          <w:tab w:leader="none" w:pos="19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neither Party nor such Party’s officers or directors are Sanctioned Persons, nor are they owned fifty percent (50%) or more individually, or in the aggregate by, or Controlled by, any Sanctioned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Section 6.2 Additional AMGEN Warranties. </w:t>
      </w:r>
      <w:r>
        <w:rPr>
          <w:rFonts w:ascii="Arial" w:cs="Arial" w:eastAsia="Arial" w:hAnsi="Arial"/>
          <w:sz w:val="17"/>
          <w:szCs w:val="17"/>
          <w:color w:val="auto"/>
        </w:rPr>
        <w:t>AMGEN warrants to RBNC that, as of the Execution Date and as of the Effective Date:</w:t>
      </w:r>
    </w:p>
    <w:p>
      <w:pPr>
        <w:spacing w:after="0" w:line="146" w:lineRule="exact"/>
        <w:rPr>
          <w:sz w:val="20"/>
          <w:szCs w:val="20"/>
          <w:color w:val="auto"/>
        </w:rPr>
      </w:pPr>
    </w:p>
    <w:p>
      <w:pPr>
        <w:ind w:left="1960" w:right="80" w:hanging="533"/>
        <w:spacing w:after="0" w:line="263" w:lineRule="auto"/>
        <w:tabs>
          <w:tab w:leader="none" w:pos="1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Neither AMGEN nor any of its Affiliates has (i) entered into an agreement granting any right, interest or claim in or to, any Licensed Patents or Exclusively Licensed Know-How to any Third Party; or (ii) transferred any of the Licensed Compounds to a Third Party for Exploitation in the Licensed Field in the Territory;</w:t>
      </w:r>
    </w:p>
    <w:p>
      <w:pPr>
        <w:spacing w:after="0" w:line="89" w:lineRule="exact"/>
        <w:rPr>
          <w:rFonts w:ascii="Arial" w:cs="Arial" w:eastAsia="Arial" w:hAnsi="Arial"/>
          <w:sz w:val="18"/>
          <w:szCs w:val="18"/>
          <w:color w:val="auto"/>
        </w:rPr>
      </w:pPr>
    </w:p>
    <w:p>
      <w:pPr>
        <w:ind w:left="1960" w:right="200" w:hanging="533"/>
        <w:spacing w:after="0" w:line="277" w:lineRule="auto"/>
        <w:tabs>
          <w:tab w:leader="none" w:pos="1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AMGEN has full legal or beneficial title and ownership to the Licensed Compounds as is necessary to grant the licenses to RBNC to such Licensed Compounds that AMGEN grants pursuant to this Agreement;</w:t>
      </w:r>
    </w:p>
    <w:p>
      <w:pPr>
        <w:spacing w:after="0" w:line="75" w:lineRule="exact"/>
        <w:rPr>
          <w:rFonts w:ascii="Arial" w:cs="Arial" w:eastAsia="Arial" w:hAnsi="Arial"/>
          <w:sz w:val="18"/>
          <w:szCs w:val="18"/>
          <w:color w:val="auto"/>
        </w:rPr>
      </w:pPr>
    </w:p>
    <w:p>
      <w:pPr>
        <w:ind w:left="1960" w:right="380" w:hanging="533"/>
        <w:spacing w:after="0" w:line="277" w:lineRule="auto"/>
        <w:tabs>
          <w:tab w:leader="none" w:pos="1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AMGEN has full legal or beneficial title and ownership to the Licensed Materials and to transfer the Licensed Materials under Section 2.5.1 to RBNC free and clear of all liens or other encumbrances;</w:t>
      </w:r>
    </w:p>
    <w:p>
      <w:pPr>
        <w:spacing w:after="0" w:line="75" w:lineRule="exact"/>
        <w:rPr>
          <w:rFonts w:ascii="Arial" w:cs="Arial" w:eastAsia="Arial" w:hAnsi="Arial"/>
          <w:sz w:val="18"/>
          <w:szCs w:val="18"/>
          <w:color w:val="auto"/>
        </w:rPr>
      </w:pPr>
    </w:p>
    <w:p>
      <w:pPr>
        <w:ind w:left="1960" w:right="280" w:hanging="533"/>
        <w:spacing w:after="0" w:line="277" w:lineRule="auto"/>
        <w:tabs>
          <w:tab w:leader="none" w:pos="1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AMGEN has sufficient rights in and to the Licensed Know-How to grant the licenses granted to RBNC under Article 2 of this Agreement;</w:t>
      </w:r>
    </w:p>
    <w:p>
      <w:pPr>
        <w:spacing w:after="0" w:line="75" w:lineRule="exact"/>
        <w:rPr>
          <w:rFonts w:ascii="Arial" w:cs="Arial" w:eastAsia="Arial" w:hAnsi="Arial"/>
          <w:sz w:val="18"/>
          <w:szCs w:val="18"/>
          <w:color w:val="auto"/>
        </w:rPr>
      </w:pPr>
    </w:p>
    <w:p>
      <w:pPr>
        <w:ind w:left="1960" w:right="20" w:hanging="533"/>
        <w:spacing w:after="0" w:line="311" w:lineRule="auto"/>
        <w:tabs>
          <w:tab w:leader="none" w:pos="19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None of AMGEN, its Affiliates, any of its respective directors, officers, employees or any other Person employed or engaged by AMGEN (and its Affiliates) in any capacity in the discovery, research or development of the Licensed Compounds or in the development or manufacturing of the Licensed Materials has been debarred, suspended or excluded under United</w:t>
      </w:r>
    </w:p>
    <w:p>
      <w:pPr>
        <w:spacing w:after="0" w:line="8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383" w:name="page384"/>
    <w:bookmarkEnd w:id="383"/>
    <w:p>
      <w:pPr>
        <w:jc w:val="both"/>
        <w:ind w:left="1520" w:right="6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States Law, including under 21 U.S.C. § 335a and 42 U.S.C. § 1320a-7(a), any other Health Care Law or any foreign equivalent thereof, or has been the subject of debarment, suspension or exclusion proceedings by any Governmental Authority;</w:t>
      </w:r>
    </w:p>
    <w:p>
      <w:pPr>
        <w:spacing w:after="0" w:line="89" w:lineRule="exact"/>
        <w:rPr>
          <w:sz w:val="20"/>
          <w:szCs w:val="20"/>
          <w:color w:val="auto"/>
        </w:rPr>
      </w:pPr>
    </w:p>
    <w:p>
      <w:pPr>
        <w:ind w:left="1520" w:hanging="533"/>
        <w:spacing w:after="0"/>
        <w:tabs>
          <w:tab w:leader="none" w:pos="15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AMGEN’s knowledge, there is no infringement of any of the Licensed Patents as of the Execution Date;</w:t>
      </w:r>
    </w:p>
    <w:p>
      <w:pPr>
        <w:spacing w:after="0" w:line="130" w:lineRule="exact"/>
        <w:rPr>
          <w:rFonts w:ascii="Arial" w:cs="Arial" w:eastAsia="Arial" w:hAnsi="Arial"/>
          <w:sz w:val="18"/>
          <w:szCs w:val="18"/>
          <w:color w:val="auto"/>
        </w:rPr>
      </w:pPr>
    </w:p>
    <w:p>
      <w:pPr>
        <w:ind w:left="1520" w:right="60" w:hanging="533"/>
        <w:spacing w:after="0" w:line="277" w:lineRule="auto"/>
        <w:tabs>
          <w:tab w:leader="none" w:pos="15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AMGEN’s knowledge, there is no misappropriation of any of the Licensed Know-How or Licensed Compounds as of the Execution Date;</w:t>
      </w:r>
    </w:p>
    <w:p>
      <w:pPr>
        <w:spacing w:after="0" w:line="75" w:lineRule="exact"/>
        <w:rPr>
          <w:rFonts w:ascii="Arial" w:cs="Arial" w:eastAsia="Arial" w:hAnsi="Arial"/>
          <w:sz w:val="18"/>
          <w:szCs w:val="18"/>
          <w:color w:val="auto"/>
        </w:rPr>
      </w:pPr>
    </w:p>
    <w:p>
      <w:pPr>
        <w:ind w:left="1520" w:right="80" w:hanging="533"/>
        <w:spacing w:after="0" w:line="263" w:lineRule="auto"/>
        <w:tabs>
          <w:tab w:leader="none" w:pos="15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Licensed Patents and Licensed Know-How constitutes all intellectual property Controlled by AMGEN and its Affiliates that is necessary for the Exploitation of the Licensed Compounds at their then-current stage of development as of the Effective Date;</w:t>
      </w:r>
    </w:p>
    <w:p>
      <w:pPr>
        <w:spacing w:after="0" w:line="89" w:lineRule="exact"/>
        <w:rPr>
          <w:rFonts w:ascii="Arial" w:cs="Arial" w:eastAsia="Arial" w:hAnsi="Arial"/>
          <w:sz w:val="18"/>
          <w:szCs w:val="18"/>
          <w:color w:val="auto"/>
        </w:rPr>
      </w:pPr>
    </w:p>
    <w:p>
      <w:pPr>
        <w:ind w:left="1520" w:right="60" w:hanging="533"/>
        <w:spacing w:after="0" w:line="259" w:lineRule="auto"/>
        <w:tabs>
          <w:tab w:leader="none" w:pos="15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 Third Party has made any claim or allegation to AMGEN or its Affiliates in writing (i) that a Third Party has any right or interest in or to the Licensed Compounds or (ii) that any intellectual property right Controlled by a Third Party would be infringed or misappropriated by the Exploitation of the Licensed Compounds or Licensed Materials, in each case, as of the Execution Date; and</w:t>
      </w:r>
    </w:p>
    <w:p>
      <w:pPr>
        <w:spacing w:after="0" w:line="92" w:lineRule="exact"/>
        <w:rPr>
          <w:rFonts w:ascii="Arial" w:cs="Arial" w:eastAsia="Arial" w:hAnsi="Arial"/>
          <w:sz w:val="18"/>
          <w:szCs w:val="18"/>
          <w:color w:val="auto"/>
        </w:rPr>
      </w:pPr>
    </w:p>
    <w:p>
      <w:pPr>
        <w:ind w:left="1520" w:hanging="533"/>
        <w:spacing w:after="0" w:line="259" w:lineRule="auto"/>
        <w:tabs>
          <w:tab w:leader="none" w:pos="15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the knowledge of AMGEN’s patent litigation attorneys, no claim or litigation has been brought or threatened in writing by any Third Party alleging that the manufacture, sale, offer for sale, or importation of the Licensed Compounds in the Licensed Field in the Territory infringes or misappropriates or would infringe or misappropriate any right of any Third Party as of the Execution Date.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6.3 Additional RBNC Warranties. </w:t>
      </w:r>
      <w:r>
        <w:rPr>
          <w:rFonts w:ascii="Arial" w:cs="Arial" w:eastAsia="Arial" w:hAnsi="Arial"/>
          <w:sz w:val="18"/>
          <w:szCs w:val="18"/>
          <w:color w:val="auto"/>
        </w:rPr>
        <w:t>RBNC warrants to AMGEN that, as of the Execution Date and as of the Effective Date:</w:t>
      </w:r>
    </w:p>
    <w:p>
      <w:pPr>
        <w:spacing w:after="0" w:line="135" w:lineRule="exact"/>
        <w:rPr>
          <w:sz w:val="20"/>
          <w:szCs w:val="20"/>
          <w:color w:val="auto"/>
        </w:rPr>
      </w:pPr>
    </w:p>
    <w:p>
      <w:pPr>
        <w:ind w:left="1520" w:hanging="533"/>
        <w:spacing w:after="0" w:line="263" w:lineRule="auto"/>
        <w:tabs>
          <w:tab w:leader="none" w:pos="15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Neither it, its Affiliates, nor any of its respective directors, officers or employees have been debarred, suspended or excluded under United States Law, including 21 U.S.C. § 335a, 42 U.S.C. § 1320a-7(a), any other Health Care Law, or is the subject of debarment, suspension or exclusion proceedings by any Governmental Authority;</w:t>
      </w:r>
    </w:p>
    <w:p>
      <w:pPr>
        <w:spacing w:after="0" w:line="89" w:lineRule="exact"/>
        <w:rPr>
          <w:rFonts w:ascii="Arial" w:cs="Arial" w:eastAsia="Arial" w:hAnsi="Arial"/>
          <w:sz w:val="18"/>
          <w:szCs w:val="18"/>
          <w:color w:val="auto"/>
        </w:rPr>
      </w:pPr>
    </w:p>
    <w:p>
      <w:pPr>
        <w:ind w:left="1520" w:right="160" w:hanging="533"/>
        <w:spacing w:after="0" w:line="257" w:lineRule="auto"/>
        <w:tabs>
          <w:tab w:leader="none" w:pos="15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It has established and maintains, or within [***] months after the Effective Date will establish and maintain, reasonable internal policies and controls, including codes of conduct and ethics and reasonable reporting requirements, intended to ensure compliance with Anti-Corruption Laws, International Trade Laws and other applicable Law, to the extent applicable to such Party under the laws of the jurisdiction of its incorporation, and any applicable healthcare compliance, privacy and data protection laws; and</w:t>
      </w:r>
    </w:p>
    <w:p>
      <w:pPr>
        <w:spacing w:after="0" w:line="93" w:lineRule="exact"/>
        <w:rPr>
          <w:rFonts w:ascii="Arial" w:cs="Arial" w:eastAsia="Arial" w:hAnsi="Arial"/>
          <w:sz w:val="18"/>
          <w:szCs w:val="18"/>
          <w:color w:val="auto"/>
        </w:rPr>
      </w:pPr>
    </w:p>
    <w:p>
      <w:pPr>
        <w:ind w:left="1520" w:right="100" w:hanging="533"/>
        <w:spacing w:after="0" w:line="277" w:lineRule="auto"/>
        <w:tabs>
          <w:tab w:leader="none" w:pos="15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RBNC is not a Covered Individual or Entity nor is it owned, operated or controlled by one or more Covered Individuals and Entities.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60"/>
          </w:cols>
          <w:pgMar w:left="880" w:top="274" w:right="459" w:bottom="1440" w:gutter="0" w:footer="0" w:header="0"/>
        </w:sectPr>
      </w:pPr>
    </w:p>
    <w:bookmarkStart w:id="384" w:name="page385"/>
    <w:bookmarkEnd w:id="384"/>
    <w:p>
      <w:pPr>
        <w:ind w:right="6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6.4 Disclaimer</w:t>
      </w:r>
      <w:r>
        <w:rPr>
          <w:rFonts w:ascii="Arial" w:cs="Arial" w:eastAsia="Arial" w:hAnsi="Arial"/>
          <w:sz w:val="17"/>
          <w:szCs w:val="17"/>
          <w:color w:val="auto"/>
        </w:rPr>
        <w:t>. EXCEPT AS OTHERWISE EXPRESSLY SET FORTH IN THIS ARTICLE 6 (REPRESENTATIONS), NEITHER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MAKES ANY REPRESENTATIONS OR EXTENDS ANY WARRANTIES OF ANY KIND, EITHER EXPRESS OR IMPLIED, INCLUDING WARRANTIES OF MERCHANTABILITY, QUALITY, FITNESS FOR A PARTICULAR PURPOSE, NONINFRINGEMENT, OR VALIDITY OF PATENT CLAIMS. NOTHING IN THIS AGREEMENT SHALL BE CONSTRUED AS A REPRESENTATION MADE OR WARRANTY GIVEN BY EITHER PARTY THAT EITHER PARTY WILL BE SUCCESSFUL IN OBTAINING ANY PATENT RIGHTS, OR THAT ANY PATENTS WILL ISSUE BASED ON A PENDING APPLICATION. EXCEPT AS OTHERWISE EXPRESSLY SET FORTH IN THIS ARTICLE 6 (REPRESENTATIONS), RBNC HEREBY ACKNOWLEDGES AND AGREES THAT ANY KNOW-HOW, MATERIALS, RESULTS, OR OTHER DATA, PROVIDED BY AMGEN ARE PROVIDED “AS IS” WITH NO WARRANTIES OF ANY KIND. WITHOUT LIMITING THE RESPECTIVE RIGHTS AND OBLIGATIONS OF THE PARTIES EXPRESSLY SET FORTH HEREIN, EACH PARTY SPECIFICALLY DISCLAIMS ANY GUARANTEE THAT THE LICENSED COMPOUNDS OR PRODUCTS WILL BE SUCCESSFUL, OR THAT THE MATERIALS SUPPLIED UNDER THIS AGREEMENT WILL BE USEFUL, IN WHOLE OR IN PART.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6.5 RBNC Covenants</w:t>
      </w:r>
      <w:r>
        <w:rPr>
          <w:rFonts w:ascii="Arial" w:cs="Arial" w:eastAsia="Arial" w:hAnsi="Arial"/>
          <w:sz w:val="18"/>
          <w:szCs w:val="18"/>
          <w:color w:val="auto"/>
        </w:rPr>
        <w:t>. RBNC covenants to AMGEN that, during the Term:</w:t>
      </w:r>
    </w:p>
    <w:p>
      <w:pPr>
        <w:spacing w:after="0" w:line="135" w:lineRule="exact"/>
        <w:rPr>
          <w:sz w:val="20"/>
          <w:szCs w:val="20"/>
          <w:color w:val="auto"/>
        </w:rPr>
      </w:pPr>
    </w:p>
    <w:p>
      <w:pPr>
        <w:ind w:left="1520" w:hanging="533"/>
        <w:spacing w:after="0" w:line="271" w:lineRule="auto"/>
        <w:tabs>
          <w:tab w:leader="none" w:pos="152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it will conduct, and will cause its contractors to conduct, all preclinical studies and clinical trials for the Products and manufacturing of the Products, in accordance with all U.S. Laws and the Laws of the country in which such preclinical studies and clinical trials are conducted, including the requirements of the FDA and the Regulatory Authority in such country pertaining to good laboratory practice, good clinical practice, and current good manufacturing practices. Neither RBNC, nor any officer, employee or agent of RBNC, will knowingly make an untrue statement of a material fact to any Regulatory Authority with respect to the Products (whether in any submission to such Regulatory Authority or otherwise), and neither will RBNC, nor any officer, employee or agent of RBNC, knowingly fail to disclose a material fact required to be disclosed to any Regulatory Authority with respect to the Products;</w:t>
      </w:r>
    </w:p>
    <w:p>
      <w:pPr>
        <w:spacing w:after="0" w:line="83" w:lineRule="exact"/>
        <w:rPr>
          <w:rFonts w:ascii="Arial" w:cs="Arial" w:eastAsia="Arial" w:hAnsi="Arial"/>
          <w:sz w:val="17"/>
          <w:szCs w:val="17"/>
          <w:color w:val="auto"/>
        </w:rPr>
      </w:pPr>
    </w:p>
    <w:p>
      <w:pPr>
        <w:ind w:left="1520" w:right="20" w:hanging="533"/>
        <w:spacing w:after="0" w:line="273" w:lineRule="auto"/>
        <w:tabs>
          <w:tab w:leader="none" w:pos="152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it (and its Affiliates) will not employ or otherwise use in any capacity the services of any Person debarred or excluded under applicable Health Care Laws, including any Person that has been: (i) debarred by the FDA (or subject to a similar sanction of a Regulatory Authority), or that is the subject of an FDA debarment investigation or proceeding (or similar proceeding of a Regulatory Authority), or is otherwise ineligible to participate in federal healthcare programs or federal procurement or non-procurement programs; or (ii) convicted of a criminal offense that falls within the scope of 42 U.S.C. § 1320a-7(a), but has not yet been excluded, debarred, suspended or otherwise declared ineligible;</w:t>
      </w:r>
    </w:p>
    <w:p>
      <w:pPr>
        <w:spacing w:after="0" w:line="83" w:lineRule="exact"/>
        <w:rPr>
          <w:rFonts w:ascii="Arial" w:cs="Arial" w:eastAsia="Arial" w:hAnsi="Arial"/>
          <w:sz w:val="17"/>
          <w:szCs w:val="17"/>
          <w:color w:val="auto"/>
        </w:rPr>
      </w:pPr>
    </w:p>
    <w:p>
      <w:pPr>
        <w:ind w:left="1520" w:right="40" w:hanging="533"/>
        <w:spacing w:after="0" w:line="257" w:lineRule="auto"/>
        <w:tabs>
          <w:tab w:leader="none" w:pos="15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during any period in which AMGEN owns [***] or more of the outstanding voting shares of RBNC, RBNC becomes aware that any Person employed or retained by it to perform any of its obligations under, or services related to, this Agreement: (i) comes under investigation by the FDA, or a similar Regulatory Authority, for violation of a Health Care Law, or (ii) is debarred, excluded, suspended, disqualified or subject to a similar sanction of a Regulatory Authority, RBNC shall immediately notify AMGEN;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60"/>
          </w:cols>
          <w:pgMar w:left="880" w:top="270" w:right="459" w:bottom="1440" w:gutter="0" w:footer="0" w:header="0"/>
        </w:sectPr>
      </w:pPr>
    </w:p>
    <w:bookmarkStart w:id="385" w:name="page386"/>
    <w:bookmarkEnd w:id="385"/>
    <w:p>
      <w:pPr>
        <w:ind w:left="960" w:right="20" w:hanging="533"/>
        <w:spacing w:after="0" w:line="263" w:lineRule="auto"/>
        <w:tabs>
          <w:tab w:leader="none" w:pos="9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and its Representatives shall comply with all applicable Law, International Trade Law, Proper Conduct Practices, and Anti-Corruption Laws in all material respects in connection with the performance of its rights, duties and obligations under this Agreement;</w:t>
      </w:r>
    </w:p>
    <w:p>
      <w:pPr>
        <w:spacing w:after="0" w:line="89" w:lineRule="exact"/>
        <w:rPr>
          <w:rFonts w:ascii="Arial" w:cs="Arial" w:eastAsia="Arial" w:hAnsi="Arial"/>
          <w:sz w:val="18"/>
          <w:szCs w:val="18"/>
          <w:color w:val="auto"/>
        </w:rPr>
      </w:pPr>
    </w:p>
    <w:p>
      <w:pPr>
        <w:ind w:left="960" w:hanging="533"/>
        <w:spacing w:after="0"/>
        <w:tabs>
          <w:tab w:leader="none" w:pos="9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it shall provide AMGEN with any information required by AMGEN to comply with International Trade Laws;</w:t>
      </w:r>
    </w:p>
    <w:p>
      <w:pPr>
        <w:spacing w:after="0" w:line="130" w:lineRule="exact"/>
        <w:rPr>
          <w:rFonts w:ascii="Arial" w:cs="Arial" w:eastAsia="Arial" w:hAnsi="Arial"/>
          <w:sz w:val="18"/>
          <w:szCs w:val="18"/>
          <w:color w:val="auto"/>
        </w:rPr>
      </w:pPr>
    </w:p>
    <w:p>
      <w:pPr>
        <w:ind w:left="960" w:hanging="533"/>
        <w:spacing w:after="0" w:line="279" w:lineRule="auto"/>
        <w:tabs>
          <w:tab w:leader="none" w:pos="96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it shall promptly provide AMGEN with written notice upon receiving a formal notification that it is the target of a formal request for information, subpoena, investigation, litigation, penalty, or claim from any Governmental Authority, or any Third Party, for violation or potential violation of any applicable Anti-Corruption Law, International Trade Laws or Proper Conduct Practices, to the extent such notice is not prohibited by applicable Law;</w:t>
      </w:r>
    </w:p>
    <w:p>
      <w:pPr>
        <w:spacing w:after="0" w:line="76" w:lineRule="exact"/>
        <w:rPr>
          <w:rFonts w:ascii="Arial" w:cs="Arial" w:eastAsia="Arial" w:hAnsi="Arial"/>
          <w:sz w:val="17"/>
          <w:szCs w:val="17"/>
          <w:color w:val="auto"/>
        </w:rPr>
      </w:pPr>
    </w:p>
    <w:p>
      <w:pPr>
        <w:ind w:left="960" w:right="200" w:hanging="533"/>
        <w:spacing w:after="0" w:line="311" w:lineRule="auto"/>
        <w:tabs>
          <w:tab w:leader="none" w:pos="9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prior to beginning any clinical development or commercialization of any Product under this Agreement, each of its employees, agents, independent contractors or Affiliates involved in the development or commercialization of any Product shall be required to undergo compliance training with respect to Proper Conduct Practices and Anti-Corruption Laws;</w:t>
      </w:r>
    </w:p>
    <w:p>
      <w:pPr>
        <w:spacing w:after="0" w:line="54" w:lineRule="exact"/>
        <w:rPr>
          <w:rFonts w:ascii="Arial" w:cs="Arial" w:eastAsia="Arial" w:hAnsi="Arial"/>
          <w:sz w:val="16"/>
          <w:szCs w:val="16"/>
          <w:color w:val="auto"/>
        </w:rPr>
      </w:pPr>
    </w:p>
    <w:p>
      <w:pPr>
        <w:ind w:left="960" w:right="20" w:hanging="533"/>
        <w:spacing w:after="0" w:line="311" w:lineRule="auto"/>
        <w:tabs>
          <w:tab w:leader="none" w:pos="9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it shall use only legitimate and ethical business practices (including Proper Conduct Practices) in connection with activities conducted in connection with this Agreement whether directly, through the use of Representatives or otherwise, and shall not take any action that it knows, or reasonably should know would subject AMGEN to penalties under any applicable Law;</w:t>
      </w:r>
    </w:p>
    <w:p>
      <w:pPr>
        <w:spacing w:after="0" w:line="54" w:lineRule="exact"/>
        <w:rPr>
          <w:rFonts w:ascii="Arial" w:cs="Arial" w:eastAsia="Arial" w:hAnsi="Arial"/>
          <w:sz w:val="16"/>
          <w:szCs w:val="16"/>
          <w:color w:val="auto"/>
        </w:rPr>
      </w:pPr>
    </w:p>
    <w:p>
      <w:pPr>
        <w:ind w:left="960" w:right="660" w:hanging="533"/>
        <w:spacing w:after="0" w:line="277" w:lineRule="auto"/>
        <w:tabs>
          <w:tab w:leader="none" w:pos="9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it shall cause its Affiliates and its and their officers, directors, employees and agents to comply with this Agreement, including the covenants in this Section 6.5;</w:t>
      </w:r>
    </w:p>
    <w:p>
      <w:pPr>
        <w:spacing w:after="0" w:line="75" w:lineRule="exact"/>
        <w:rPr>
          <w:rFonts w:ascii="Arial" w:cs="Arial" w:eastAsia="Arial" w:hAnsi="Arial"/>
          <w:sz w:val="18"/>
          <w:szCs w:val="18"/>
          <w:color w:val="auto"/>
        </w:rPr>
      </w:pPr>
    </w:p>
    <w:p>
      <w:pPr>
        <w:ind w:left="960" w:right="200" w:hanging="533"/>
        <w:spacing w:after="0" w:line="291" w:lineRule="auto"/>
        <w:tabs>
          <w:tab w:leader="none" w:pos="9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it shall comply with all applicable (i) U.S. Laws prohibiting the re-export, directly or indirectly, of certain controlled U.S.-origin items without a license to parties located in certain countries or appearing on certain U.S. Government lists of restricted parties; (ii) U.S. Laws prohibiting participation in non-U.S. boycotts that the United States does not support; (iii) U.S. Laws prohibiting the sale of products to parties from any country subject to U.S. economic sanctions or who are identified on related U.S. Government lists of restricted parties; (iv) International Trade Laws, and (v) data privacy laws of the applicable jurisdiction, including the national and sub-national laws based on the General Data Protection Regulation (EU 2016/679), and all data breach notification and information securities laws and regulations specific thereto; and</w:t>
      </w:r>
    </w:p>
    <w:p>
      <w:pPr>
        <w:spacing w:after="0" w:line="9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00"/>
          </w:cols>
          <w:pgMar w:left="1440" w:top="274" w:right="459" w:bottom="1440" w:gutter="0" w:footer="0" w:header="0"/>
        </w:sectPr>
      </w:pPr>
    </w:p>
    <w:bookmarkStart w:id="386" w:name="page387"/>
    <w:bookmarkEnd w:id="386"/>
    <w:p>
      <w:pPr>
        <w:ind w:left="1960" w:right="200" w:hanging="533"/>
        <w:spacing w:after="0" w:line="271" w:lineRule="auto"/>
        <w:tabs>
          <w:tab w:leader="none" w:pos="19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Effective Date to and through the expiration or termination of this Agreement, (i) it, and, to its knowledge, its Representatives, shall not, directly or indirectly, offer, pay, promise to pay, or authorize such offer, promise or payment, of anything of value, to any Person for the purposes of obtaining or retaining business through any improper advantage in connection with this Agreement, or that would otherwise violate any applicable Laws, rules and regulations concerning or relating to public or commercial bribery or corruption, and (ii) that its books, accounts, records and invoices related to this Agreement or related to any work conducted for or on behalf of the other Party are and will be materially complete and accurate. AMGEN may request from time to time, but not more frequently than [***], that RBNC complete a compliance certification regarding the foregoing; and</w:t>
      </w:r>
    </w:p>
    <w:p>
      <w:pPr>
        <w:spacing w:after="0" w:line="83" w:lineRule="exact"/>
        <w:rPr>
          <w:rFonts w:ascii="Arial" w:cs="Arial" w:eastAsia="Arial" w:hAnsi="Arial"/>
          <w:sz w:val="17"/>
          <w:szCs w:val="17"/>
          <w:color w:val="auto"/>
        </w:rPr>
      </w:pPr>
    </w:p>
    <w:p>
      <w:pPr>
        <w:ind w:left="1960" w:hanging="533"/>
        <w:spacing w:after="0" w:line="275" w:lineRule="auto"/>
        <w:tabs>
          <w:tab w:leader="none" w:pos="19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if one or more Covered Individuals and Entities or, to RBNC’s knowledge, an entity owned, operated or controlled by one or more Covered Individuals or Entities, contributes to or performs any of RBNC’s obligations hereunder, payments made by or on behalf of RBNC to each such Covered Individual and Entity or other compensation or consideration received by each such Covered Individual and Entity on account of its contributions to or performance of any of RBNC’s obligations hereunder shall comply with all applicable Health Care Laws in all material respects; and</w:t>
      </w:r>
    </w:p>
    <w:p>
      <w:pPr>
        <w:spacing w:after="0" w:line="81" w:lineRule="exact"/>
        <w:rPr>
          <w:rFonts w:ascii="Arial" w:cs="Arial" w:eastAsia="Arial" w:hAnsi="Arial"/>
          <w:sz w:val="17"/>
          <w:szCs w:val="17"/>
          <w:color w:val="auto"/>
        </w:rPr>
      </w:pPr>
    </w:p>
    <w:p>
      <w:pPr>
        <w:ind w:left="1960" w:right="40" w:hanging="533"/>
        <w:spacing w:after="0" w:line="268" w:lineRule="auto"/>
        <w:tabs>
          <w:tab w:leader="none" w:pos="19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if RBNC is, or becomes, a Covered Individual and Entity or is, or becomes, owned, operated or controlled by one or more Covered Individuals and Entities, RBNC shall notify AMGEN of such and, after receipt of such notification or upon RBNC becoming a Covered Individual and Entity, the Parties hereto agree to negotiate in good faith with respect to any other modifications to the terms of this Agreement as reasonably necessary or required for each Party to comply with its or, as applicable, one or more of its Affiliate’s requirements for interactions with, and as, a Covered Individual and Entity. Additionally, if on or after the Effective Date, RBNC, is or becomes, a Covered Individual and Entity or is, or becomes, owned, operated or controlled by a Covered Individual and Entity, AMGEN shall have the right to assign this Agreement immediately, and AMGEN shall not be liable to RBNC for any costs, expenses, or losses arising out of such assignment. For purposes of Section 6.5(l) and this Section 6.5(m), “owned, operated or controlled” shall mean that one or more Covered Individual or Entities is in a position to direct or control the performance of RBNC’s obligations hereunder, or that one or more Covered Individuals or Entities is in a position to direct or control RBNC’s management or operations, including, without limitation, when a Covered Individual or Entity owns a majority of the voting power or other equity interests in RBNC.</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INDEMNIFICATION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7.1 Indemnity</w:t>
      </w:r>
      <w:r>
        <w:rPr>
          <w:rFonts w:ascii="Arial" w:cs="Arial" w:eastAsia="Arial" w:hAnsi="Arial"/>
          <w:sz w:val="18"/>
          <w:szCs w:val="18"/>
          <w:color w:val="auto"/>
        </w:rPr>
        <w:t>.</w:t>
      </w:r>
    </w:p>
    <w:p>
      <w:pPr>
        <w:spacing w:after="0" w:line="16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387" w:name="page388"/>
    <w:bookmarkEnd w:id="387"/>
    <w:p>
      <w:pPr>
        <w:ind w:left="4" w:right="40" w:firstLine="440"/>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7.1.1 By AMGEN. </w:t>
      </w:r>
      <w:r>
        <w:rPr>
          <w:rFonts w:ascii="Arial" w:cs="Arial" w:eastAsia="Arial" w:hAnsi="Arial"/>
          <w:sz w:val="16"/>
          <w:szCs w:val="16"/>
          <w:color w:val="auto"/>
        </w:rPr>
        <w:t>AMGEN agrees to defend RBNC and its (and its Affiliates’) directors, officers, employees and agents (the “</w:t>
      </w:r>
      <w:r>
        <w:rPr>
          <w:rFonts w:ascii="Arial" w:cs="Arial" w:eastAsia="Arial" w:hAnsi="Arial"/>
          <w:sz w:val="16"/>
          <w:szCs w:val="16"/>
          <w:b w:val="1"/>
          <w:bCs w:val="1"/>
          <w:color w:val="auto"/>
        </w:rPr>
        <w:t>RBNC Indemnified Parties</w:t>
      </w:r>
      <w:r>
        <w:rPr>
          <w:rFonts w:ascii="Arial" w:cs="Arial" w:eastAsia="Arial" w:hAnsi="Arial"/>
          <w:sz w:val="16"/>
          <w:szCs w:val="16"/>
          <w:color w:val="auto"/>
        </w:rPr>
        <w:t>”) at AMGEN’s cost and expense, and will indemnify and hold RBNC and the other RBNC Indemnified Parties harmless from and</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any claims, losses, costs, damages, fees or expenses (including legal fees and expenses) (collectively, “</w:t>
      </w:r>
      <w:r>
        <w:rPr>
          <w:rFonts w:ascii="Arial" w:cs="Arial" w:eastAsia="Arial" w:hAnsi="Arial"/>
          <w:sz w:val="16"/>
          <w:szCs w:val="16"/>
          <w:b w:val="1"/>
          <w:bCs w:val="1"/>
          <w:color w:val="auto"/>
        </w:rPr>
        <w:t>Losses</w:t>
      </w:r>
      <w:r>
        <w:rPr>
          <w:rFonts w:ascii="Arial" w:cs="Arial" w:eastAsia="Arial" w:hAnsi="Arial"/>
          <w:sz w:val="16"/>
          <w:szCs w:val="16"/>
          <w:color w:val="auto"/>
        </w:rPr>
        <w:t>”) to the extent resulting from any Third Party claim (including product liability claims) arising out of or otherwise relating to (a) the negligence or willful misconduct of AMGEN or its Affiliates in connection with its activities under this Agreement, (b) the breach of this Agreement or the representations and warranties made hereunder by AMGEN, (c) the Exploitation of the Licensed Compounds by or on behalf of AMGEN or its Affiliates (including from product liability and intellectual property infringement claims) prior to the Effective Date, or (d) in the event the right to Exploit one or more Products is transferred to Amgen as a result of the termination of this Agreement, the Exploitation after the Term of such Products by or on behalf of AMGEN, its Affiliates, or their respective sublicensees (including from product liability and intellectual property infringement claims); except, in the case of each of (a) through</w:t>
      </w:r>
    </w:p>
    <w:p>
      <w:pPr>
        <w:spacing w:after="0" w:line="3" w:lineRule="exact"/>
        <w:rPr>
          <w:sz w:val="20"/>
          <w:szCs w:val="20"/>
          <w:color w:val="auto"/>
        </w:rPr>
      </w:pPr>
    </w:p>
    <w:p>
      <w:pPr>
        <w:ind w:left="4" w:hanging="4"/>
        <w:spacing w:after="0" w:line="286" w:lineRule="auto"/>
        <w:tabs>
          <w:tab w:leader="none" w:pos="25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of this Section 7.1.1 (By AMGEN), to the extent such Losses result from clause (a), (b) or (c) of Section 7.1.2 (By RBNC). The foregoing indemnity obligations shall be conditioned upon (x) RBNC promptly notifying AMGEN in writing of the claim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any failure or delay to notify shall not excuse any obligations of AMGEN except to the extent AMGEN is actually materially prejudiced thereby) and (y) RBNC granting AMGEN sole management and control, at AMGEN’s sole expense, of the defense of the claim and its settlement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AMGEN shall not settle any such claim without the prior written consent of RBNC if such settlement does not include a complete release from liability or if such settlement would involve RBNC undertaking an obligation (including the payment of money by a RBNC Indemnified Party), would bind or impair a RBNC Indemnified Party, or includes any admission of wrongdoing or that any intellectual property or proprietary right of RBNC or this Agreement is invalid, narrowed in scope or unenforceable), and (z) the RBNC Indemnified Parties reasonably cooperating with AMGEN (at AMGEN’s expense). The RBNC Indemnified Parties may, at their option and expense, be represented in any such action or proceeding by counsel of their own choosing.</w:t>
      </w:r>
    </w:p>
    <w:p>
      <w:pPr>
        <w:spacing w:after="0" w:line="168" w:lineRule="exact"/>
        <w:rPr>
          <w:sz w:val="20"/>
          <w:szCs w:val="20"/>
          <w:color w:val="auto"/>
        </w:rPr>
      </w:pPr>
    </w:p>
    <w:p>
      <w:pPr>
        <w:ind w:left="4" w:right="160" w:firstLine="440"/>
        <w:spacing w:after="0" w:line="289" w:lineRule="auto"/>
        <w:rPr>
          <w:sz w:val="20"/>
          <w:szCs w:val="20"/>
          <w:color w:val="auto"/>
        </w:rPr>
      </w:pPr>
      <w:r>
        <w:rPr>
          <w:rFonts w:ascii="Arial" w:cs="Arial" w:eastAsia="Arial" w:hAnsi="Arial"/>
          <w:sz w:val="16"/>
          <w:szCs w:val="16"/>
          <w:b w:val="1"/>
          <w:bCs w:val="1"/>
          <w:color w:val="auto"/>
        </w:rPr>
        <w:t xml:space="preserve">7.1.2 By RBNC. </w:t>
      </w:r>
      <w:r>
        <w:rPr>
          <w:rFonts w:ascii="Arial" w:cs="Arial" w:eastAsia="Arial" w:hAnsi="Arial"/>
          <w:sz w:val="16"/>
          <w:szCs w:val="16"/>
          <w:color w:val="auto"/>
        </w:rPr>
        <w:t>RBNC agrees to defend AMGEN and its (and its Affiliates’) directors, officers, employees and agents (the “</w:t>
      </w:r>
      <w:r>
        <w:rPr>
          <w:rFonts w:ascii="Arial" w:cs="Arial" w:eastAsia="Arial" w:hAnsi="Arial"/>
          <w:sz w:val="16"/>
          <w:szCs w:val="16"/>
          <w:b w:val="1"/>
          <w:bCs w:val="1"/>
          <w:color w:val="auto"/>
        </w:rPr>
        <w:t>AMGEN Indemnified Parties</w:t>
      </w:r>
      <w:r>
        <w:rPr>
          <w:rFonts w:ascii="Arial" w:cs="Arial" w:eastAsia="Arial" w:hAnsi="Arial"/>
          <w:sz w:val="16"/>
          <w:szCs w:val="16"/>
          <w:color w:val="auto"/>
        </w:rPr>
        <w:t>”) at RBNC’s cost and expense, and will indemnify and hold AMGEN and the other AMGEN Indemnified Parties harmless from</w:t>
      </w:r>
      <w:r>
        <w:rPr>
          <w:rFonts w:ascii="Arial" w:cs="Arial" w:eastAsia="Arial" w:hAnsi="Arial"/>
          <w:sz w:val="16"/>
          <w:szCs w:val="16"/>
          <w:b w:val="1"/>
          <w:bCs w:val="1"/>
          <w:color w:val="auto"/>
        </w:rPr>
        <w:t xml:space="preserve"> </w:t>
      </w:r>
      <w:r>
        <w:rPr>
          <w:rFonts w:ascii="Arial" w:cs="Arial" w:eastAsia="Arial" w:hAnsi="Arial"/>
          <w:sz w:val="16"/>
          <w:szCs w:val="16"/>
          <w:color w:val="auto"/>
        </w:rPr>
        <w:t>and against any Losses to the extent resulting from any Third Party claim (including product liability claims) arising out of or otherwise relating to</w:t>
      </w:r>
    </w:p>
    <w:p>
      <w:pPr>
        <w:spacing w:after="0" w:line="2" w:lineRule="exact"/>
        <w:rPr>
          <w:sz w:val="20"/>
          <w:szCs w:val="20"/>
          <w:color w:val="auto"/>
        </w:rPr>
      </w:pPr>
    </w:p>
    <w:p>
      <w:pPr>
        <w:ind w:left="244" w:hanging="244"/>
        <w:spacing w:after="0"/>
        <w:tabs>
          <w:tab w:leader="none" w:pos="24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negligence or willful misconduct of RBNC, its Affiliates, or their respective Sublicensees in connection with its activities under this Agreement,</w:t>
      </w:r>
    </w:p>
    <w:p>
      <w:pPr>
        <w:spacing w:after="0" w:line="32" w:lineRule="exact"/>
        <w:rPr>
          <w:rFonts w:ascii="Arial" w:cs="Arial" w:eastAsia="Arial" w:hAnsi="Arial"/>
          <w:sz w:val="16"/>
          <w:szCs w:val="16"/>
          <w:color w:val="auto"/>
        </w:rPr>
      </w:pPr>
    </w:p>
    <w:p>
      <w:pPr>
        <w:ind w:left="4" w:right="40" w:hanging="4"/>
        <w:spacing w:after="0" w:line="288" w:lineRule="auto"/>
        <w:tabs>
          <w:tab w:leader="none" w:pos="259"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breach of this Agreement or the representations, warranties and covenants made hereunder by RBNC, or (c) the Exploitation during the Term of the Products by or on behalf of RBNC, its Affiliates, or their respective Sublicensees (including from product liability and intellectual property infringement claims); except, in each case, to the extent such Losses result from clause (a) through (d) of Section 7.1.1 (By AMGEN). The foregoing indemnity obligations shall be conditioned upon (x) AMGEN promptly notifying RBNC in writing of the claim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any failure or delay to notify shall not excuse any obligation of RBNC except to the extent RBNC is actually materially prejudiced thereby) and (y) AMGEN granting RBNC sole management and control, at RBNC’s sole expense, of the defense of the claim and its settlement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RBNC shall not settle any such claim without the prior written consent of AMGEN if such settlement does not include a complete release from liability</w:t>
      </w:r>
    </w:p>
    <w:p>
      <w:pPr>
        <w:spacing w:after="0" w:line="10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0" w:right="479" w:bottom="1440" w:gutter="0" w:footer="0" w:header="0"/>
        </w:sectPr>
      </w:pPr>
    </w:p>
    <w:bookmarkStart w:id="388" w:name="page389"/>
    <w:bookmarkEnd w:id="388"/>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if such settlement would involve undertaking an obligation (including the payment of money by an AMGEN Indemnified Party), would bind or impair an AMGEN Indemnified Party, or includes any admission of wrongdoing or that any intellectual property or proprietary right of AMGEN or this Agreement is invalid, narrowed in scope or unenforceable), and (z) the AMGEN Indemnified Parties reasonably cooperating with RBNC (at RBNC’s expense). The AMGEN Indemnified Parties may, at their option and expense, be represented in any such action or proceeding by counsel of their own choosing.</w:t>
      </w:r>
    </w:p>
    <w:p>
      <w:pPr>
        <w:spacing w:after="0" w:line="76"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b w:val="1"/>
          <w:bCs w:val="1"/>
          <w:color w:val="auto"/>
        </w:rPr>
        <w:t xml:space="preserve">Section 7.2 LIMITATION OF DAMAGES. </w:t>
      </w:r>
      <w:r>
        <w:rPr>
          <w:rFonts w:ascii="Arial" w:cs="Arial" w:eastAsia="Arial" w:hAnsi="Arial"/>
          <w:sz w:val="17"/>
          <w:szCs w:val="17"/>
          <w:color w:val="auto"/>
        </w:rPr>
        <w:t>IN NO EVENT SHALL EITHER PARTY BE LIABLE HEREUNDER TO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PUNITIVE, INDIRECT, SPECIAL, INCIDENTAL OR CONSEQUENTIAL DAMAGES (INCLUDING LOST REVENUE, LOST PROFITS, OR LOST SAVINGS) HOWEVER CAUSED AND UNDER ANY THEORY, EVEN IF IT HAS NOTICE OF THE POSSIBILITY OF SUCH DAMAGES. THE LIMITATIONS SET FORTH IN THIS SECTION 7.2 (LIMITATION OF DAMAGES) SHALL NOT APPLY WITH RESPECT TO (A) ANY BREACH OF ARTICLE 8 (CONFIDENTIALITY) OR (B) THE INTENTIONAL MISCONDUCT OR GROSS NEGLIGENCE OF A PARTY. NOTHING IN THIS SECTION 7.2 (LIMITATION OF DAMAGES) IS INTENDED TO LIMIT OR RESTRICT THE INDEMNIFICATION RIGHTS OR OBLIGATIONS OF A PARTY UNDER THIS ARTICLE 7 (INDEMNIFICATION) WITH RESPECT TO ANY DAMAGES PAID BY THE OTHER PARTY TO A THIRD PARTY IN CONNECTION WITH A THIRD-PARTY CLAIM.</w:t>
      </w:r>
    </w:p>
    <w:p>
      <w:pPr>
        <w:spacing w:after="0" w:line="64" w:lineRule="exact"/>
        <w:rPr>
          <w:sz w:val="20"/>
          <w:szCs w:val="20"/>
          <w:color w:val="auto"/>
        </w:rPr>
      </w:pPr>
    </w:p>
    <w:p>
      <w:pPr>
        <w:ind w:left="440" w:right="20"/>
        <w:spacing w:after="0" w:line="269" w:lineRule="auto"/>
        <w:rPr>
          <w:sz w:val="20"/>
          <w:szCs w:val="20"/>
          <w:color w:val="auto"/>
        </w:rPr>
      </w:pPr>
      <w:r>
        <w:rPr>
          <w:rFonts w:ascii="Arial" w:cs="Arial" w:eastAsia="Arial" w:hAnsi="Arial"/>
          <w:sz w:val="17"/>
          <w:szCs w:val="17"/>
          <w:b w:val="1"/>
          <w:bCs w:val="1"/>
          <w:color w:val="auto"/>
        </w:rPr>
        <w:t xml:space="preserve">Section 7.3 Insurance. </w:t>
      </w:r>
      <w:r>
        <w:rPr>
          <w:rFonts w:ascii="Arial" w:cs="Arial" w:eastAsia="Arial" w:hAnsi="Arial"/>
          <w:sz w:val="17"/>
          <w:szCs w:val="17"/>
          <w:color w:val="auto"/>
        </w:rPr>
        <w:t>At least [***] days prior to the Initiation of the first clinical trial of a Product, RBNC shall at its own expense procure and</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during the Term (and for [***] years thereafter) clinical trial liability insurance coverage adequate to cover its obligations hereunder and which is/are consistent with normal business practices of prudent pharmaceutical companies. Additionally, at least [***] days prior to First Commercial Sale of any Product in the Territory, RBNC shall at its own expense procure and maintain during the Term (and for [***] years thereafter) product liability insurance coverage adequate to cover its obligations hereunder and which is consistent with normal business practices of prudent pharmaceutical companies. Each insurance policy required by and procured by RBNC under this 7.3 (Insurance) shall name AMGEN as an additional insured. Such insurance shall not be construed to create a limit of RBNC’s liability with respect to its indemnification obligations under this Article 7 (Indemnification). RBNC shall provide AMGEN with a certificate of insurance or other evidence of such insurance, upon request. RBNC shall provide AMGEN with written notice at least [***] days prior to the cancellation or non -renewal and [***] days prior written notice of cancellation for non-payment of premiums. RBNC’s insurance hereunder shall be primary with respect to the obligations for which RBNC is liable hereunder.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CONFIDENTIALITY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8.1 Confidential Information</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8.1.1 Confidential Information. </w:t>
      </w:r>
      <w:r>
        <w:rPr>
          <w:rFonts w:ascii="Arial" w:cs="Arial" w:eastAsia="Arial" w:hAnsi="Arial"/>
          <w:sz w:val="18"/>
          <w:szCs w:val="18"/>
          <w:color w:val="auto"/>
        </w:rPr>
        <w:t>Each Party (“</w:t>
      </w:r>
      <w:r>
        <w:rPr>
          <w:rFonts w:ascii="Arial" w:cs="Arial" w:eastAsia="Arial" w:hAnsi="Arial"/>
          <w:sz w:val="18"/>
          <w:szCs w:val="18"/>
          <w:b w:val="1"/>
          <w:bCs w:val="1"/>
          <w:color w:val="auto"/>
        </w:rPr>
        <w:t>Disclosing Party</w:t>
      </w:r>
      <w:r>
        <w:rPr>
          <w:rFonts w:ascii="Arial" w:cs="Arial" w:eastAsia="Arial" w:hAnsi="Arial"/>
          <w:sz w:val="18"/>
          <w:szCs w:val="18"/>
          <w:color w:val="auto"/>
        </w:rPr>
        <w:t>”) may disclose to the other Party (“</w:t>
      </w:r>
      <w:r>
        <w:rPr>
          <w:rFonts w:ascii="Arial" w:cs="Arial" w:eastAsia="Arial" w:hAnsi="Arial"/>
          <w:sz w:val="18"/>
          <w:szCs w:val="18"/>
          <w:b w:val="1"/>
          <w:bCs w:val="1"/>
          <w:color w:val="auto"/>
        </w:rPr>
        <w:t>Receiving Party</w:t>
      </w:r>
      <w:r>
        <w:rPr>
          <w:rFonts w:ascii="Arial" w:cs="Arial" w:eastAsia="Arial" w:hAnsi="Arial"/>
          <w:sz w:val="18"/>
          <w:szCs w:val="18"/>
          <w:color w:val="auto"/>
        </w:rPr>
        <w:t>”), and each Receiving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may acquire during the course of conduct of activities under this Agreement, certain proprietary or confidential information of Disclosing Party in connection with this Agreement. The term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will mean (a) all Licensed Know-How, (b) all Licensed Materials, and (c) all other ideas and information of any</w:t>
      </w:r>
    </w:p>
    <w:p>
      <w:pPr>
        <w:spacing w:after="0" w:line="1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389" w:name="page390"/>
    <w:bookmarkEnd w:id="389"/>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kind, whether in written, oral, graphical, machine-readable or other form, whether or not marked as confidential or proprietary, which are transferred, disclosed or made available by Disclosing Party or at the request of Receiving Party, including any of the foregoing of Third Parties. Without limiting the foregoing, Licensed Know-How and Licensed Materials will be considered Confidential Information of AMGEN, and all research and development updates as well as financial and business disclosures from RBNC to AMGEN will be considered Confidential Information of RBNC. During the Term, AMGEN shall keep confidential the (i) Licensed Know-How, Licensed Materials and Licensed Compounds and (ii) the activity of the Licensed Compounds in connection with the CK1d, and such information in (i) and (ii) shall be treated as Confidential Information disclosed by RBNC to AMGEN during the Term, except to the extent (1) such Confidential Information is or becomes public knowledge through no fault or omission of AMGEN or (2) disclosure of such Confidential Information is permitted by Section 8.1.4.</w:t>
      </w:r>
    </w:p>
    <w:p>
      <w:pPr>
        <w:spacing w:after="0" w:line="174" w:lineRule="exact"/>
        <w:rPr>
          <w:sz w:val="20"/>
          <w:szCs w:val="20"/>
          <w:color w:val="auto"/>
        </w:rPr>
      </w:pPr>
    </w:p>
    <w:p>
      <w:pPr>
        <w:ind w:right="120" w:firstLine="440"/>
        <w:spacing w:after="0" w:line="269" w:lineRule="auto"/>
        <w:rPr>
          <w:sz w:val="20"/>
          <w:szCs w:val="20"/>
          <w:color w:val="auto"/>
        </w:rPr>
      </w:pPr>
      <w:r>
        <w:rPr>
          <w:rFonts w:ascii="Arial" w:cs="Arial" w:eastAsia="Arial" w:hAnsi="Arial"/>
          <w:sz w:val="17"/>
          <w:szCs w:val="17"/>
          <w:b w:val="1"/>
          <w:bCs w:val="1"/>
          <w:color w:val="auto"/>
        </w:rPr>
        <w:t xml:space="preserve">8.1.2 Restrictions. </w:t>
      </w:r>
      <w:r>
        <w:rPr>
          <w:rFonts w:ascii="Arial" w:cs="Arial" w:eastAsia="Arial" w:hAnsi="Arial"/>
          <w:sz w:val="17"/>
          <w:szCs w:val="17"/>
          <w:color w:val="auto"/>
        </w:rPr>
        <w:t>During the Term and for [***] years thereafter, Receiving Party will keep all Disclosing Party’s Confidential Information in</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confidence with the same degree of care with which Receiving Party holds its own confidential information (but in no event less than a commercially reasonable degree of care), and shall not disclose Disclosing Party’s Confidential Information to a Third Party without Disclosing Party’s prior written consent except as expressly permitted by the terms of this Agreement. Receiving Party will not use Disclosing Party’s Confidential Information except in connection with the performance of its obligations and exercise of its rights under this Agreement. Receiving Party has the right to disclose Disclosing Party’s Confidential Information without Disclosing Party’s prior written consent, to the extent and only to the extent reasonably necessary, to Receiving Party’s Affiliates and their employees, subcontractors, consultants, or agents who have a need to know such Confidential Information in order for Receiving Party to perform its obligations and exercise its rights under this Agreement and who are required in writing, prior to disclosure, to comply with restrictions on use and disclosure at least as restrictive as those set forth in this Section 8.1.2 (Restrictions). Receiving Party will use diligent efforts to cause those entities and persons to comply with the restrictions on use and disclosure in this Section 8.1.2 (Restrictions). Receiving Party assumes responsibility for those entities and persons maintaining Disclosing Party’s Confidential Information in confidence and using same only for the purposes described herein.</w:t>
      </w:r>
    </w:p>
    <w:p>
      <w:pPr>
        <w:spacing w:after="0" w:line="179"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b w:val="1"/>
          <w:bCs w:val="1"/>
          <w:color w:val="auto"/>
        </w:rPr>
        <w:t xml:space="preserve">8.1.3 Exceptions. </w:t>
      </w:r>
      <w:r>
        <w:rPr>
          <w:rFonts w:ascii="Arial" w:cs="Arial" w:eastAsia="Arial" w:hAnsi="Arial"/>
          <w:sz w:val="18"/>
          <w:szCs w:val="18"/>
          <w:color w:val="auto"/>
        </w:rPr>
        <w:t>Receiving Party’s obligation of nondisclosure and the limitations upon the right to use the Disclosing Party’s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will not apply to the extent that Receiving Party can demonstrate that the Disclosing Party’s Confidential Information: (a) was known to Receiving Party or any of its Affiliates, without confidentiality restrictions, prior to the time of disclosure; (b) is or becomes public knowledge through no fault or omission of Receiving Party or any of its Affiliates; (c) is obtained by Receiving Party or any of its Affiliates from a Third Party under no obligation of confidentiality to Disclosing Party; or (d) has been independently developed by employees, subcontractors, consultants or agents of Receiving Party or any of its Affiliates without the use of Disclosing Party’s Confidential Information, as evidenced by contemporaneous written records.</w:t>
      </w:r>
    </w:p>
    <w:p>
      <w:pPr>
        <w:spacing w:after="0" w:line="189"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8.1.4 Permitted Disclosures. </w:t>
      </w:r>
      <w:r>
        <w:rPr>
          <w:rFonts w:ascii="Arial" w:cs="Arial" w:eastAsia="Arial" w:hAnsi="Arial"/>
          <w:sz w:val="18"/>
          <w:szCs w:val="18"/>
          <w:color w:val="auto"/>
        </w:rPr>
        <w:t>Receiving Party may disclose Disclosing Party’s Confidential Information to the extent (and only to the extent) such</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is reasonably necessary in the following instances:</w:t>
      </w:r>
    </w:p>
    <w:p>
      <w:pPr>
        <w:spacing w:after="0" w:line="9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390" w:name="page391"/>
    <w:bookmarkEnd w:id="390"/>
    <w:p>
      <w:pPr>
        <w:ind w:left="1960" w:right="600" w:hanging="533"/>
        <w:spacing w:after="0" w:line="277" w:lineRule="auto"/>
        <w:tabs>
          <w:tab w:leader="none" w:pos="19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to comply with applicable law, rule or regulation (including any securities law or regulation or the rules of a securities exchange) or with a legal or administrative proceeding;</w:t>
      </w:r>
    </w:p>
    <w:p>
      <w:pPr>
        <w:spacing w:after="0" w:line="75" w:lineRule="exact"/>
        <w:rPr>
          <w:rFonts w:ascii="Arial" w:cs="Arial" w:eastAsia="Arial" w:hAnsi="Arial"/>
          <w:sz w:val="18"/>
          <w:szCs w:val="18"/>
          <w:color w:val="auto"/>
        </w:rPr>
      </w:pPr>
    </w:p>
    <w:p>
      <w:pPr>
        <w:ind w:left="1960" w:right="80" w:hanging="533"/>
        <w:spacing w:after="0" w:line="263" w:lineRule="auto"/>
        <w:tabs>
          <w:tab w:leader="none" w:pos="19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 connection with prosecuting or defending litigation, preparing, filing or seeking Marketing Approvals and other Regulatory Filings and communications in connection with Products, and filing, prosecuting and enforcing Patent Rights in connection with Receiving Party’s rights and obligations pursuant to this Agreement; and</w:t>
      </w:r>
    </w:p>
    <w:p>
      <w:pPr>
        <w:spacing w:after="0" w:line="89" w:lineRule="exact"/>
        <w:rPr>
          <w:rFonts w:ascii="Arial" w:cs="Arial" w:eastAsia="Arial" w:hAnsi="Arial"/>
          <w:sz w:val="18"/>
          <w:szCs w:val="18"/>
          <w:color w:val="auto"/>
        </w:rPr>
      </w:pPr>
    </w:p>
    <w:p>
      <w:pPr>
        <w:ind w:left="1960" w:right="120" w:hanging="533"/>
        <w:spacing w:after="0" w:line="263" w:lineRule="auto"/>
        <w:tabs>
          <w:tab w:leader="none" w:pos="19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 connection with performing its obligations or exercising its rights hereunder, to its Affiliates; potential and future collaborators (including Sublicensees where RBNC is the Receiving Party); potential and permitted acquirers or assignees; and potential investment bankers, investors, legal advisors and lenders;</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b w:val="1"/>
          <w:bCs w:val="1"/>
          <w:i w:val="1"/>
          <w:iCs w:val="1"/>
          <w:color w:val="auto"/>
        </w:rPr>
        <w:t xml:space="preserve">provided, however, </w:t>
      </w:r>
      <w:r>
        <w:rPr>
          <w:rFonts w:ascii="Arial" w:cs="Arial" w:eastAsia="Arial" w:hAnsi="Arial"/>
          <w:sz w:val="16"/>
          <w:szCs w:val="16"/>
          <w:color w:val="auto"/>
        </w:rPr>
        <w:t>that (1) with respect to Sections 8.1.4(a) or 8.1.4(b), where reasonably possible, Receiving Party will notify Disclosing Party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Receiving Party’s intent to make any disclosure pursuant thereto sufficiently prior to making such disclosure so as to allow Disclosing Party adequate time to take whatever action it may deem appropriate to protect the confidentiality of the information to be disclosed, and (2) with respect to</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8.1.4(c), each of those named people and entities are required to comply with restrictions on use and disclosure at least as restrictive as those set forth in Section 8.1.2 (Restrictions) (other than investment bankers, investors, legal advisors and lenders, which must be bound prior to disclosure by commercially reasonable obligations of confidentiality).</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8.2 Terms of this Agreement; Publicity</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 xml:space="preserve">8.2.1 Restrictions. </w:t>
      </w:r>
      <w:r>
        <w:rPr>
          <w:rFonts w:ascii="Arial" w:cs="Arial" w:eastAsia="Arial" w:hAnsi="Arial"/>
          <w:sz w:val="16"/>
          <w:szCs w:val="16"/>
          <w:color w:val="auto"/>
        </w:rPr>
        <w:t>The Parties agree that the terms of this Agreement will be treated as Confidential Information of both Parties, and thus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disclosed only as permitted by Section 8.1.4 (Permitted Disclosures). Except as required by Law, each Party agrees not to issue any press release or public statement disclosing information relating to this Agreement or the transactions contemplated hereby or the terms hereof without the prior written consent of the other Party not to be unreasonably withheld, and in accordance with Section 8.2.2 (Review) and Section 8.3.1 (Right to Publish).</w:t>
      </w:r>
    </w:p>
    <w:p>
      <w:pPr>
        <w:spacing w:after="0" w:line="15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color w:val="auto"/>
        </w:rPr>
        <w:t xml:space="preserve">8.2.2 Review. </w:t>
      </w:r>
      <w:r>
        <w:rPr>
          <w:rFonts w:ascii="Arial" w:cs="Arial" w:eastAsia="Arial" w:hAnsi="Arial"/>
          <w:sz w:val="16"/>
          <w:szCs w:val="16"/>
          <w:color w:val="auto"/>
        </w:rPr>
        <w:t>The Parties have agreed to issue a press release announcing the Transaction and this Agreement on a date, and in a form, to be</w:t>
      </w:r>
      <w:r>
        <w:rPr>
          <w:rFonts w:ascii="Arial" w:cs="Arial" w:eastAsia="Arial" w:hAnsi="Arial"/>
          <w:sz w:val="16"/>
          <w:szCs w:val="16"/>
          <w:b w:val="1"/>
          <w:bCs w:val="1"/>
          <w:color w:val="auto"/>
        </w:rPr>
        <w:t xml:space="preserve"> </w:t>
      </w:r>
      <w:r>
        <w:rPr>
          <w:rFonts w:ascii="Arial" w:cs="Arial" w:eastAsia="Arial" w:hAnsi="Arial"/>
          <w:sz w:val="16"/>
          <w:szCs w:val="16"/>
          <w:color w:val="auto"/>
        </w:rPr>
        <w:t>mutually agreed upon by the Parties. In the event either Party (the “</w:t>
      </w:r>
      <w:r>
        <w:rPr>
          <w:rFonts w:ascii="Arial" w:cs="Arial" w:eastAsia="Arial" w:hAnsi="Arial"/>
          <w:sz w:val="16"/>
          <w:szCs w:val="16"/>
          <w:b w:val="1"/>
          <w:bCs w:val="1"/>
          <w:color w:val="auto"/>
        </w:rPr>
        <w:t>Issuing Party</w:t>
      </w:r>
      <w:r>
        <w:rPr>
          <w:rFonts w:ascii="Arial" w:cs="Arial" w:eastAsia="Arial" w:hAnsi="Arial"/>
          <w:sz w:val="16"/>
          <w:szCs w:val="16"/>
          <w:color w:val="auto"/>
        </w:rPr>
        <w:t>”) desires to issue a subsequent press release or other public statement disclosing information relating to this Agreement or the transactions contemplated hereby or the terms hereof, the Issuing Party will provide the other Party (the “</w:t>
      </w:r>
      <w:r>
        <w:rPr>
          <w:rFonts w:ascii="Arial" w:cs="Arial" w:eastAsia="Arial" w:hAnsi="Arial"/>
          <w:sz w:val="16"/>
          <w:szCs w:val="16"/>
          <w:b w:val="1"/>
          <w:bCs w:val="1"/>
          <w:color w:val="auto"/>
        </w:rPr>
        <w:t>Reviewing Party</w:t>
      </w:r>
      <w:r>
        <w:rPr>
          <w:rFonts w:ascii="Arial" w:cs="Arial" w:eastAsia="Arial" w:hAnsi="Arial"/>
          <w:sz w:val="16"/>
          <w:szCs w:val="16"/>
          <w:color w:val="auto"/>
        </w:rPr>
        <w:t>”) with a copy of the proposed press release or public statement (the “</w:t>
      </w:r>
      <w:r>
        <w:rPr>
          <w:rFonts w:ascii="Arial" w:cs="Arial" w:eastAsia="Arial" w:hAnsi="Arial"/>
          <w:sz w:val="16"/>
          <w:szCs w:val="16"/>
          <w:b w:val="1"/>
          <w:bCs w:val="1"/>
          <w:color w:val="auto"/>
        </w:rPr>
        <w:t>Release</w:t>
      </w:r>
      <w:r>
        <w:rPr>
          <w:rFonts w:ascii="Arial" w:cs="Arial" w:eastAsia="Arial" w:hAnsi="Arial"/>
          <w:sz w:val="16"/>
          <w:szCs w:val="16"/>
          <w:color w:val="auto"/>
        </w:rPr>
        <w:t>”). The Issuing Party will specify with each such Release, taking into account the urgency of the matter being disclosed, a reasonable period of time within which the Reviewing Party may provide any comments on such Release, provided that the Reviewing Party will use reasonable efforts to provide such comments within [***] business days. If the Receiving Party provides any comments, the Parties will consult on such Release and work in good faith to prepare a mutually acceptable Release. Either Party may subsequently publicly disclose any information previously contained in any Release, provided</w:t>
      </w:r>
    </w:p>
    <w:p>
      <w:pPr>
        <w:spacing w:after="0" w:line="9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440" w:top="274" w:right="519" w:bottom="1440" w:gutter="0" w:footer="0" w:header="0"/>
        </w:sectPr>
      </w:pPr>
    </w:p>
    <w:bookmarkStart w:id="391" w:name="page392"/>
    <w:bookmarkEnd w:id="39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 other Party provided its written consent hereto as stated in Section 8.2.1 (Restrictions). For the avoidance of doubt (and notwithstanding anything contained in this Agreement to the contrary), RBNC, in its sole discretion, may make disclosures relating to the Exploitation of any Licensed Compound, Program Compound or Product, including the results of research and any clinical trial conducted by RBNC or any health or safety matter related to any Product.</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8.3 Publications</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b w:val="1"/>
          <w:bCs w:val="1"/>
          <w:color w:val="auto"/>
        </w:rPr>
        <w:t xml:space="preserve">8.3.1 Right to Publish. </w:t>
      </w:r>
      <w:r>
        <w:rPr>
          <w:rFonts w:ascii="Arial" w:cs="Arial" w:eastAsia="Arial" w:hAnsi="Arial"/>
          <w:sz w:val="16"/>
          <w:szCs w:val="16"/>
          <w:color w:val="auto"/>
        </w:rPr>
        <w:t>Subject to the provisions of Sections 8.1 (Confidential Information), 8.2 (Terms of this Agreement; Publicity) and 8.3.2</w:t>
      </w:r>
      <w:r>
        <w:rPr>
          <w:rFonts w:ascii="Arial" w:cs="Arial" w:eastAsia="Arial" w:hAnsi="Arial"/>
          <w:sz w:val="16"/>
          <w:szCs w:val="16"/>
          <w:b w:val="1"/>
          <w:bCs w:val="1"/>
          <w:color w:val="auto"/>
        </w:rPr>
        <w:t xml:space="preserve"> </w:t>
      </w:r>
      <w:r>
        <w:rPr>
          <w:rFonts w:ascii="Arial" w:cs="Arial" w:eastAsia="Arial" w:hAnsi="Arial"/>
          <w:sz w:val="16"/>
          <w:szCs w:val="16"/>
          <w:color w:val="auto"/>
        </w:rPr>
        <w:t>(Review), RBNC shall have the right to publish with respect to the Licensed Compounds, Program Compounds and Products in publications based in the Territory, and to make scientific presentations on the Licensed Compounds, Program Compounds and Products in the Territory. The Parties acknowledge and agree that all RBNC publications pursuant to this Section 8.3 shall be developed by RBNC in accordance with RBNC’s publications policies and practices. In addition, authorship by RBNC of any publication arising from this Agreement will be undertaken in accordance with the International Committee of Medical Journal Editors (ICMJE) guidelines for authorship. Publications shall acknowledge use of any AMGEN data, support, or other contributions as appropriate and consistent with medical journal guidelines. AMGEN may not publish or make scientific presentations with respect to the Licensed Compounds, the Program Compounds and the Products without RBNC’s prior written approval.</w:t>
      </w:r>
    </w:p>
    <w:p>
      <w:pPr>
        <w:spacing w:after="0" w:line="159"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8.3.2 Review. </w:t>
      </w:r>
      <w:r>
        <w:rPr>
          <w:rFonts w:ascii="Arial" w:cs="Arial" w:eastAsia="Arial" w:hAnsi="Arial"/>
          <w:sz w:val="16"/>
          <w:szCs w:val="16"/>
          <w:color w:val="auto"/>
        </w:rPr>
        <w:t>Except as required by Law or court order, for any proposed publication or presentation regarding the Licensed Compounds,</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Compounds or Products in the Territory, RBNC: (a) shall transmit a copy of the proposed publication for review and comment to AMGEN at least [***] days (or, in the case of abstracts, [***] days) prior to the submission of such publication to a Third Party; (b) shall postpone such publication for up to an additional [***] days upon request of AMGEN to allow the consideration of appropriate patent applications or other protection to be filed; (c) upon request of AMGEN, shall remove all Confidential Information of AMGEN ; and (d) shall consider all reasonable comments made by AMGEN.</w:t>
      </w:r>
    </w:p>
    <w:p>
      <w:pPr>
        <w:spacing w:after="0" w:line="46"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b w:val="1"/>
          <w:bCs w:val="1"/>
          <w:color w:val="auto"/>
        </w:rPr>
        <w:t xml:space="preserve">Section 8.4 Relationship to the Confidentiality Agreement. </w:t>
      </w:r>
      <w:r>
        <w:rPr>
          <w:rFonts w:ascii="Arial" w:cs="Arial" w:eastAsia="Arial" w:hAnsi="Arial"/>
          <w:sz w:val="17"/>
          <w:szCs w:val="17"/>
          <w:color w:val="auto"/>
        </w:rPr>
        <w:t>This Agreement supersedes that certain Confidential Disclosure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between AMGEN and RBNC [***];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all “Confidential Information” disclosed or received by the Parties thereunder will be deemed either “Confidential Information” hereunder and will be subject to the terms and conditions of this Agreement or treated as “Confidential Information” under either the Exclusive License Agreement for GCase or the Research Collaboration and License Agreement and subject to the terms and conditions of such agreement, as applicable in light of the subject matter of such disclosure; provided that if such information relates to both this Agreement and such other agreements, or does not relate specifically to any such agreement, then such information will be deemed “Confidential Information” hereunder and subject to the terms and conditions of this Agreement.</w:t>
      </w:r>
    </w:p>
    <w:p>
      <w:pPr>
        <w:spacing w:after="0" w:line="64" w:lineRule="exact"/>
        <w:rPr>
          <w:sz w:val="20"/>
          <w:szCs w:val="20"/>
          <w:color w:val="auto"/>
        </w:rPr>
      </w:pPr>
    </w:p>
    <w:p>
      <w:pPr>
        <w:ind w:left="440" w:right="120"/>
        <w:spacing w:after="0" w:line="261" w:lineRule="auto"/>
        <w:rPr>
          <w:sz w:val="20"/>
          <w:szCs w:val="20"/>
          <w:color w:val="auto"/>
        </w:rPr>
      </w:pPr>
      <w:r>
        <w:rPr>
          <w:rFonts w:ascii="Arial" w:cs="Arial" w:eastAsia="Arial" w:hAnsi="Arial"/>
          <w:sz w:val="18"/>
          <w:szCs w:val="18"/>
          <w:b w:val="1"/>
          <w:bCs w:val="1"/>
          <w:color w:val="auto"/>
        </w:rPr>
        <w:t xml:space="preserve">Section 8.5 Attorney-Client Privilege. </w:t>
      </w:r>
      <w:r>
        <w:rPr>
          <w:rFonts w:ascii="Arial" w:cs="Arial" w:eastAsia="Arial" w:hAnsi="Arial"/>
          <w:sz w:val="18"/>
          <w:szCs w:val="18"/>
          <w:color w:val="auto"/>
        </w:rPr>
        <w:t>Neither Party is waiving, nor will be deemed to have waived or diminished, any of its attorney work</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protections, attorney-client privileges or similar protections and privileges recognized under the applicable Law of any jurisdiction as a result of disclosing information pursuant to this Agreement, or any of its Confidential Information (including Confidential Information related to pending or threatened litigation) to</w:t>
      </w:r>
    </w:p>
    <w:p>
      <w:pPr>
        <w:spacing w:after="0" w:line="1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392" w:name="page393"/>
    <w:bookmarkEnd w:id="392"/>
    <w:p>
      <w:pPr>
        <w:ind w:left="440"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TERM &amp; TERMINATION</w:t>
      </w:r>
    </w:p>
    <w:p>
      <w:pPr>
        <w:spacing w:after="0" w:line="117" w:lineRule="exact"/>
        <w:rPr>
          <w:sz w:val="20"/>
          <w:szCs w:val="20"/>
          <w:color w:val="auto"/>
        </w:rPr>
      </w:pPr>
    </w:p>
    <w:p>
      <w:pPr>
        <w:ind w:left="440" w:right="20"/>
        <w:spacing w:after="0" w:line="270" w:lineRule="auto"/>
        <w:rPr>
          <w:sz w:val="20"/>
          <w:szCs w:val="20"/>
          <w:color w:val="auto"/>
        </w:rPr>
      </w:pPr>
      <w:r>
        <w:rPr>
          <w:rFonts w:ascii="Arial" w:cs="Arial" w:eastAsia="Arial" w:hAnsi="Arial"/>
          <w:sz w:val="17"/>
          <w:szCs w:val="17"/>
          <w:b w:val="1"/>
          <w:bCs w:val="1"/>
          <w:color w:val="auto"/>
        </w:rPr>
        <w:t xml:space="preserve">Section 9.1 Term. </w:t>
      </w:r>
      <w:r>
        <w:rPr>
          <w:rFonts w:ascii="Arial" w:cs="Arial" w:eastAsia="Arial" w:hAnsi="Arial"/>
          <w:sz w:val="17"/>
          <w:szCs w:val="17"/>
          <w:color w:val="auto"/>
        </w:rPr>
        <w:t>Except for the terms and conditions of Article 6 (Representations), Article 7 (Indemnification), Article 8 (Confidentiality),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10 (Miscellaneous), and Section 5.7 (Filings, Consents and Approvals) which shall become effective on the Execution Date, this Agreement shall become effective on the Closing Date (such date, the “</w:t>
      </w:r>
      <w:r>
        <w:rPr>
          <w:rFonts w:ascii="Arial" w:cs="Arial" w:eastAsia="Arial" w:hAnsi="Arial"/>
          <w:sz w:val="17"/>
          <w:szCs w:val="17"/>
          <w:b w:val="1"/>
          <w:bCs w:val="1"/>
          <w:color w:val="auto"/>
        </w:rPr>
        <w:t>Effective Date</w:t>
      </w:r>
      <w:r>
        <w:rPr>
          <w:rFonts w:ascii="Arial" w:cs="Arial" w:eastAsia="Arial" w:hAnsi="Arial"/>
          <w:sz w:val="17"/>
          <w:szCs w:val="17"/>
          <w:color w:val="auto"/>
        </w:rPr>
        <w:t>”); provided, however, in the event that the Effective Date does not occur within [***] days of the Execution Date, either Party will have the right to terminate this Agreement in its entirety immediately upon notice to the other Party; provided, further, such notice of termination is delivered to the other Party before the date on which the Parties obtain all necessary antitrust or competition law clearances, consents and approvals for the closing of this Agreement. The term of this Agreement shall commence on the Effective Date, and unless terminated earlier as provided in this Article 9 (Term &amp; Termination), shall continue in full force and effect until expiration of all obligations of RBNC to pay royalties under this Agreement for all Products in the Territory (the “</w:t>
      </w:r>
      <w:r>
        <w:rPr>
          <w:rFonts w:ascii="Arial" w:cs="Arial" w:eastAsia="Arial" w:hAnsi="Arial"/>
          <w:sz w:val="17"/>
          <w:szCs w:val="17"/>
          <w:b w:val="1"/>
          <w:bCs w:val="1"/>
          <w:color w:val="auto"/>
        </w:rPr>
        <w:t>Term</w:t>
      </w:r>
      <w:r>
        <w:rPr>
          <w:rFonts w:ascii="Arial" w:cs="Arial" w:eastAsia="Arial" w:hAnsi="Arial"/>
          <w:sz w:val="17"/>
          <w:szCs w:val="17"/>
          <w:color w:val="auto"/>
        </w:rPr>
        <w:t>”). Upon expiration of this Agreement, the licenses granted to RBNC by AMGEN under this Agreement to Exploit the Products shall be fully paid-up, irrevocable and non-exclusive.</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9.2 Termination by AMGEN</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9.2.1 Breach. </w:t>
      </w:r>
      <w:r>
        <w:rPr>
          <w:rFonts w:ascii="Arial" w:cs="Arial" w:eastAsia="Arial" w:hAnsi="Arial"/>
          <w:sz w:val="17"/>
          <w:szCs w:val="17"/>
          <w:color w:val="auto"/>
        </w:rPr>
        <w:t>AMGEN will have the right to terminate this Agreement in full upon delivery of written notice to RBNC in the event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material breach by RBNC of any terms and conditions of this Agreement,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such termination will not be effective if such breach has been cured within ninety (90) days after written notice thereof is given by AMGEN to RBNC specifying in reasonable detail the nature of the alleged breach; </w:t>
      </w:r>
      <w:r>
        <w:rPr>
          <w:rFonts w:ascii="Arial" w:cs="Arial" w:eastAsia="Arial" w:hAnsi="Arial"/>
          <w:sz w:val="17"/>
          <w:szCs w:val="17"/>
          <w:b w:val="1"/>
          <w:bCs w:val="1"/>
          <w:i w:val="1"/>
          <w:iCs w:val="1"/>
          <w:color w:val="auto"/>
        </w:rPr>
        <w:t>provided further, however,</w:t>
      </w:r>
      <w:r>
        <w:rPr>
          <w:rFonts w:ascii="Arial" w:cs="Arial" w:eastAsia="Arial" w:hAnsi="Arial"/>
          <w:sz w:val="17"/>
          <w:szCs w:val="17"/>
          <w:color w:val="auto"/>
        </w:rPr>
        <w:t xml:space="preserve"> that to the extent such material breach involves (i) the material undisputed failure to make a payment when due, such breach must be cured within forty-five (45) days after written notice thereof is given by AMGEN to RBNC, or (ii) a breach by RBNC of Section 6.5(d) with respect to Proper Conduct Practices or Anti-Corruption Laws, (1) if such breach is capable of being cured, such breach must be cured within [***] after written notice thereof is given by AMGEN to RBNC and (2) if such breach is not capable of being cured, this Agreement will terminate [***] after delivery of such written notice; </w:t>
      </w:r>
      <w:r>
        <w:rPr>
          <w:rFonts w:ascii="Arial" w:cs="Arial" w:eastAsia="Arial" w:hAnsi="Arial"/>
          <w:sz w:val="17"/>
          <w:szCs w:val="17"/>
          <w:b w:val="1"/>
          <w:bCs w:val="1"/>
          <w:i w:val="1"/>
          <w:iCs w:val="1"/>
          <w:color w:val="auto"/>
        </w:rPr>
        <w:t>provided further, however,</w:t>
      </w:r>
      <w:r>
        <w:rPr>
          <w:rFonts w:ascii="Arial" w:cs="Arial" w:eastAsia="Arial" w:hAnsi="Arial"/>
          <w:sz w:val="17"/>
          <w:szCs w:val="17"/>
          <w:color w:val="auto"/>
        </w:rPr>
        <w:t xml:space="preserve"> with the exception of breaches falling into clause (ii) above, that if the material breach is not reasonably capable of being cured within the [***] cure period, and if RBNC (a) proposes within such [***] period a written plan, reasonably acceptable to AMGEN, to cure such breach, and (b) makes good faith efforts to cure such default and to implement such written cure plan, then, until the [***] of RBNC’s receipt of the relevant notice of termination, AMGEN may not terminate this Agreement under this Section 9.2.1 for so long as RBNC is diligently pursuing such cure in accordance with such plan.</w:t>
      </w:r>
    </w:p>
    <w:p>
      <w:pPr>
        <w:spacing w:after="0" w:line="11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393" w:name="page394"/>
    <w:bookmarkEnd w:id="393"/>
    <w:p>
      <w:pPr>
        <w:ind w:left="4" w:right="160" w:firstLine="4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9.2.2 Termination for a RBNC Distracting Product. </w:t>
      </w:r>
      <w:r>
        <w:rPr>
          <w:rFonts w:ascii="Arial" w:cs="Arial" w:eastAsia="Arial" w:hAnsi="Arial"/>
          <w:sz w:val="17"/>
          <w:szCs w:val="17"/>
          <w:color w:val="auto"/>
        </w:rPr>
        <w:t>AMGEN will have the right to terminate this Agreement in full upon written notice to</w:t>
      </w:r>
      <w:r>
        <w:rPr>
          <w:rFonts w:ascii="Arial" w:cs="Arial" w:eastAsia="Arial" w:hAnsi="Arial"/>
          <w:sz w:val="17"/>
          <w:szCs w:val="17"/>
          <w:b w:val="1"/>
          <w:bCs w:val="1"/>
          <w:color w:val="auto"/>
        </w:rPr>
        <w:t xml:space="preserve"> </w:t>
      </w:r>
      <w:r>
        <w:rPr>
          <w:rFonts w:ascii="Arial" w:cs="Arial" w:eastAsia="Arial" w:hAnsi="Arial"/>
          <w:sz w:val="17"/>
          <w:szCs w:val="17"/>
          <w:color w:val="auto"/>
        </w:rPr>
        <w:t>RBNC in the event that RBNC (or its Sublicensee) violates Section 5.4.1 (Distracting Programs) (and, for clarity, does not comply with Sections 5.4.2, 5.4.3 or 5.4.4 as may be applicable). Notwithstanding the foregoing, in the case of a Sublicensee’s violation of Section 5.4.1 (Distracting Programs), if RBNC terminates the applicable Sublicense Agreement (or the portions of such Sublicense Agreement relating specifically to the Product if such Sublicense Agreement covers other programs or products) and regains all rights granted by it to such Sublicensee in the Products and Licensed Know -How within forty-five (45) days of becoming aware of Sublicensee’s violation of Section 5.4.1 (Distracting Programs), AMGEN will have no right to terminate this Agreement under this Section 9.2.2 with respect to such violation by such Sublicensee.</w:t>
      </w:r>
    </w:p>
    <w:p>
      <w:pPr>
        <w:spacing w:after="0" w:line="6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9.3 Termination by RBNC</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b w:val="1"/>
          <w:bCs w:val="1"/>
          <w:color w:val="auto"/>
        </w:rPr>
        <w:t xml:space="preserve">9.3.1 Breach. </w:t>
      </w:r>
      <w:r>
        <w:rPr>
          <w:rFonts w:ascii="Arial" w:cs="Arial" w:eastAsia="Arial" w:hAnsi="Arial"/>
          <w:sz w:val="16"/>
          <w:szCs w:val="16"/>
          <w:color w:val="auto"/>
        </w:rPr>
        <w:t>RBNC will have the right to terminate this Agreement in full upon delivery of written notice to AMGEN in the event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material breach by AMGEN of any terms and conditions of this Agreement;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such termination will not be effective if such breach has been cured within ninety (90) days after written notice thereof is given by RBNC to AMGEN specifying the nature of the alleged breach; </w:t>
      </w:r>
      <w:r>
        <w:rPr>
          <w:rFonts w:ascii="Arial" w:cs="Arial" w:eastAsia="Arial" w:hAnsi="Arial"/>
          <w:sz w:val="16"/>
          <w:szCs w:val="16"/>
          <w:b w:val="1"/>
          <w:bCs w:val="1"/>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further, however, </w:t>
      </w:r>
      <w:r>
        <w:rPr>
          <w:rFonts w:ascii="Arial" w:cs="Arial" w:eastAsia="Arial" w:hAnsi="Arial"/>
          <w:sz w:val="16"/>
          <w:szCs w:val="16"/>
          <w:color w:val="auto"/>
        </w:rPr>
        <w:t>that if the material breach is not reasonably capable of being cured within the ninety (90)-day cure period, and if AMGEN</w:t>
      </w:r>
    </w:p>
    <w:p>
      <w:pPr>
        <w:spacing w:after="0" w:line="2" w:lineRule="exact"/>
        <w:rPr>
          <w:sz w:val="20"/>
          <w:szCs w:val="20"/>
          <w:color w:val="auto"/>
        </w:rPr>
      </w:pPr>
    </w:p>
    <w:p>
      <w:pPr>
        <w:ind w:left="4" w:right="100" w:hanging="4"/>
        <w:spacing w:after="0" w:line="302" w:lineRule="auto"/>
        <w:tabs>
          <w:tab w:leader="none" w:pos="249" w:val="left"/>
        </w:tabs>
        <w:numPr>
          <w:ilvl w:val="0"/>
          <w:numId w:val="235"/>
        </w:numPr>
        <w:rPr>
          <w:rFonts w:ascii="Arial" w:cs="Arial" w:eastAsia="Arial" w:hAnsi="Arial"/>
          <w:sz w:val="16"/>
          <w:szCs w:val="16"/>
          <w:color w:val="auto"/>
        </w:rPr>
      </w:pPr>
      <w:r>
        <w:rPr>
          <w:rFonts w:ascii="Arial" w:cs="Arial" w:eastAsia="Arial" w:hAnsi="Arial"/>
          <w:sz w:val="16"/>
          <w:szCs w:val="16"/>
          <w:color w:val="auto"/>
        </w:rPr>
        <w:t>proposes within such ninety (90)-day period a written plan, reasonably acceptable to RBNC, to cure such breach, and (b) makes good faith efforts to cure such default and to implement such written cure plan, then, until the [***] of AMGEN’s receipt of the relevant notice of termination, RBNC may not terminate this Agreement under this Section 9.3.1 for so long as AMGEN is diligently pursuing such cure in accordance with such plan.</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9.3.2 Discretionary Termination. </w:t>
      </w:r>
      <w:r>
        <w:rPr>
          <w:rFonts w:ascii="Arial" w:cs="Arial" w:eastAsia="Arial" w:hAnsi="Arial"/>
          <w:sz w:val="18"/>
          <w:szCs w:val="18"/>
          <w:color w:val="auto"/>
        </w:rPr>
        <w:t>RBNC will have the right to terminate at-will this Agreement in full:</w:t>
      </w:r>
    </w:p>
    <w:p>
      <w:pPr>
        <w:spacing w:after="0" w:line="121" w:lineRule="exact"/>
        <w:rPr>
          <w:sz w:val="20"/>
          <w:szCs w:val="20"/>
          <w:color w:val="auto"/>
        </w:rPr>
      </w:pPr>
    </w:p>
    <w:p>
      <w:pPr>
        <w:ind w:left="1424" w:right="340" w:firstLine="8"/>
        <w:spacing w:after="0" w:line="277" w:lineRule="auto"/>
        <w:tabs>
          <w:tab w:leader="none" w:pos="166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the time period prior to the Initiation of clinical development for any Product, upon thirty (30) day’s prior written notice to AMGEN; or</w:t>
      </w:r>
    </w:p>
    <w:p>
      <w:pPr>
        <w:spacing w:after="0" w:line="62" w:lineRule="exact"/>
        <w:rPr>
          <w:rFonts w:ascii="Arial" w:cs="Arial" w:eastAsia="Arial" w:hAnsi="Arial"/>
          <w:sz w:val="18"/>
          <w:szCs w:val="18"/>
          <w:color w:val="auto"/>
        </w:rPr>
      </w:pPr>
    </w:p>
    <w:p>
      <w:pPr>
        <w:ind w:left="1424" w:right="60" w:firstLine="8"/>
        <w:spacing w:after="0" w:line="277" w:lineRule="auto"/>
        <w:tabs>
          <w:tab w:leader="none" w:pos="167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the time period after the Initiation of clinical development for any Product, upon one hundred twenty (120) day’s prior written notice to AMGEN.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Following any such notice of termination, RBNC shall have no further obligation pursuant to Section 5.2 (Diligence) to further Exploit any Product.</w:t>
      </w:r>
    </w:p>
    <w:p>
      <w:pPr>
        <w:spacing w:after="0" w:line="125" w:lineRule="exact"/>
        <w:rPr>
          <w:sz w:val="20"/>
          <w:szCs w:val="20"/>
          <w:color w:val="auto"/>
        </w:rPr>
      </w:pPr>
    </w:p>
    <w:p>
      <w:pPr>
        <w:ind w:left="444" w:right="120"/>
        <w:spacing w:after="0" w:line="294" w:lineRule="auto"/>
        <w:rPr>
          <w:sz w:val="20"/>
          <w:szCs w:val="20"/>
          <w:color w:val="auto"/>
        </w:rPr>
      </w:pPr>
      <w:r>
        <w:rPr>
          <w:rFonts w:ascii="Arial" w:cs="Arial" w:eastAsia="Arial" w:hAnsi="Arial"/>
          <w:sz w:val="16"/>
          <w:szCs w:val="16"/>
          <w:b w:val="1"/>
          <w:bCs w:val="1"/>
          <w:color w:val="auto"/>
        </w:rPr>
        <w:t xml:space="preserve">Section 9.4 Termination Upon Bankruptcy. </w:t>
      </w:r>
      <w:r>
        <w:rPr>
          <w:rFonts w:ascii="Arial" w:cs="Arial" w:eastAsia="Arial" w:hAnsi="Arial"/>
          <w:sz w:val="16"/>
          <w:szCs w:val="16"/>
          <w:color w:val="auto"/>
        </w:rPr>
        <w:t>Either Party may terminate this Agreement if, at any time, the other Party shall (a) file in any court</w:t>
      </w:r>
      <w:r>
        <w:rPr>
          <w:rFonts w:ascii="Arial" w:cs="Arial" w:eastAsia="Arial" w:hAnsi="Arial"/>
          <w:sz w:val="16"/>
          <w:szCs w:val="16"/>
          <w:b w:val="1"/>
          <w:bCs w:val="1"/>
          <w:color w:val="auto"/>
        </w:rPr>
        <w:t xml:space="preserve"> </w:t>
      </w:r>
      <w:r>
        <w:rPr>
          <w:rFonts w:ascii="Arial" w:cs="Arial" w:eastAsia="Arial" w:hAnsi="Arial"/>
          <w:sz w:val="16"/>
          <w:szCs w:val="16"/>
          <w:color w:val="auto"/>
        </w:rPr>
        <w:t>or agency pursuant to any statute or regulation of any state, country or jurisdiction, a petition in bankruptcy or insolvency or for reorganization or for an arrangement or for the appointment of a receiver or trustee of that Party or of its assets, (b) propose a written agreement of composition or extension of its debts, (c) be served with an involuntary petition against it, filed in any insolvency proceeding, and such petition has not been dismissed within [***] days after the filing thereof, (d) propose or be a party to any dissolution or liquidation, (e) make an assignment for the benefit of its creditors or (f) admit in writing its inability generally to meet its obligations as they fall due in the general course.</w:t>
      </w:r>
    </w:p>
    <w:p>
      <w:pPr>
        <w:spacing w:after="0" w:line="9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4"/>
          </w:cols>
          <w:pgMar w:left="436" w:top="270" w:right="439" w:bottom="1440" w:gutter="0" w:footer="0" w:header="0"/>
        </w:sectPr>
      </w:pPr>
    </w:p>
    <w:bookmarkStart w:id="394" w:name="page395"/>
    <w:bookmarkEnd w:id="394"/>
    <w:p>
      <w:pPr>
        <w:jc w:val="both"/>
        <w:ind w:right="18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9.5 Effects of Termination for Licensed Compounds, Program Compounds and Products that are not RBNC Compounds. </w:t>
      </w:r>
      <w:r>
        <w:rPr>
          <w:rFonts w:ascii="Arial" w:cs="Arial" w:eastAsia="Arial" w:hAnsi="Arial"/>
          <w:sz w:val="16"/>
          <w:szCs w:val="16"/>
          <w:color w:val="auto"/>
        </w:rPr>
        <w:t>Upon</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by either Party under Section 9.2 (Termination by AMGEN), Section 9.3 (Termination by RBNC) or Section 9.4 (Termination Upon Bankruptcy), with respect to Products containing Licensed Compounds or Program Compounds other than RBNC Compounds:</w:t>
      </w:r>
    </w:p>
    <w:p>
      <w:pPr>
        <w:spacing w:after="0" w:line="51" w:lineRule="exact"/>
        <w:rPr>
          <w:sz w:val="20"/>
          <w:szCs w:val="20"/>
          <w:color w:val="auto"/>
        </w:rPr>
      </w:pPr>
    </w:p>
    <w:p>
      <w:pPr>
        <w:ind w:left="1520" w:hanging="533"/>
        <w:spacing w:after="0" w:line="291" w:lineRule="auto"/>
        <w:tabs>
          <w:tab w:leader="none" w:pos="152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RBNC will responsibly wind-down, in accordance with accepted pharmaceutical industry norms and ethical practices and all legal and regulatory requirements, any on-going clinical studies for which it has responsibility hereunder in which patient dosing has commenced or, if reasonably practicable and not adverse to patient safety and requested by AMGEN, RBNC shall complete such trials and AMGEN shall reimburse RBNC its reasonable, out-of-pocket costs and internal labor costs at the FTE Rate associated therewith. For the purpose of clarity, except as provided for above, RBNC may wind-down any ongoing clinical trials prior to the date of termination in accordance with accepted pharmaceutical industry norms and ethical practices and RBNC will be responsible for any costs associated with such wind-down.</w:t>
      </w:r>
    </w:p>
    <w:p>
      <w:pPr>
        <w:spacing w:after="0" w:line="71" w:lineRule="exact"/>
        <w:rPr>
          <w:rFonts w:ascii="Arial" w:cs="Arial" w:eastAsia="Arial" w:hAnsi="Arial"/>
          <w:sz w:val="16"/>
          <w:szCs w:val="16"/>
          <w:color w:val="auto"/>
        </w:rPr>
      </w:pPr>
    </w:p>
    <w:p>
      <w:pPr>
        <w:ind w:left="1520" w:right="160" w:hanging="533"/>
        <w:spacing w:after="0" w:line="257" w:lineRule="auto"/>
        <w:tabs>
          <w:tab w:leader="none" w:pos="15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Such termination of this Agreement will automatically terminate any sublicense granted by RBNC pursuant to Section 2.2 (Sublicenses) unless AMGEN has approved such sublicense in writing, in which case all rights under such sublicense shall be deemed to survive termination as long as Sublicensee complies with its obligations thereunder, and provided further that in no event will AMGEN be obligated to fulfill any of RBNC’s obligations under such sublicense that extend beyond the obligations of AMGEN set forth in this Agreement.</w:t>
      </w:r>
    </w:p>
    <w:p>
      <w:pPr>
        <w:spacing w:after="0" w:line="93" w:lineRule="exact"/>
        <w:rPr>
          <w:rFonts w:ascii="Arial" w:cs="Arial" w:eastAsia="Arial" w:hAnsi="Arial"/>
          <w:sz w:val="18"/>
          <w:szCs w:val="18"/>
          <w:color w:val="auto"/>
        </w:rPr>
      </w:pPr>
    </w:p>
    <w:p>
      <w:pPr>
        <w:ind w:left="1520" w:right="180" w:hanging="533"/>
        <w:spacing w:after="0" w:line="311" w:lineRule="auto"/>
        <w:tabs>
          <w:tab w:leader="none" w:pos="152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All rights and licenses granted by AMGEN to RBNC in Article 2 (License Grant) will terminate, and RBNC and its Affiliates, and (subject to Section 9.5(b)) Sublicensees will cease all use of Licensed Know-How and Licensed Patents and all Exploitation of any such Licensed Compound, Program Compound or Product, except to the extent required hereunder.</w:t>
      </w:r>
    </w:p>
    <w:p>
      <w:pPr>
        <w:spacing w:after="0" w:line="54" w:lineRule="exact"/>
        <w:rPr>
          <w:rFonts w:ascii="Arial" w:cs="Arial" w:eastAsia="Arial" w:hAnsi="Arial"/>
          <w:sz w:val="16"/>
          <w:szCs w:val="16"/>
          <w:color w:val="auto"/>
        </w:rPr>
      </w:pPr>
    </w:p>
    <w:p>
      <w:pPr>
        <w:ind w:left="1520" w:right="60" w:hanging="533"/>
        <w:spacing w:after="0" w:line="269" w:lineRule="auto"/>
        <w:tabs>
          <w:tab w:leader="none" w:pos="152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Upon AMGEN’s request, all Marketing Approvals and other Regulatory Filings and communications owned (in whole or in part) or otherwise Controlled by RBNC and its Affiliates, and (subject to Section 9.5(b)) Sublicensees, and all other documents relating to or necessary to further Exploit any such Product, as such items exist as of the effective date of such termination (including all documents related to completed and ongoing clinical studies) will be assigned to AMGEN to the extent practicable (or, if not so assigned, RBNC shall make the benefit of the foregoing reasonably available to AMGEN), and RBNC will provide to AMGEN one (1) copy of the foregoing and all documents contained in or referenced in any such items, together with the raw and summarized data for any clinical studies (and where reasonably available, electronic copies thereof). All expenses in relation to such assignment will be borne by AMGEN. In the event of any failure to obtain assignment, RBNC hereby consents and grants to AMGEN the right to access and reference (without any further action required on the part of RBNC, whose authorization to file this consent with any Regulatory Authority is hereby granted) any such item.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60"/>
          </w:cols>
          <w:pgMar w:left="880" w:top="270" w:right="459" w:bottom="1440" w:gutter="0" w:footer="0" w:header="0"/>
        </w:sectPr>
      </w:pPr>
    </w:p>
    <w:bookmarkStart w:id="395" w:name="page396"/>
    <w:bookmarkEnd w:id="395"/>
    <w:p>
      <w:pPr>
        <w:ind w:left="960" w:right="120" w:hanging="533"/>
        <w:spacing w:after="0" w:line="283" w:lineRule="auto"/>
        <w:tabs>
          <w:tab w:leader="none" w:pos="9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AMGEN’s election, RBNC shall and hereby does grant to AMGEN and its Affiliates (i) an automatic, worldwide, perpetual and irrevocable exclusive license, with the right to grant sublicenses through multiple tiers, solely for use in Exploiting such Products, under Know-How and Patent Rights that are Controlled by RBNC or any of its Affiliates (including any Know-How and Patent Rights Controlled by RBNC or its Affiliates through an assignment or license by Sublicensees) prior to termination and that Cover such Products and which are necessary for Exploiting any such Product as such Product exists as of the termination date, and (ii) an automatic, worldwide, perpetual and irrevocable non-exclusive license, with the right to grant sublicenses through multiple tiers, solely for use in Exploiting such Products, under Know-How and Patent Rights that are Controlled by RBNC or any of its Affiliates (including any Know-How and Patent Rights Controlled by RBNC or its Affiliates through an assignment or license by Sublicensees) prior to termination and that do not Cover such Products but that are necessary for Exploiting any such Product as such Product exists as of the termination date. RBNC shall use its reasonable efforts to facilitate a smooth, orderly and prompt transition of the Exploitation of any Product that is the subject of the license grant to AMGEN under this Section 9.5(e) from RBNC to AMGEN, promptly upon AMGEN’s election to take such a license. For the purpose of clarity, upon AMGEN’s election at the time of termination, (1) such license shall be effective only as of and after the effective date of such termination and</w:t>
      </w:r>
    </w:p>
    <w:p>
      <w:pPr>
        <w:spacing w:after="0" w:line="1" w:lineRule="exact"/>
        <w:rPr>
          <w:rFonts w:ascii="Arial" w:cs="Arial" w:eastAsia="Arial" w:hAnsi="Arial"/>
          <w:sz w:val="16"/>
          <w:szCs w:val="16"/>
          <w:color w:val="auto"/>
        </w:rPr>
      </w:pPr>
    </w:p>
    <w:p>
      <w:pPr>
        <w:ind w:left="96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(2) in consideration of such license, AMGEN will be obligated to pay to RBNC royalties during the Royalty Term(s) at rates that are [***] of the royalty rates contemplated in Section 3.2.1 (Royalty Rate; Royalty Term); provided, all deductions and reductions contemplated in Section 3.2 will apply to such payments, and the definition of Net Sales and Sections 3.4 (Method of Payment) to 3.10 (Taxes) (inclusive) will apply </w:t>
      </w:r>
      <w:r>
        <w:rPr>
          <w:rFonts w:ascii="Arial" w:cs="Arial" w:eastAsia="Arial" w:hAnsi="Arial"/>
          <w:sz w:val="17"/>
          <w:szCs w:val="17"/>
          <w:i w:val="1"/>
          <w:iCs w:val="1"/>
          <w:color w:val="auto"/>
        </w:rPr>
        <w:t>mutatis-mutandis</w:t>
      </w:r>
      <w:r>
        <w:rPr>
          <w:rFonts w:ascii="Arial" w:cs="Arial" w:eastAsia="Arial" w:hAnsi="Arial"/>
          <w:sz w:val="17"/>
          <w:szCs w:val="17"/>
          <w:color w:val="auto"/>
        </w:rPr>
        <w:t xml:space="preserve"> to AMGEN in connection with the payment of such royalties. Notwithstanding the foregoing, in the event that any of the foregoing Know-How or Patent Rights are not Controlled by RBNC (or any of its Affiliates) due to the fact that RBNC (or its Affiliate) would be obligated to make any payments to a Third Party in connection with the grant of the foregoing licenses, then AMGEN shall have the right to assume such payment obligations and should it elect to do so and complies with such payment obligations, such Know-How and Patent Rights shall be included in such license grant.</w:t>
      </w:r>
    </w:p>
    <w:p>
      <w:pPr>
        <w:spacing w:after="0" w:line="86" w:lineRule="exact"/>
        <w:rPr>
          <w:rFonts w:ascii="Arial" w:cs="Arial" w:eastAsia="Arial" w:hAnsi="Arial"/>
          <w:sz w:val="16"/>
          <w:szCs w:val="16"/>
          <w:color w:val="auto"/>
        </w:rPr>
      </w:pPr>
    </w:p>
    <w:p>
      <w:pPr>
        <w:ind w:left="960" w:right="160" w:hanging="533"/>
        <w:spacing w:after="0" w:line="296" w:lineRule="auto"/>
        <w:tabs>
          <w:tab w:leader="none" w:pos="9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Upon AMGEN’s request, RBNC will assign (or, if applicable, will cause its Affiliates or (subject to Section 9.5(b)) Sublicensees to assign) to AMGEN all of RBNC’s (and such Affiliates’ and Sublicensees’) right, title and interest in and to any registered or unregistered trademarks or internet domain names that are specific to such Product(s), provided that such assignment is in accordance with RBNC’s policy on trademarks (it being understood that the foregoing will not include any trademarks or internet domain names that contain the corporate or business name(s) of RBNC).</w:t>
      </w:r>
    </w:p>
    <w:p>
      <w:pPr>
        <w:spacing w:after="0" w:line="9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020"/>
          </w:cols>
          <w:pgMar w:left="1440" w:top="274" w:right="439" w:bottom="1440" w:gutter="0" w:footer="0" w:header="0"/>
        </w:sectPr>
      </w:pPr>
    </w:p>
    <w:bookmarkStart w:id="396" w:name="page397"/>
    <w:bookmarkEnd w:id="396"/>
    <w:p>
      <w:pPr>
        <w:ind w:left="960" w:hanging="533"/>
        <w:spacing w:after="0" w:line="267" w:lineRule="auto"/>
        <w:tabs>
          <w:tab w:leader="none" w:pos="9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RBNC agrees (and shall cause its Affiliates and Sublicensees as a condition of the grant of the applicable sublicense to so agree) to fully cooperate with AMGEN and its designee(s) to facilitate a smooth, orderly and prompt transition of the Exploitation of such Products in the Territory to AMGEN and/or its designee(s). Upon request by AMGEN, RBNC shall transfer to AMGEN some or all quantities of such Products in its possession at [***] price paid by RBNC to a Third Party for such quantities or [***] plus [***]. If RBNC is, at the time of such termination of this Agreement, party to any Third Party contracts with respect to such Product(s), then it shall provide AMGEN notice of and (to the extent permitted to do so) copies thereof. RBNC shall assign to AMGEN any such contracts requested by AMGEN, to the extent solely relating to such Product(s) and to the extent it has the right under such contract(s) to do so (and shall use commercially reasonable efforts to obtain any required consents, which efforts shall not require making any payments or incurring any liabilities unless AMGEN agrees to reimburse RBNC therefor (and RBNC shall inform AMGEN of any such required payment or liability)). In addition, RBNC shall, at AMGEN’s cost and expense, (i) provide any cooperation reasonably requested by AMGEN to ensure uninterrupted supply of such Product(s) (including RBNC’s employees’ time at the FTE Rate), and (ii) if RBNC manufactured such Product(s) at the time of termination, continue to provide for manufacturing of such Product for AMGEN, at [***] of the fully-burdened manufacturing cost therefor, from the date of notice of such termination until the sooner to occur of such time as AMGEN is able, using commercially reasonable efforts to do so, to secure an acceptable alternative commercial manufacturing source from which sufficient quantities of such Product(s) may be procured and legally sold in the Territory or [***] months from the effective date of termination of this Agreement.</w:t>
      </w:r>
    </w:p>
    <w:p>
      <w:pPr>
        <w:spacing w:after="0" w:line="96" w:lineRule="exact"/>
        <w:rPr>
          <w:rFonts w:ascii="Arial" w:cs="Arial" w:eastAsia="Arial" w:hAnsi="Arial"/>
          <w:sz w:val="17"/>
          <w:szCs w:val="17"/>
          <w:color w:val="auto"/>
        </w:rPr>
      </w:pPr>
    </w:p>
    <w:p>
      <w:pPr>
        <w:ind w:left="960" w:right="180" w:hanging="533"/>
        <w:spacing w:after="0" w:line="284" w:lineRule="auto"/>
        <w:tabs>
          <w:tab w:leader="none" w:pos="9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Each Party shall, at Disclosing Party’s written request and election, either (i) destroy all copies of Disclosing Party’s Confidential Information relating to such Products in the possession or control of Receiving Party and confirm such destruction in writing to Disclosing Party, or (ii) return to Disclosing Party, at Disclosing Party’s expense, all copies of Disclosing Party’s Confidential Information relating to such Products in the possession or control of Receiving Party. Notwithstanding the foregoing, Receiving Party shall be permitted to retain (1) such Confidential Information to the extent necessary for purposes of performing any continuing obligations or exercising any ongoing rights under this Agreement,</w:t>
      </w:r>
    </w:p>
    <w:p>
      <w:pPr>
        <w:spacing w:after="0" w:line="4" w:lineRule="exact"/>
        <w:rPr>
          <w:rFonts w:ascii="Arial" w:cs="Arial" w:eastAsia="Arial" w:hAnsi="Arial"/>
          <w:sz w:val="16"/>
          <w:szCs w:val="16"/>
          <w:color w:val="auto"/>
        </w:rPr>
      </w:pPr>
    </w:p>
    <w:p>
      <w:pPr>
        <w:ind w:left="960"/>
        <w:spacing w:after="0" w:line="271" w:lineRule="auto"/>
        <w:rPr>
          <w:rFonts w:ascii="Arial" w:cs="Arial" w:eastAsia="Arial" w:hAnsi="Arial"/>
          <w:sz w:val="16"/>
          <w:szCs w:val="16"/>
          <w:color w:val="auto"/>
        </w:rPr>
      </w:pPr>
      <w:r>
        <w:rPr>
          <w:rFonts w:ascii="Arial" w:cs="Arial" w:eastAsia="Arial" w:hAnsi="Arial"/>
          <w:sz w:val="17"/>
          <w:szCs w:val="17"/>
          <w:color w:val="auto"/>
        </w:rPr>
        <w:t>(2) a single copy of such Confidential Information for archival purposes, and (3) such Confidential Information that is contained in any computer records or files that have been created solely by Receiving Party’s automatic archiving and back-up procedures, to the extent created and retained in a manner consistent with Receiving Party’s standard archiving and back-up procedures; provided that, in each case of (1), (2) and (3), such Confidential Information shall continue to be subject to restrictions on use and disclosure in this Agreement for the term set forth in Section 8.1.2.</w:t>
      </w:r>
    </w:p>
    <w:p>
      <w:pPr>
        <w:spacing w:after="0" w:line="11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980"/>
          </w:cols>
          <w:pgMar w:left="1440" w:top="274" w:right="479" w:bottom="1440" w:gutter="0" w:footer="0" w:header="0"/>
        </w:sectPr>
      </w:pPr>
    </w:p>
    <w:bookmarkStart w:id="397" w:name="page398"/>
    <w:bookmarkEnd w:id="397"/>
    <w:p>
      <w:pPr>
        <w:ind w:left="5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RBNC shall duly execute and deliver, or cause to be duly executed and delivered, such instruments and shall do and cause to be done such activities and things, including the filings of such assignments, agreements, documents and instruments, as may be necessary under, or as AMGEN may reasonably request in connection with, AMGEN’s rights under this Section 9.5 (Effects of Termination for Licensed Compounds, Program Compounds and Products that are not RBNC Compounds).</w:t>
      </w:r>
    </w:p>
    <w:p>
      <w:pPr>
        <w:spacing w:after="0" w:line="75"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Section 9.6 Effects of Termination for RBNC Compounds. </w:t>
      </w:r>
      <w:r>
        <w:rPr>
          <w:rFonts w:ascii="Arial" w:cs="Arial" w:eastAsia="Arial" w:hAnsi="Arial"/>
          <w:sz w:val="16"/>
          <w:szCs w:val="16"/>
          <w:color w:val="auto"/>
        </w:rPr>
        <w:t>Upon termination by either Party under Section 9.2 (Termination by AMGEN),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9.3 (Termination by RBNC) or Section 9.4 (Termination Upon Bankruptcy), with respect to any Products containing RBNC Compounds:</w:t>
      </w:r>
    </w:p>
    <w:p>
      <w:pPr>
        <w:spacing w:after="0" w:line="25" w:lineRule="exact"/>
        <w:rPr>
          <w:sz w:val="20"/>
          <w:szCs w:val="20"/>
          <w:color w:val="auto"/>
        </w:rPr>
      </w:pPr>
    </w:p>
    <w:p>
      <w:pPr>
        <w:ind w:left="1520" w:right="400" w:hanging="533"/>
        <w:spacing w:after="0" w:line="342" w:lineRule="auto"/>
        <w:tabs>
          <w:tab w:leader="none" w:pos="152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All rights and licenses granted by AMGEN to RBNC in Article 2 (License Grant) will terminate, and RBNC and its Affiliates, and (subject to Section 9.6(b)) Sublicensees will cease all use of Licensed Know-How and Licensed Patents.</w:t>
      </w:r>
    </w:p>
    <w:p>
      <w:pPr>
        <w:spacing w:after="0" w:line="29" w:lineRule="exact"/>
        <w:rPr>
          <w:rFonts w:ascii="Arial" w:cs="Arial" w:eastAsia="Arial" w:hAnsi="Arial"/>
          <w:sz w:val="16"/>
          <w:szCs w:val="16"/>
          <w:color w:val="auto"/>
        </w:rPr>
      </w:pPr>
    </w:p>
    <w:p>
      <w:pPr>
        <w:ind w:left="1520" w:right="120" w:hanging="533"/>
        <w:spacing w:after="0" w:line="257" w:lineRule="auto"/>
        <w:tabs>
          <w:tab w:leader="none" w:pos="15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Such termination of this Agreement will automatically terminate any sublicense granted by RBNC pursuant to Section 2.2 (Sublicenses) unless AMGEN has approved such sublicense in writing, in which case all rights under such sublicense shall be deemed to survive termination as long as Sublicensee complies with its obligations thereunder, and provided further that in no event will AMGEN be obligated to fulfill any of RBNC’s obligations under such sublicense that extend beyond the obligations of AMGEN set forth in this Agreement.</w:t>
      </w:r>
    </w:p>
    <w:p>
      <w:pPr>
        <w:spacing w:after="0" w:line="93" w:lineRule="exact"/>
        <w:rPr>
          <w:rFonts w:ascii="Arial" w:cs="Arial" w:eastAsia="Arial" w:hAnsi="Arial"/>
          <w:sz w:val="18"/>
          <w:szCs w:val="18"/>
          <w:color w:val="auto"/>
        </w:rPr>
      </w:pPr>
    </w:p>
    <w:p>
      <w:pPr>
        <w:ind w:left="1520" w:right="60" w:hanging="533"/>
        <w:spacing w:after="0" w:line="263" w:lineRule="auto"/>
        <w:tabs>
          <w:tab w:leader="none" w:pos="15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As between the Parties, RBNC will retain rights to the RBNC Compounds and to any Products that contain RBNC Compounds; provided, the Exploitation of such Products does not require the use or practice of any Licensed Know-How or any intellectual property rights of AMGEN.</w:t>
      </w:r>
    </w:p>
    <w:p>
      <w:pPr>
        <w:spacing w:after="0" w:line="89" w:lineRule="exact"/>
        <w:rPr>
          <w:rFonts w:ascii="Arial" w:cs="Arial" w:eastAsia="Arial" w:hAnsi="Arial"/>
          <w:sz w:val="18"/>
          <w:szCs w:val="18"/>
          <w:color w:val="auto"/>
        </w:rPr>
      </w:pPr>
    </w:p>
    <w:p>
      <w:pPr>
        <w:ind w:left="1520" w:right="80" w:hanging="533"/>
        <w:spacing w:after="0" w:line="290" w:lineRule="auto"/>
        <w:tabs>
          <w:tab w:leader="none" w:pos="152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Each Party shall, at Disclosing Party’s written request and election, either (i) destroy all copies of Disclosing Party’s Confidential Information relating to such RBNC Compounds in the possession or control of Receiving Party and confirm such destruction in writing to Disclosing Party, or (ii) return to Disclosing Party, at Disclosing Party’s expense, all copies of Disclosing Party’s Confidential Information relating to such RBNC Compounds in the possession or control of Receiving Party. Notwithstanding the foregoing, Receiving Party shall be permitted to retain (1) such Confidential Information to the extent necessary for purposes of performing any continuing obligations or exercising any ongoing rights under this Agreement, (2) a single copy of such Confidential Information for archival purposes, and (3) such Confidential Information that is contained in any computer records or files that have been created solely by Receiving Party’s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20"/>
          </w:cols>
          <w:pgMar w:left="880" w:top="274" w:right="499" w:bottom="1440" w:gutter="0" w:footer="0" w:header="0"/>
        </w:sectPr>
      </w:pPr>
    </w:p>
    <w:bookmarkStart w:id="398" w:name="page399"/>
    <w:bookmarkEnd w:id="398"/>
    <w:p>
      <w:pPr>
        <w:ind w:left="19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automatic archiving and back-up procedures, to the extent created and retained in a manner consistent with Receiving Party’s standard archiving and back-up procedures; provided that, in each case of (1), (2) and (3), such Confidential Information shall continue to be subject to restrictions on use and disclosure in this Agreement for the term set forth in Section 8.1.2.</w:t>
      </w:r>
    </w:p>
    <w:p>
      <w:pPr>
        <w:spacing w:after="0" w:line="41" w:lineRule="exact"/>
        <w:rPr>
          <w:sz w:val="20"/>
          <w:szCs w:val="20"/>
          <w:color w:val="auto"/>
        </w:rPr>
      </w:pPr>
    </w:p>
    <w:p>
      <w:pPr>
        <w:ind w:left="440" w:right="140"/>
        <w:spacing w:after="0" w:line="311" w:lineRule="auto"/>
        <w:rPr>
          <w:sz w:val="20"/>
          <w:szCs w:val="20"/>
          <w:color w:val="auto"/>
        </w:rPr>
      </w:pPr>
      <w:r>
        <w:rPr>
          <w:rFonts w:ascii="Arial" w:cs="Arial" w:eastAsia="Arial" w:hAnsi="Arial"/>
          <w:sz w:val="16"/>
          <w:szCs w:val="16"/>
          <w:color w:val="auto"/>
        </w:rPr>
        <w:t>AMGEN shall duly execute and deliver, or cause to be duly executed and delivered, such instruments and shall do and cause to be done such activities and things, including the filings of such assignments, agreements, documents and instruments, as may be necessary under, or as RBNC may reasonably request in connection with, RBNC’s rights under this Section 9.6 (Effects of Termination for RBNC Compounds).</w:t>
      </w:r>
    </w:p>
    <w:p>
      <w:pPr>
        <w:spacing w:after="0" w:line="37" w:lineRule="exact"/>
        <w:rPr>
          <w:sz w:val="20"/>
          <w:szCs w:val="20"/>
          <w:color w:val="auto"/>
        </w:rPr>
      </w:pPr>
    </w:p>
    <w:p>
      <w:pPr>
        <w:ind w:left="440" w:right="80"/>
        <w:spacing w:after="0" w:line="287" w:lineRule="auto"/>
        <w:rPr>
          <w:sz w:val="20"/>
          <w:szCs w:val="20"/>
          <w:color w:val="auto"/>
        </w:rPr>
      </w:pPr>
      <w:r>
        <w:rPr>
          <w:rFonts w:ascii="Arial" w:cs="Arial" w:eastAsia="Arial" w:hAnsi="Arial"/>
          <w:sz w:val="16"/>
          <w:szCs w:val="16"/>
          <w:b w:val="1"/>
          <w:bCs w:val="1"/>
          <w:color w:val="auto"/>
        </w:rPr>
        <w:t xml:space="preserve">Section 9.7 Survival. </w:t>
      </w:r>
      <w:r>
        <w:rPr>
          <w:rFonts w:ascii="Arial" w:cs="Arial" w:eastAsia="Arial" w:hAnsi="Arial"/>
          <w:sz w:val="16"/>
          <w:szCs w:val="16"/>
          <w:color w:val="auto"/>
        </w:rPr>
        <w:t>In addition to the termination consequences set forth in Section 9.5 (Effects of Termination for Licensed Compounds,</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Compounds and Products that are not RBNC Compounds) and Section 9.6 (Effects of Termination for RBNC Compounds), the following provisions will survive termination or expiration of this Agreement: Articles 1 (Definitions), 7 (Indemnification), 8 (Confidentiality), and 10 (Miscellaneous) and Sections 2.6 (No Other Rights), 3.1 (Milestone Payments) (with respect to payment obligations accrued before such expiration or termination but remain unpaid as of the effective date of termination or expiration), 3.2 (Royalties) (with respect to sales made and payment obligations accrued before such expiration or termination but remain unpaid as of the effective date of termination or expiration), 3.3 (Sublicensing Income) (with respect to payment obligations accrued before such expiration or termination but remain unpaid as of the effective date of termination or expiration), 3.4 (Method of Payment) through 3.8 (Late Payments) (inclusive) (in each case with respect to Milestone Payments, Sublicensing Consideration and royalty payments accrued before such expiration or termination but remain unpaid as of the effective date of termination or expiration), 3.9 (Records and Audits), 3.10 (Taxes) (with respect to Milestone Payments, Sublicensing Consideration and royalty payments accrued before such expiration or termination but remain unpaid as of the effective date of termination or expiration), 4.1 (Intellectual Property Ownership), 4.4 (Enforcement) through 4.6 (Recovery) (inclusive) (in each case with respect to any action initiated prior to such expiration or termination), 6.4 (Disclaimer), and this Section 9.7 (Survival).</w:t>
      </w:r>
    </w:p>
    <w:p>
      <w:pPr>
        <w:spacing w:after="0" w:line="56" w:lineRule="exact"/>
        <w:rPr>
          <w:sz w:val="20"/>
          <w:szCs w:val="20"/>
          <w:color w:val="auto"/>
        </w:rPr>
      </w:pPr>
    </w:p>
    <w:p>
      <w:pPr>
        <w:ind w:left="440" w:right="100"/>
        <w:spacing w:after="0" w:line="258" w:lineRule="auto"/>
        <w:rPr>
          <w:sz w:val="20"/>
          <w:szCs w:val="20"/>
          <w:color w:val="auto"/>
        </w:rPr>
      </w:pPr>
      <w:r>
        <w:rPr>
          <w:rFonts w:ascii="Arial" w:cs="Arial" w:eastAsia="Arial" w:hAnsi="Arial"/>
          <w:sz w:val="18"/>
          <w:szCs w:val="18"/>
          <w:b w:val="1"/>
          <w:bCs w:val="1"/>
          <w:color w:val="auto"/>
        </w:rPr>
        <w:t xml:space="preserve">Section 9.8 Termination not Exclusive Remedy. </w:t>
      </w:r>
      <w:r>
        <w:rPr>
          <w:rFonts w:ascii="Arial" w:cs="Arial" w:eastAsia="Arial" w:hAnsi="Arial"/>
          <w:sz w:val="18"/>
          <w:szCs w:val="18"/>
          <w:color w:val="auto"/>
        </w:rPr>
        <w:t>Termination or expiration of this Agreement are neither Party’s exclusive remedy and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All other rights and obligations will terminate upon expiration of this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MISCELLANEOUS</w:t>
      </w:r>
    </w:p>
    <w:p>
      <w:pPr>
        <w:spacing w:after="0" w:line="117" w:lineRule="exact"/>
        <w:rPr>
          <w:sz w:val="20"/>
          <w:szCs w:val="20"/>
          <w:color w:val="auto"/>
        </w:rPr>
      </w:pPr>
    </w:p>
    <w:p>
      <w:pPr>
        <w:ind w:left="440" w:right="500"/>
        <w:spacing w:after="0" w:line="289" w:lineRule="auto"/>
        <w:rPr>
          <w:sz w:val="20"/>
          <w:szCs w:val="20"/>
          <w:color w:val="auto"/>
        </w:rPr>
      </w:pPr>
      <w:r>
        <w:rPr>
          <w:rFonts w:ascii="Arial" w:cs="Arial" w:eastAsia="Arial" w:hAnsi="Arial"/>
          <w:sz w:val="17"/>
          <w:szCs w:val="17"/>
          <w:b w:val="1"/>
          <w:bCs w:val="1"/>
          <w:color w:val="auto"/>
        </w:rPr>
        <w:t xml:space="preserve">Section 10.1 Entire Agreement; Amendment. </w:t>
      </w:r>
      <w:r>
        <w:rPr>
          <w:rFonts w:ascii="Arial" w:cs="Arial" w:eastAsia="Arial" w:hAnsi="Arial"/>
          <w:sz w:val="17"/>
          <w:szCs w:val="17"/>
          <w:color w:val="auto"/>
        </w:rPr>
        <w:t>This Agreement and all Exhibits attached to this Agreement constitute the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Parties as to the subject matter hereof. All prior and contemporaneous negotiations, representations, warranties, agreements, statements, promises and understandings with respect to the subject matter of this Agreement</w:t>
      </w:r>
    </w:p>
    <w:p>
      <w:pPr>
        <w:spacing w:after="0" w:line="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399" w:name="page400"/>
    <w:bookmarkEnd w:id="39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are hereby superseded and merged into, extinguished by and completely expressed by this Agreement. None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all Parties.</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Section 10.2 Section 365(n) of the Bankruptcy Code. </w:t>
      </w:r>
      <w:r>
        <w:rPr>
          <w:rFonts w:ascii="Arial" w:cs="Arial" w:eastAsia="Arial" w:hAnsi="Arial"/>
          <w:sz w:val="18"/>
          <w:szCs w:val="18"/>
          <w:color w:val="auto"/>
        </w:rPr>
        <w:t>All rights and licenses granted under or pursuant to any section of this Agreement are,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otherwise be deemed to be, for purposes of Section 365(n) of the U.S. Bankruptcy Code, licenses of rights to “intellectual property” as defined under Section 101(35A) of the U.S. Bankruptcy Code to the extent permitted thereunder. The Parties shall retain and may fully exercise all of their respective rights and elections under the U.S. Bankruptcy Code. Upon the bankruptcy of any Party, the non-bankrupt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w:t>
      </w:r>
    </w:p>
    <w:p>
      <w:pPr>
        <w:spacing w:after="0" w:line="8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Section 10.3 Independent Contractors. </w:t>
      </w:r>
      <w:r>
        <w:rPr>
          <w:rFonts w:ascii="Arial" w:cs="Arial" w:eastAsia="Arial" w:hAnsi="Arial"/>
          <w:sz w:val="16"/>
          <w:szCs w:val="16"/>
          <w:color w:val="auto"/>
        </w:rPr>
        <w:t>The relationship between RBNC and AMGEN created by this Agreement is solely that of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This Agreement does not create any agency, distributorship, employee-employer,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 Each Party shall use its own discretion and shall have complete and authoritative control over its employees and the details of performing its obligations under this Agreement.</w:t>
      </w:r>
    </w:p>
    <w:p>
      <w:pPr>
        <w:spacing w:after="0" w:line="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 xml:space="preserve">Section 10.4 Governing Law; Jurisdiction. </w:t>
      </w:r>
      <w:r>
        <w:rPr>
          <w:rFonts w:ascii="Arial" w:cs="Arial" w:eastAsia="Arial" w:hAnsi="Arial"/>
          <w:sz w:val="17"/>
          <w:szCs w:val="17"/>
          <w:color w:val="auto"/>
        </w:rPr>
        <w:t>This Agreement and its effect are subject to and shall be construed and enforced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law of the State of New York, without regard to its conflicts of laws, except as to any issue which depends upon the validity, scope or enforceability of any Patent Right, which issue shall be determined in accordance with the laws of the country in which such patent was issued. Each of the Parties hereby irrevocably and unconditionally consents to submit to the exclusive jurisdiction of the courts of the State of New York for any matter arising out of or relating to this Agreement and the transactions contemplated hereby, and agrees not to commence any litigation relating thereto except in such courts. Each of the Parties hereby irrevocably and unconditionally waives any objection to the laying of venue of any matter arising out of this Agreement or the transactions contemplated hereby in the courts of the State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Agreement shall be exclusively conducted in the English language.</w:t>
      </w:r>
    </w:p>
    <w:p>
      <w:pPr>
        <w:spacing w:after="0" w:line="7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Section 10.5 Notice. </w:t>
      </w:r>
      <w:r>
        <w:rPr>
          <w:rFonts w:ascii="Arial" w:cs="Arial" w:eastAsia="Arial" w:hAnsi="Arial"/>
          <w:sz w:val="18"/>
          <w:szCs w:val="18"/>
          <w:color w:val="auto"/>
        </w:rPr>
        <w:t>All notices or communication required or permitted to be given by either Party hereunder shall be deemed sufficiently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if mailed by registered mail or certified mail, return receipt requested, or sent by overnight courier, such as Federal Express, to the other Party at its respective address set forth below or to such other address as one Party shall give notice of to the other from time to time hereunder. Mailed notices shall be deemed to be received on the third (3rd) business day following the date of mailing. Notices sent by overnight courier shall be deemed received the following business day.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40"/>
          </w:cols>
          <w:pgMar w:left="880" w:top="274" w:right="479" w:bottom="1440" w:gutter="0" w:footer="0" w:header="0"/>
        </w:sectPr>
      </w:pPr>
    </w:p>
    <w:bookmarkStart w:id="400" w:name="page401"/>
    <w:bookmarkEnd w:id="400"/>
    <w:p>
      <w:pPr>
        <w:ind w:left="340"/>
        <w:spacing w:after="0"/>
        <w:rPr>
          <w:sz w:val="20"/>
          <w:szCs w:val="20"/>
          <w:color w:val="auto"/>
        </w:rPr>
      </w:pPr>
      <w:r>
        <w:rPr>
          <w:rFonts w:ascii="Arial" w:cs="Arial" w:eastAsia="Arial" w:hAnsi="Arial"/>
          <w:sz w:val="18"/>
          <w:szCs w:val="18"/>
          <w:color w:val="auto"/>
        </w:rPr>
        <w:t>If to RBNC: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to AMGEN: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RBNC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-215900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Watertown, Massachusetts 02472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Attn: Chief Legal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140 Scott Dr.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Amgen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Amgen Center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Thousand Oaks, CA 91320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t>
      </w:r>
    </w:p>
    <w:p>
      <w:pPr>
        <w:spacing w:after="0" w:line="99" w:lineRule="exact"/>
        <w:rPr>
          <w:sz w:val="20"/>
          <w:szCs w:val="20"/>
          <w:color w:val="auto"/>
        </w:rPr>
      </w:pPr>
    </w:p>
    <w:p>
      <w:pPr>
        <w:sectPr>
          <w:pgSz w:w="11900" w:h="16838" w:orient="portrait"/>
          <w:cols w:equalWidth="0" w:num="2">
            <w:col w:w="1820" w:space="720"/>
            <w:col w:w="8020"/>
          </w:cols>
          <w:pgMar w:left="880" w:top="274" w:right="459" w:bottom="1440" w:gutter="0" w:footer="0" w:header="0"/>
        </w:sectPr>
      </w:pPr>
    </w:p>
    <w:p>
      <w:pPr>
        <w:spacing w:after="0" w:line="281" w:lineRule="auto"/>
        <w:rPr>
          <w:sz w:val="20"/>
          <w:szCs w:val="20"/>
          <w:color w:val="auto"/>
        </w:rPr>
      </w:pPr>
      <w:r>
        <w:rPr>
          <w:rFonts w:ascii="Arial" w:cs="Arial" w:eastAsia="Arial" w:hAnsi="Arial"/>
          <w:sz w:val="17"/>
          <w:szCs w:val="17"/>
          <w:b w:val="1"/>
          <w:bCs w:val="1"/>
          <w:color w:val="auto"/>
        </w:rPr>
        <w:t xml:space="preserve">Section 10.6 Compliance With Law; Severability. </w:t>
      </w:r>
      <w:r>
        <w:rPr>
          <w:rFonts w:ascii="Arial" w:cs="Arial" w:eastAsia="Arial" w:hAnsi="Arial"/>
          <w:sz w:val="17"/>
          <w:szCs w:val="17"/>
          <w:color w:val="auto"/>
        </w:rPr>
        <w:t>Nothing in this Agreement shall be construed to require the commission of any act contrary to</w:t>
      </w:r>
      <w:r>
        <w:rPr>
          <w:rFonts w:ascii="Arial" w:cs="Arial" w:eastAsia="Arial" w:hAnsi="Arial"/>
          <w:sz w:val="17"/>
          <w:szCs w:val="17"/>
          <w:b w:val="1"/>
          <w:bCs w:val="1"/>
          <w:color w:val="auto"/>
        </w:rPr>
        <w:t xml:space="preserve"> </w:t>
      </w:r>
      <w:r>
        <w:rPr>
          <w:rFonts w:ascii="Arial" w:cs="Arial" w:eastAsia="Arial" w:hAnsi="Arial"/>
          <w:sz w:val="17"/>
          <w:szCs w:val="17"/>
          <w:color w:val="auto"/>
        </w:rPr>
        <w:t>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5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Section 10.7 Non-Use of Names. </w:t>
      </w:r>
      <w:r>
        <w:rPr>
          <w:rFonts w:ascii="Arial" w:cs="Arial" w:eastAsia="Arial" w:hAnsi="Arial"/>
          <w:sz w:val="18"/>
          <w:szCs w:val="18"/>
          <w:color w:val="auto"/>
        </w:rPr>
        <w:t>AMGEN shall not use the name, trademark, logo, or physical likeness of RBNC or any of its officers,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employees, or any adaptation of any of them, in any advertising, promotional or sales literature, without RBNC’s prior written consent. AMGEN shall require its Affiliates to comply with the foregoing. RBNC shall not use the name, trademark, logo, or physical likeness of AMGEN or any of its officers, directors or employees, or any adaptation of any of them, in any advertising, promotional or sales literature, without AMGEN’s prior written consent. RBNC shall require its Affiliates and Sublicensees to comply with the foregoing (with respect to Sublicensees, in connection with each such Sublicensee’s sublicense).</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Section 10.8 Successors and Assigns. </w:t>
      </w:r>
      <w:r>
        <w:rPr>
          <w:rFonts w:ascii="Arial" w:cs="Arial" w:eastAsia="Arial" w:hAnsi="Arial"/>
          <w:sz w:val="17"/>
          <w:szCs w:val="17"/>
          <w:color w:val="auto"/>
        </w:rPr>
        <w:t>Neither this Agreement nor any of the rights or obligations created herein may be assigned by either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in whole or in part, without the prior written consent of the other Party, not to be unreasonably withheld or delayed except that either Party shall be free to assign this Agreement (a) to an Affiliate of such Party (for so long as such Affiliate remains an Affiliate) provided that such Party shall remain liable and responsible to the other Party for the performance and observance of all such duties and obligations by such Affiliate, or (b) in connection with any merger, consolidation or sale of such Party or sale of all or substantially all of the assets of the Party that relate to this Agreement (a “</w:t>
      </w:r>
      <w:r>
        <w:rPr>
          <w:rFonts w:ascii="Arial" w:cs="Arial" w:eastAsia="Arial" w:hAnsi="Arial"/>
          <w:sz w:val="17"/>
          <w:szCs w:val="17"/>
          <w:b w:val="1"/>
          <w:bCs w:val="1"/>
          <w:color w:val="auto"/>
        </w:rPr>
        <w:t>Sale Transaction</w:t>
      </w:r>
      <w:r>
        <w:rPr>
          <w:rFonts w:ascii="Arial" w:cs="Arial" w:eastAsia="Arial" w:hAnsi="Arial"/>
          <w:sz w:val="17"/>
          <w:szCs w:val="17"/>
          <w:color w:val="auto"/>
        </w:rPr>
        <w:t>”), in each case without the prior consent of the non-assigning Party. This Agreement shall bind and inure to the benefit of the successors and permitted assigns of the Parties hereto. Any assignment of this Agreement in contravention of this Section 10.8 (Successors and Assigns) shall be null and void.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60"/>
          </w:cols>
          <w:pgMar w:left="880" w:top="274" w:right="459" w:bottom="1440" w:gutter="0" w:footer="0" w:header="0"/>
          <w:type w:val="continuous"/>
        </w:sectPr>
      </w:pPr>
    </w:p>
    <w:bookmarkStart w:id="401" w:name="page402"/>
    <w:bookmarkEnd w:id="401"/>
    <w:p>
      <w:pPr>
        <w:ind w:right="10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10.9 Sale Transaction or AMGEN Acquisition. </w:t>
      </w:r>
      <w:r>
        <w:rPr>
          <w:rFonts w:ascii="Arial" w:cs="Arial" w:eastAsia="Arial" w:hAnsi="Arial"/>
          <w:sz w:val="17"/>
          <w:szCs w:val="17"/>
          <w:color w:val="auto"/>
        </w:rPr>
        <w:t>In the event of (x) a Sale Transaction, or (y) the acquisition by AMGEN of all or</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substantially all of the business of a Third Party (together with any entities that were Affiliates of such Third Party immediately prior to such acquisition, an “</w:t>
      </w:r>
      <w:r>
        <w:rPr>
          <w:rFonts w:ascii="Arial" w:cs="Arial" w:eastAsia="Arial" w:hAnsi="Arial"/>
          <w:sz w:val="17"/>
          <w:szCs w:val="17"/>
          <w:b w:val="1"/>
          <w:bCs w:val="1"/>
          <w:color w:val="auto"/>
        </w:rPr>
        <w:t>AMGEN Acquiree</w:t>
      </w:r>
      <w:r>
        <w:rPr>
          <w:rFonts w:ascii="Arial" w:cs="Arial" w:eastAsia="Arial" w:hAnsi="Arial"/>
          <w:sz w:val="17"/>
          <w:szCs w:val="17"/>
          <w:color w:val="auto"/>
        </w:rPr>
        <w:t>”), whether by merger, sale of stock, sale of assets or otherwise (an “</w:t>
      </w:r>
      <w:r>
        <w:rPr>
          <w:rFonts w:ascii="Arial" w:cs="Arial" w:eastAsia="Arial" w:hAnsi="Arial"/>
          <w:sz w:val="17"/>
          <w:szCs w:val="17"/>
          <w:b w:val="1"/>
          <w:bCs w:val="1"/>
          <w:color w:val="auto"/>
        </w:rPr>
        <w:t>AMGEN Acquisition</w:t>
      </w:r>
      <w:r>
        <w:rPr>
          <w:rFonts w:ascii="Arial" w:cs="Arial" w:eastAsia="Arial" w:hAnsi="Arial"/>
          <w:sz w:val="17"/>
          <w:szCs w:val="17"/>
          <w:color w:val="auto"/>
        </w:rPr>
        <w:t>”), intellectual property rights of the acquiring party in a Sale Transaction, if other than one of the Parties to this Agreement (together with any entities that were affiliates of such Third Party immediately prior to such Sale Transaction, a “</w:t>
      </w:r>
      <w:r>
        <w:rPr>
          <w:rFonts w:ascii="Arial" w:cs="Arial" w:eastAsia="Arial" w:hAnsi="Arial"/>
          <w:sz w:val="17"/>
          <w:szCs w:val="17"/>
          <w:b w:val="1"/>
          <w:bCs w:val="1"/>
          <w:color w:val="auto"/>
        </w:rPr>
        <w:t>Third Party Acquirer</w:t>
      </w:r>
      <w:r>
        <w:rPr>
          <w:rFonts w:ascii="Arial" w:cs="Arial" w:eastAsia="Arial" w:hAnsi="Arial"/>
          <w:sz w:val="17"/>
          <w:szCs w:val="17"/>
          <w:color w:val="auto"/>
        </w:rPr>
        <w:t>”), or the AMGEN Acquiree, as applicable, shall not be included in the technology licensed hereunder or otherwise subject to this Agreement.</w:t>
      </w:r>
    </w:p>
    <w:p>
      <w:pPr>
        <w:spacing w:after="0" w:line="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Section 10.10 Waivers. </w:t>
      </w:r>
      <w:r>
        <w:rPr>
          <w:rFonts w:ascii="Arial" w:cs="Arial" w:eastAsia="Arial" w:hAnsi="Arial"/>
          <w:sz w:val="18"/>
          <w:szCs w:val="18"/>
          <w:color w:val="auto"/>
        </w:rPr>
        <w:t>A Party’s consent to or waiver, express or implied, of any other Party’s breach of its obligations hereunder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84"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Section 10.11 No Third Party Beneficiaries. </w:t>
      </w:r>
      <w:r>
        <w:rPr>
          <w:rFonts w:ascii="Arial" w:cs="Arial" w:eastAsia="Arial" w:hAnsi="Arial"/>
          <w:sz w:val="16"/>
          <w:szCs w:val="16"/>
          <w:color w:val="auto"/>
        </w:rPr>
        <w:t>Except as expressly provided with respect to AMGEN Indemnified Parties and RBNC Indemnified</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in Article 7 (Indemnification), nothing in this Agreement shall be construed as giving any Person, other than the Parties hereto and their successors and permitted assigns, any right, remedy or claim under or in respect of this Agreement or any provision hereof.</w:t>
      </w:r>
    </w:p>
    <w:p>
      <w:pPr>
        <w:spacing w:after="0" w:line="3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10.12 Performance by Affiliates. </w:t>
      </w:r>
      <w:r>
        <w:rPr>
          <w:rFonts w:ascii="Arial" w:cs="Arial" w:eastAsia="Arial" w:hAnsi="Arial"/>
          <w:sz w:val="18"/>
          <w:szCs w:val="18"/>
          <w:color w:val="auto"/>
        </w:rPr>
        <w:t>RBNC shall have the right to exercise its rights and perform its obligations under this Agreement either</w:t>
      </w:r>
      <w:r>
        <w:rPr>
          <w:rFonts w:ascii="Arial" w:cs="Arial" w:eastAsia="Arial" w:hAnsi="Arial"/>
          <w:sz w:val="18"/>
          <w:szCs w:val="18"/>
          <w:b w:val="1"/>
          <w:bCs w:val="1"/>
          <w:color w:val="auto"/>
        </w:rPr>
        <w:t xml:space="preserve"> </w:t>
      </w:r>
      <w:r>
        <w:rPr>
          <w:rFonts w:ascii="Arial" w:cs="Arial" w:eastAsia="Arial" w:hAnsi="Arial"/>
          <w:sz w:val="18"/>
          <w:szCs w:val="18"/>
          <w:color w:val="auto"/>
        </w:rPr>
        <w:t>itself or through any of its Affiliates.</w:t>
      </w:r>
    </w:p>
    <w:p>
      <w:pPr>
        <w:spacing w:after="0" w:line="54"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Section 10.13 Headings; Exhibits. </w:t>
      </w:r>
      <w:r>
        <w:rPr>
          <w:rFonts w:ascii="Arial" w:cs="Arial" w:eastAsia="Arial" w:hAnsi="Arial"/>
          <w:sz w:val="18"/>
          <w:szCs w:val="18"/>
          <w:color w:val="auto"/>
        </w:rPr>
        <w:t>Article and Section headings used herein are for convenient reference only, and are not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Exhibits are incorporated herein by this reference.</w:t>
      </w:r>
    </w:p>
    <w:p>
      <w:pPr>
        <w:spacing w:after="0" w:line="5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Section 10.14 Interpretation. </w:t>
      </w:r>
      <w:r>
        <w:rPr>
          <w:rFonts w:ascii="Arial" w:cs="Arial" w:eastAsia="Arial" w:hAnsi="Arial"/>
          <w:sz w:val="16"/>
          <w:szCs w:val="16"/>
          <w:color w:val="auto"/>
        </w:rPr>
        <w:t>Except where the context otherwise requires, wherever used, the singular shall include the plural, the plural the</w:t>
      </w:r>
      <w:r>
        <w:rPr>
          <w:rFonts w:ascii="Arial" w:cs="Arial" w:eastAsia="Arial" w:hAnsi="Arial"/>
          <w:sz w:val="16"/>
          <w:szCs w:val="16"/>
          <w:b w:val="1"/>
          <w:bCs w:val="1"/>
          <w:color w:val="auto"/>
        </w:rPr>
        <w:t xml:space="preserve"> </w:t>
      </w:r>
      <w:r>
        <w:rPr>
          <w:rFonts w:ascii="Arial" w:cs="Arial" w:eastAsia="Arial" w:hAnsi="Arial"/>
          <w:sz w:val="16"/>
          <w:szCs w:val="16"/>
          <w:color w:val="auto"/>
        </w:rPr>
        <w:t>singular, the use of any gender shall be applicable to all genders and the word “or” is used in the inclusive sense (and/or). The term “including” as used herein shall mean including, without limiting the generality of any description preceding such term. The term “will” as used herein means shall. All references to a “business day” or “business days” in this Agreement means any day other than a day which is a Saturday, a Sunday or any day banks are authorized or required to be closed in the United States. The language in all parts of this Agreement shall be deemed to be the language mutually chosen by the Parties. The Parties and their counsel have cooperated in the drafting and preparation of this Agreement, and this Agreement therefore shall not be construed against any Party by virtue of its role as the drafter thereof.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60"/>
          </w:cols>
          <w:pgMar w:left="880" w:top="270" w:right="459" w:bottom="1440" w:gutter="0" w:footer="0" w:header="0"/>
        </w:sectPr>
      </w:pPr>
    </w:p>
    <w:bookmarkStart w:id="402" w:name="page403"/>
    <w:bookmarkEnd w:id="402"/>
    <w:p>
      <w:pPr>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10.15 Equitable Relief. </w:t>
      </w:r>
      <w:r>
        <w:rPr>
          <w:rFonts w:ascii="Arial" w:cs="Arial" w:eastAsia="Arial" w:hAnsi="Arial"/>
          <w:sz w:val="18"/>
          <w:szCs w:val="18"/>
          <w:color w:val="auto"/>
        </w:rPr>
        <w:t>Each Party acknowledges that a breach by it of the provisions of this Agreement may not reasonably or</w:t>
      </w:r>
      <w:r>
        <w:rPr>
          <w:rFonts w:ascii="Arial" w:cs="Arial" w:eastAsia="Arial" w:hAnsi="Arial"/>
          <w:sz w:val="18"/>
          <w:szCs w:val="18"/>
          <w:b w:val="1"/>
          <w:bCs w:val="1"/>
          <w:color w:val="auto"/>
        </w:rPr>
        <w:t xml:space="preserve"> </w:t>
      </w:r>
      <w:r>
        <w:rPr>
          <w:rFonts w:ascii="Arial" w:cs="Arial" w:eastAsia="Arial" w:hAnsi="Arial"/>
          <w:sz w:val="18"/>
          <w:szCs w:val="18"/>
          <w:color w:val="auto"/>
        </w:rPr>
        <w:t>adequately be compensated in damages in an action at law and that such a breach may cause the other Party irreparable injury and damage. By reason thereof, each Party agrees that the other Party is entitled to seek, in addition to any other remedies it may have under this Agreement or otherwise, preliminary and permanent injunctive and other equitable relief to prevent or curtail any breach of this Agreement by the other Party and is otherwise entitled to specific performance of the terms hereof; provided, however, that no specification in this Agreement of a specific legal or equitable remedy will be construed as a waiver or prohibition against the pursuing of other legal or equitable remedies in the event of such a breach.</w:t>
      </w:r>
    </w:p>
    <w:p>
      <w:pPr>
        <w:spacing w:after="0" w:line="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Section 10.16 Force Majeure. </w:t>
      </w:r>
      <w:r>
        <w:rPr>
          <w:rFonts w:ascii="Arial" w:cs="Arial" w:eastAsia="Arial" w:hAnsi="Arial"/>
          <w:sz w:val="17"/>
          <w:szCs w:val="17"/>
          <w:color w:val="auto"/>
        </w:rPr>
        <w:t>Neither Party shall be held liable or responsible to the other Party, nor be deemed to have defaulted under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breached this Agreement, for failure or delay in fulfilling or performing any term of this Agreement to the extent, and for so long as, such failure or delay is caused by or results from causes beyond the reasonable control of the affected Party, including fire, floods, embargoes, power shortage or failure, acts of war (whether war be declared or not), insurrections, riots, terrorism, civil commotions, strikes, a pandemic (including COVID19 related interruptions), lockouts or other labor disturbances, acts of God, or any acts, omissions, or delays in acting by any governmental authority or the other Party;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the affected Party promptly notifies the other Party in writing (and continues to provide monthly status updates to the other Party for the duration of the effect); and </w:t>
      </w:r>
      <w:r>
        <w:rPr>
          <w:rFonts w:ascii="Arial" w:cs="Arial" w:eastAsia="Arial" w:hAnsi="Arial"/>
          <w:sz w:val="17"/>
          <w:szCs w:val="17"/>
          <w:b w:val="1"/>
          <w:bCs w:val="1"/>
          <w:i w:val="1"/>
          <w:iCs w:val="1"/>
          <w:color w:val="auto"/>
        </w:rPr>
        <w:t>provided further, however,</w:t>
      </w:r>
      <w:r>
        <w:rPr>
          <w:rFonts w:ascii="Arial" w:cs="Arial" w:eastAsia="Arial" w:hAnsi="Arial"/>
          <w:sz w:val="17"/>
          <w:szCs w:val="17"/>
          <w:color w:val="auto"/>
        </w:rPr>
        <w:t xml:space="preserve"> that the affected Party shall use its commercially reasonable efforts to avoid or remove such causes of non-performance and to mitigate the effect of such occurrence, and shall continue performance with reasonable dispatch whenever such causes are removed.</w:t>
      </w:r>
    </w:p>
    <w:p>
      <w:pPr>
        <w:spacing w:after="0" w:line="6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Section 10.17 Further Assurances. </w:t>
      </w:r>
      <w:r>
        <w:rPr>
          <w:rFonts w:ascii="Arial" w:cs="Arial" w:eastAsia="Arial" w:hAnsi="Arial"/>
          <w:sz w:val="18"/>
          <w:szCs w:val="18"/>
          <w:color w:val="auto"/>
        </w:rPr>
        <w:t>Each Party shall execute, acknowledge, and deliver such further instructions, and to do all such other acts,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necessary or appropriate in order to carry out the purposes and intent of this Agreement.</w:t>
      </w:r>
    </w:p>
    <w:p>
      <w:pPr>
        <w:spacing w:after="0" w:line="54"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 xml:space="preserve">Section 10.18 Counterparts. </w:t>
      </w:r>
      <w:r>
        <w:rPr>
          <w:rFonts w:ascii="Arial" w:cs="Arial" w:eastAsia="Arial" w:hAnsi="Arial"/>
          <w:sz w:val="16"/>
          <w:szCs w:val="16"/>
          <w:color w:val="auto"/>
        </w:rPr>
        <w:t>This Agreement may be executed in counterparts by a single Party, each of which when taken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and the same agreement, and may be executed through the use of facsimiles or .pdf or other electronically transmitted documents.</w:t>
      </w:r>
    </w:p>
    <w:p>
      <w:pPr>
        <w:spacing w:after="0" w:line="12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40"/>
          </w:cols>
          <w:pgMar w:left="880" w:top="270" w:right="479" w:bottom="1440" w:gutter="0" w:footer="0" w:header="0"/>
        </w:sectPr>
      </w:pPr>
    </w:p>
    <w:bookmarkStart w:id="403" w:name="page404"/>
    <w:bookmarkEnd w:id="4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have executed this Agreement as of the Execution Date.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RBNC THERAPEUTICS, INC.</w:t>
            </w:r>
          </w:p>
        </w:tc>
        <w:tc>
          <w:tcPr>
            <w:tcW w:w="2300" w:type="dxa"/>
            <w:vAlign w:val="bottom"/>
          </w:tcPr>
          <w:p>
            <w:pPr>
              <w:spacing w:after="0"/>
              <w:rPr>
                <w:sz w:val="20"/>
                <w:szCs w:val="20"/>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AMGEN INC.</w:t>
            </w:r>
          </w:p>
        </w:tc>
      </w:tr>
      <w:tr>
        <w:trPr>
          <w:trHeight w:val="432"/>
        </w:trPr>
        <w:tc>
          <w:tcPr>
            <w:tcW w:w="2860" w:type="dxa"/>
            <w:vAlign w:val="bottom"/>
            <w:gridSpan w:val="2"/>
          </w:tcPr>
          <w:p>
            <w:pPr>
              <w:spacing w:after="0"/>
              <w:rPr>
                <w:sz w:val="20"/>
                <w:szCs w:val="20"/>
                <w:color w:val="auto"/>
              </w:rPr>
            </w:pPr>
            <w:r>
              <w:rPr>
                <w:rFonts w:ascii="Arial" w:cs="Arial" w:eastAsia="Arial" w:hAnsi="Arial"/>
                <w:sz w:val="18"/>
                <w:szCs w:val="18"/>
                <w:color w:val="auto"/>
              </w:rPr>
              <w:t>By:  /s/ Paul Berns</w:t>
            </w:r>
          </w:p>
        </w:tc>
        <w:tc>
          <w:tcPr>
            <w:tcW w:w="230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  /s/ Robert A. Bradway</w:t>
            </w:r>
          </w:p>
        </w:tc>
      </w:tr>
      <w:tr>
        <w:trPr>
          <w:trHeight w:val="209"/>
        </w:trPr>
        <w:tc>
          <w:tcPr>
            <w:tcW w:w="420" w:type="dxa"/>
            <w:vAlign w:val="bottom"/>
          </w:tcPr>
          <w:p>
            <w:pPr>
              <w:spacing w:after="0"/>
              <w:rPr>
                <w:sz w:val="20"/>
                <w:szCs w:val="20"/>
                <w:color w:val="auto"/>
              </w:rPr>
            </w:pPr>
            <w:r>
              <w:rPr>
                <w:rFonts w:ascii="Arial" w:cs="Arial" w:eastAsia="Arial" w:hAnsi="Arial"/>
                <w:sz w:val="18"/>
                <w:szCs w:val="18"/>
                <w:color w:val="auto"/>
                <w:w w:val="75"/>
              </w:rPr>
              <w:t>Name:</w:t>
            </w:r>
          </w:p>
        </w:tc>
        <w:tc>
          <w:tcPr>
            <w:tcW w:w="2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Paul Berns</w:t>
            </w:r>
          </w:p>
        </w:tc>
        <w:tc>
          <w:tcPr>
            <w:tcW w:w="2300" w:type="dxa"/>
            <w:vAlign w:val="bottom"/>
            <w:tcBorders>
              <w:top w:val="single" w:sz="8" w:color="auto"/>
            </w:tcBorders>
          </w:tcPr>
          <w:p>
            <w:pPr>
              <w:spacing w:after="0"/>
              <w:rPr>
                <w:sz w:val="18"/>
                <w:szCs w:val="18"/>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w w:val="75"/>
              </w:rPr>
              <w:t>Name:</w:t>
            </w:r>
          </w:p>
        </w:tc>
        <w:tc>
          <w:tcPr>
            <w:tcW w:w="4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Robert A. Bradway</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Title: Chief Executive Officer</w:t>
            </w:r>
          </w:p>
        </w:tc>
        <w:tc>
          <w:tcPr>
            <w:tcW w:w="2300" w:type="dxa"/>
            <w:vAlign w:val="bottom"/>
          </w:tcPr>
          <w:p>
            <w:pPr>
              <w:spacing w:after="0"/>
              <w:rPr>
                <w:sz w:val="20"/>
                <w:szCs w:val="20"/>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 Chairman of the Board, CEO &amp; President</w:t>
            </w:r>
          </w:p>
        </w:tc>
      </w:tr>
      <w:tr>
        <w:trPr>
          <w:trHeight w:val="540"/>
        </w:trPr>
        <w:tc>
          <w:tcPr>
            <w:tcW w:w="4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160" w:type="dxa"/>
            <w:vAlign w:val="bottom"/>
            <w:gridSpan w:val="3"/>
          </w:tcPr>
          <w:p>
            <w:pPr>
              <w:ind w:left="560"/>
              <w:spacing w:after="0"/>
              <w:rPr>
                <w:sz w:val="20"/>
                <w:szCs w:val="20"/>
                <w:color w:val="auto"/>
              </w:rPr>
            </w:pPr>
            <w:r>
              <w:rPr>
                <w:rFonts w:ascii="Arial" w:cs="Arial" w:eastAsia="Arial" w:hAnsi="Arial"/>
                <w:sz w:val="18"/>
                <w:szCs w:val="18"/>
                <w:i w:val="1"/>
                <w:iCs w:val="1"/>
                <w:color w:val="auto"/>
              </w:rPr>
              <w:t>[Signature Page to Exclusive License Agreement [CK1d]]</w:t>
            </w:r>
          </w:p>
        </w:tc>
      </w:tr>
    </w:tbl>
    <w:p>
      <w:pPr>
        <w:sectPr>
          <w:pgSz w:w="11900" w:h="16838" w:orient="portrait"/>
          <w:cols w:equalWidth="0" w:num="1">
            <w:col w:w="11020"/>
          </w:cols>
          <w:pgMar w:left="440" w:top="270" w:right="439" w:bottom="1440" w:gutter="0" w:footer="0" w:header="0"/>
        </w:sectPr>
      </w:pPr>
    </w:p>
    <w:bookmarkStart w:id="404" w:name="page405"/>
    <w:bookmarkEnd w:id="404"/>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LICENSED KNOW-HOW, LICENSED MATERIALS and LICENSED PATENTS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05" w:name="page406"/>
    <w:bookmarkEnd w:id="405"/>
    <w:p>
      <w:pPr>
        <w:jc w:val="right"/>
        <w:ind w:right="40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COMPOUNDS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06" w:name="page407"/>
    <w:bookmarkEnd w:id="406"/>
    <w:p>
      <w:pPr>
        <w:jc w:val="right"/>
        <w:ind w:right="40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RBNC COMPOUNDS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07" w:name="page408"/>
    <w:bookmarkEnd w:id="407"/>
    <w:p>
      <w:pPr>
        <w:ind w:left="4" w:right="200" w:hanging="4"/>
        <w:spacing w:after="0" w:line="282" w:lineRule="auto"/>
        <w:tabs>
          <w:tab w:leader="none" w:pos="439"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is treated by the Registrant as private or confidential.</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EXCLUSIVE LICENSE AGREEMENT FOR GCASE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AMGEN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RBNC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Dated as of September 10, 2021</w:t>
      </w:r>
    </w:p>
    <w:p>
      <w:pPr>
        <w:sectPr>
          <w:pgSz w:w="11900" w:h="16838" w:orient="portrait"/>
          <w:cols w:equalWidth="0" w:num="1">
            <w:col w:w="11024"/>
          </w:cols>
          <w:pgMar w:left="436" w:top="121" w:right="439" w:bottom="1440" w:gutter="0" w:footer="0" w:header="0"/>
        </w:sectPr>
      </w:pPr>
    </w:p>
    <w:bookmarkStart w:id="408" w:name="page409"/>
    <w:bookmarkEnd w:id="408"/>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220" w:type="dxa"/>
            <w:vAlign w:val="bottom"/>
          </w:tcPr>
          <w:p>
            <w:pPr>
              <w:ind w:left="42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500" w:type="dxa"/>
            <w:vAlign w:val="bottom"/>
          </w:tcPr>
          <w:p>
            <w:pPr>
              <w:spacing w:after="0"/>
              <w:rPr>
                <w:sz w:val="20"/>
                <w:szCs w:val="20"/>
                <w:color w:val="auto"/>
              </w:rPr>
            </w:pPr>
          </w:p>
        </w:tc>
      </w:tr>
      <w:tr>
        <w:trPr>
          <w:trHeight w:val="432"/>
        </w:trPr>
        <w:tc>
          <w:tcPr>
            <w:tcW w:w="846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color w:val="auto"/>
              </w:rPr>
              <w:t>ARTICLE 2. LICENSE GRANT</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2.1</w:t>
            </w:r>
          </w:p>
        </w:tc>
        <w:tc>
          <w:tcPr>
            <w:tcW w:w="8220" w:type="dxa"/>
            <w:vAlign w:val="bottom"/>
          </w:tcPr>
          <w:p>
            <w:pPr>
              <w:ind w:left="20"/>
              <w:spacing w:after="0"/>
              <w:rPr>
                <w:sz w:val="20"/>
                <w:szCs w:val="20"/>
                <w:color w:val="auto"/>
              </w:rPr>
            </w:pPr>
            <w:r>
              <w:rPr>
                <w:rFonts w:ascii="Arial" w:cs="Arial" w:eastAsia="Arial" w:hAnsi="Arial"/>
                <w:sz w:val="18"/>
                <w:szCs w:val="18"/>
                <w:color w:val="auto"/>
              </w:rPr>
              <w:t>Grant</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2.2</w:t>
            </w:r>
          </w:p>
        </w:tc>
        <w:tc>
          <w:tcPr>
            <w:tcW w:w="8220" w:type="dxa"/>
            <w:vAlign w:val="bottom"/>
          </w:tcPr>
          <w:p>
            <w:pPr>
              <w:ind w:left="20"/>
              <w:spacing w:after="0"/>
              <w:rPr>
                <w:sz w:val="20"/>
                <w:szCs w:val="20"/>
                <w:color w:val="auto"/>
              </w:rPr>
            </w:pPr>
            <w:r>
              <w:rPr>
                <w:rFonts w:ascii="Arial" w:cs="Arial" w:eastAsia="Arial" w:hAnsi="Arial"/>
                <w:sz w:val="18"/>
                <w:szCs w:val="18"/>
                <w:color w:val="auto"/>
              </w:rPr>
              <w:t>Sublicenses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2.3</w:t>
            </w:r>
          </w:p>
        </w:tc>
        <w:tc>
          <w:tcPr>
            <w:tcW w:w="8220" w:type="dxa"/>
            <w:vAlign w:val="bottom"/>
          </w:tcPr>
          <w:p>
            <w:pPr>
              <w:ind w:left="20"/>
              <w:spacing w:after="0"/>
              <w:rPr>
                <w:sz w:val="20"/>
                <w:szCs w:val="20"/>
                <w:color w:val="auto"/>
              </w:rPr>
            </w:pPr>
            <w:r>
              <w:rPr>
                <w:rFonts w:ascii="Arial" w:cs="Arial" w:eastAsia="Arial" w:hAnsi="Arial"/>
                <w:sz w:val="18"/>
                <w:szCs w:val="18"/>
                <w:color w:val="auto"/>
              </w:rPr>
              <w:t>Retained Rights and Limitations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2.4</w:t>
            </w:r>
          </w:p>
        </w:tc>
        <w:tc>
          <w:tcPr>
            <w:tcW w:w="8220" w:type="dxa"/>
            <w:vAlign w:val="bottom"/>
          </w:tcPr>
          <w:p>
            <w:pPr>
              <w:ind w:left="20"/>
              <w:spacing w:after="0"/>
              <w:rPr>
                <w:sz w:val="20"/>
                <w:szCs w:val="20"/>
                <w:color w:val="auto"/>
              </w:rPr>
            </w:pPr>
            <w:r>
              <w:rPr>
                <w:rFonts w:ascii="Arial" w:cs="Arial" w:eastAsia="Arial" w:hAnsi="Arial"/>
                <w:sz w:val="18"/>
                <w:szCs w:val="18"/>
                <w:color w:val="auto"/>
              </w:rPr>
              <w:t>Exclusive Right of First Negotiation</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2.5</w:t>
            </w:r>
          </w:p>
        </w:tc>
        <w:tc>
          <w:tcPr>
            <w:tcW w:w="8220" w:type="dxa"/>
            <w:vAlign w:val="bottom"/>
          </w:tcPr>
          <w:p>
            <w:pPr>
              <w:ind w:left="20"/>
              <w:spacing w:after="0"/>
              <w:rPr>
                <w:sz w:val="20"/>
                <w:szCs w:val="20"/>
                <w:color w:val="auto"/>
              </w:rPr>
            </w:pPr>
            <w:r>
              <w:rPr>
                <w:rFonts w:ascii="Arial" w:cs="Arial" w:eastAsia="Arial" w:hAnsi="Arial"/>
                <w:sz w:val="18"/>
                <w:szCs w:val="18"/>
                <w:color w:val="auto"/>
              </w:rPr>
              <w:t>Transfer of Licensed Know-How and Licensed Materials</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87"/>
              </w:rPr>
              <w:t>2.6</w:t>
            </w:r>
          </w:p>
        </w:tc>
        <w:tc>
          <w:tcPr>
            <w:tcW w:w="8220" w:type="dxa"/>
            <w:vAlign w:val="bottom"/>
          </w:tcPr>
          <w:p>
            <w:pPr>
              <w:ind w:left="20"/>
              <w:spacing w:after="0"/>
              <w:rPr>
                <w:sz w:val="20"/>
                <w:szCs w:val="20"/>
                <w:color w:val="auto"/>
              </w:rPr>
            </w:pPr>
            <w:r>
              <w:rPr>
                <w:rFonts w:ascii="Arial" w:cs="Arial" w:eastAsia="Arial" w:hAnsi="Arial"/>
                <w:sz w:val="18"/>
                <w:szCs w:val="18"/>
                <w:color w:val="auto"/>
              </w:rPr>
              <w:t>No Other Rights</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color w:val="auto"/>
              </w:rPr>
              <w:t>ARTICLE 3. MILESTONES, ROYALTIES AND 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3.1</w:t>
            </w:r>
          </w:p>
        </w:tc>
        <w:tc>
          <w:tcPr>
            <w:tcW w:w="8220" w:type="dxa"/>
            <w:vAlign w:val="bottom"/>
          </w:tcPr>
          <w:p>
            <w:pPr>
              <w:ind w:left="20"/>
              <w:spacing w:after="0"/>
              <w:rPr>
                <w:sz w:val="20"/>
                <w:szCs w:val="20"/>
                <w:color w:val="auto"/>
              </w:rPr>
            </w:pPr>
            <w:r>
              <w:rPr>
                <w:rFonts w:ascii="Arial" w:cs="Arial" w:eastAsia="Arial" w:hAnsi="Arial"/>
                <w:sz w:val="18"/>
                <w:szCs w:val="18"/>
                <w:color w:val="auto"/>
              </w:rPr>
              <w:t>Milestone 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3.2</w:t>
            </w:r>
          </w:p>
        </w:tc>
        <w:tc>
          <w:tcPr>
            <w:tcW w:w="8220" w:type="dxa"/>
            <w:vAlign w:val="bottom"/>
          </w:tcPr>
          <w:p>
            <w:pPr>
              <w:ind w:left="20"/>
              <w:spacing w:after="0"/>
              <w:rPr>
                <w:sz w:val="20"/>
                <w:szCs w:val="20"/>
                <w:color w:val="auto"/>
              </w:rPr>
            </w:pPr>
            <w:r>
              <w:rPr>
                <w:rFonts w:ascii="Arial" w:cs="Arial" w:eastAsia="Arial" w:hAnsi="Arial"/>
                <w:sz w:val="18"/>
                <w:szCs w:val="18"/>
                <w:color w:val="auto"/>
              </w:rPr>
              <w:t>Royalties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3.3</w:t>
            </w:r>
          </w:p>
        </w:tc>
        <w:tc>
          <w:tcPr>
            <w:tcW w:w="8220" w:type="dxa"/>
            <w:vAlign w:val="bottom"/>
          </w:tcPr>
          <w:p>
            <w:pPr>
              <w:ind w:left="20"/>
              <w:spacing w:after="0"/>
              <w:rPr>
                <w:sz w:val="20"/>
                <w:szCs w:val="20"/>
                <w:color w:val="auto"/>
              </w:rPr>
            </w:pPr>
            <w:r>
              <w:rPr>
                <w:rFonts w:ascii="Arial" w:cs="Arial" w:eastAsia="Arial" w:hAnsi="Arial"/>
                <w:sz w:val="18"/>
                <w:szCs w:val="18"/>
                <w:color w:val="auto"/>
              </w:rPr>
              <w:t>Sublicensing Income</w:t>
            </w:r>
          </w:p>
        </w:tc>
        <w:tc>
          <w:tcPr>
            <w:tcW w:w="2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3.4</w:t>
            </w:r>
          </w:p>
        </w:tc>
        <w:tc>
          <w:tcPr>
            <w:tcW w:w="8220" w:type="dxa"/>
            <w:vAlign w:val="bottom"/>
          </w:tcPr>
          <w:p>
            <w:pPr>
              <w:ind w:left="20"/>
              <w:spacing w:after="0"/>
              <w:rPr>
                <w:sz w:val="20"/>
                <w:szCs w:val="20"/>
                <w:color w:val="auto"/>
              </w:rPr>
            </w:pPr>
            <w:r>
              <w:rPr>
                <w:rFonts w:ascii="Arial" w:cs="Arial" w:eastAsia="Arial" w:hAnsi="Arial"/>
                <w:sz w:val="18"/>
                <w:szCs w:val="18"/>
                <w:color w:val="auto"/>
              </w:rPr>
              <w:t>Method of Payment</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3.5</w:t>
            </w:r>
          </w:p>
        </w:tc>
        <w:tc>
          <w:tcPr>
            <w:tcW w:w="8220" w:type="dxa"/>
            <w:vAlign w:val="bottom"/>
          </w:tcPr>
          <w:p>
            <w:pPr>
              <w:ind w:left="20"/>
              <w:spacing w:after="0"/>
              <w:rPr>
                <w:sz w:val="20"/>
                <w:szCs w:val="20"/>
                <w:color w:val="auto"/>
              </w:rPr>
            </w:pPr>
            <w:r>
              <w:rPr>
                <w:rFonts w:ascii="Arial" w:cs="Arial" w:eastAsia="Arial" w:hAnsi="Arial"/>
                <w:sz w:val="18"/>
                <w:szCs w:val="18"/>
                <w:color w:val="auto"/>
              </w:rPr>
              <w:t>Clarification of Products</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3.6</w:t>
            </w:r>
          </w:p>
        </w:tc>
        <w:tc>
          <w:tcPr>
            <w:tcW w:w="8220" w:type="dxa"/>
            <w:vAlign w:val="bottom"/>
          </w:tcPr>
          <w:p>
            <w:pPr>
              <w:ind w:left="20"/>
              <w:spacing w:after="0"/>
              <w:rPr>
                <w:sz w:val="20"/>
                <w:szCs w:val="20"/>
                <w:color w:val="auto"/>
              </w:rPr>
            </w:pPr>
            <w:r>
              <w:rPr>
                <w:rFonts w:ascii="Arial" w:cs="Arial" w:eastAsia="Arial" w:hAnsi="Arial"/>
                <w:sz w:val="18"/>
                <w:szCs w:val="18"/>
                <w:color w:val="auto"/>
              </w:rPr>
              <w:t>Royalty Reports</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3.7</w:t>
            </w:r>
          </w:p>
        </w:tc>
        <w:tc>
          <w:tcPr>
            <w:tcW w:w="8220" w:type="dxa"/>
            <w:vAlign w:val="bottom"/>
          </w:tcPr>
          <w:p>
            <w:pPr>
              <w:ind w:left="20"/>
              <w:spacing w:after="0"/>
              <w:rPr>
                <w:sz w:val="20"/>
                <w:szCs w:val="20"/>
                <w:color w:val="auto"/>
              </w:rPr>
            </w:pPr>
            <w:r>
              <w:rPr>
                <w:rFonts w:ascii="Arial" w:cs="Arial" w:eastAsia="Arial" w:hAnsi="Arial"/>
                <w:sz w:val="18"/>
                <w:szCs w:val="18"/>
                <w:color w:val="auto"/>
              </w:rPr>
              <w:t>Currency Conversion</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3.8</w:t>
            </w:r>
          </w:p>
        </w:tc>
        <w:tc>
          <w:tcPr>
            <w:tcW w:w="8220" w:type="dxa"/>
            <w:vAlign w:val="bottom"/>
          </w:tcPr>
          <w:p>
            <w:pPr>
              <w:ind w:left="20"/>
              <w:spacing w:after="0"/>
              <w:rPr>
                <w:sz w:val="20"/>
                <w:szCs w:val="20"/>
                <w:color w:val="auto"/>
              </w:rPr>
            </w:pPr>
            <w:r>
              <w:rPr>
                <w:rFonts w:ascii="Arial" w:cs="Arial" w:eastAsia="Arial" w:hAnsi="Arial"/>
                <w:sz w:val="18"/>
                <w:szCs w:val="18"/>
                <w:color w:val="auto"/>
              </w:rPr>
              <w:t>Late 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3.9</w:t>
            </w:r>
          </w:p>
        </w:tc>
        <w:tc>
          <w:tcPr>
            <w:tcW w:w="8220" w:type="dxa"/>
            <w:vAlign w:val="bottom"/>
          </w:tcPr>
          <w:p>
            <w:pPr>
              <w:ind w:left="20"/>
              <w:spacing w:after="0"/>
              <w:rPr>
                <w:sz w:val="20"/>
                <w:szCs w:val="20"/>
                <w:color w:val="auto"/>
              </w:rPr>
            </w:pPr>
            <w:r>
              <w:rPr>
                <w:rFonts w:ascii="Arial" w:cs="Arial" w:eastAsia="Arial" w:hAnsi="Arial"/>
                <w:sz w:val="18"/>
                <w:szCs w:val="18"/>
                <w:color w:val="auto"/>
              </w:rPr>
              <w:t>Records and Audits</w:t>
            </w: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3.10 Taxes</w:t>
            </w: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color w:val="auto"/>
              </w:rPr>
              <w:t>ARTICLE 4. PATENT PROSECUTION, MAINTENANCE, &amp; INFRINGEMENT</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4.1</w:t>
            </w:r>
          </w:p>
        </w:tc>
        <w:tc>
          <w:tcPr>
            <w:tcW w:w="8220" w:type="dxa"/>
            <w:vAlign w:val="bottom"/>
          </w:tcPr>
          <w:p>
            <w:pPr>
              <w:ind w:left="20"/>
              <w:spacing w:after="0"/>
              <w:rPr>
                <w:sz w:val="20"/>
                <w:szCs w:val="20"/>
                <w:color w:val="auto"/>
              </w:rPr>
            </w:pPr>
            <w:r>
              <w:rPr>
                <w:rFonts w:ascii="Arial" w:cs="Arial" w:eastAsia="Arial" w:hAnsi="Arial"/>
                <w:sz w:val="18"/>
                <w:szCs w:val="18"/>
                <w:color w:val="auto"/>
              </w:rPr>
              <w:t>Intellectual Property Ownership</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4.2</w:t>
            </w:r>
          </w:p>
        </w:tc>
        <w:tc>
          <w:tcPr>
            <w:tcW w:w="8220" w:type="dxa"/>
            <w:vAlign w:val="bottom"/>
          </w:tcPr>
          <w:p>
            <w:pPr>
              <w:ind w:left="20"/>
              <w:spacing w:after="0"/>
              <w:rPr>
                <w:sz w:val="20"/>
                <w:szCs w:val="20"/>
                <w:color w:val="auto"/>
              </w:rPr>
            </w:pPr>
            <w:r>
              <w:rPr>
                <w:rFonts w:ascii="Arial" w:cs="Arial" w:eastAsia="Arial" w:hAnsi="Arial"/>
                <w:sz w:val="18"/>
                <w:szCs w:val="18"/>
                <w:color w:val="auto"/>
              </w:rPr>
              <w:t>Cross-Licenses</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4.3</w:t>
            </w:r>
          </w:p>
        </w:tc>
        <w:tc>
          <w:tcPr>
            <w:tcW w:w="8220" w:type="dxa"/>
            <w:vAlign w:val="bottom"/>
          </w:tcPr>
          <w:p>
            <w:pPr>
              <w:ind w:left="20"/>
              <w:spacing w:after="0"/>
              <w:rPr>
                <w:sz w:val="20"/>
                <w:szCs w:val="20"/>
                <w:color w:val="auto"/>
              </w:rPr>
            </w:pPr>
            <w:r>
              <w:rPr>
                <w:rFonts w:ascii="Arial" w:cs="Arial" w:eastAsia="Arial" w:hAnsi="Arial"/>
                <w:sz w:val="18"/>
                <w:szCs w:val="18"/>
                <w:color w:val="auto"/>
              </w:rPr>
              <w:t>Prosecution and Maintenance</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4.4</w:t>
            </w:r>
          </w:p>
        </w:tc>
        <w:tc>
          <w:tcPr>
            <w:tcW w:w="8220" w:type="dxa"/>
            <w:vAlign w:val="bottom"/>
          </w:tcPr>
          <w:p>
            <w:pPr>
              <w:ind w:left="20"/>
              <w:spacing w:after="0"/>
              <w:rPr>
                <w:sz w:val="20"/>
                <w:szCs w:val="20"/>
                <w:color w:val="auto"/>
              </w:rPr>
            </w:pPr>
            <w:r>
              <w:rPr>
                <w:rFonts w:ascii="Arial" w:cs="Arial" w:eastAsia="Arial" w:hAnsi="Arial"/>
                <w:sz w:val="18"/>
                <w:szCs w:val="18"/>
                <w:color w:val="auto"/>
              </w:rPr>
              <w:t>Enforcement</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4.5</w:t>
            </w:r>
          </w:p>
        </w:tc>
        <w:tc>
          <w:tcPr>
            <w:tcW w:w="8220" w:type="dxa"/>
            <w:vAlign w:val="bottom"/>
          </w:tcPr>
          <w:p>
            <w:pPr>
              <w:ind w:left="20"/>
              <w:spacing w:after="0"/>
              <w:rPr>
                <w:sz w:val="20"/>
                <w:szCs w:val="20"/>
                <w:color w:val="auto"/>
              </w:rPr>
            </w:pPr>
            <w:r>
              <w:rPr>
                <w:rFonts w:ascii="Arial" w:cs="Arial" w:eastAsia="Arial" w:hAnsi="Arial"/>
                <w:sz w:val="18"/>
                <w:szCs w:val="18"/>
                <w:color w:val="auto"/>
              </w:rPr>
              <w:t>Defense of Third Party Claims</w:t>
            </w:r>
          </w:p>
        </w:tc>
        <w:tc>
          <w:tcPr>
            <w:tcW w:w="2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4.6</w:t>
            </w:r>
          </w:p>
        </w:tc>
        <w:tc>
          <w:tcPr>
            <w:tcW w:w="8220" w:type="dxa"/>
            <w:vAlign w:val="bottom"/>
          </w:tcPr>
          <w:p>
            <w:pPr>
              <w:ind w:left="20"/>
              <w:spacing w:after="0"/>
              <w:rPr>
                <w:sz w:val="20"/>
                <w:szCs w:val="20"/>
                <w:color w:val="auto"/>
              </w:rPr>
            </w:pPr>
            <w:r>
              <w:rPr>
                <w:rFonts w:ascii="Arial" w:cs="Arial" w:eastAsia="Arial" w:hAnsi="Arial"/>
                <w:sz w:val="18"/>
                <w:szCs w:val="18"/>
                <w:color w:val="auto"/>
              </w:rPr>
              <w:t>Recovery</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4.7</w:t>
            </w:r>
          </w:p>
        </w:tc>
        <w:tc>
          <w:tcPr>
            <w:tcW w:w="8220" w:type="dxa"/>
            <w:vAlign w:val="bottom"/>
          </w:tcPr>
          <w:p>
            <w:pPr>
              <w:ind w:left="20"/>
              <w:spacing w:after="0"/>
              <w:rPr>
                <w:sz w:val="20"/>
                <w:szCs w:val="20"/>
                <w:color w:val="auto"/>
              </w:rPr>
            </w:pPr>
            <w:r>
              <w:rPr>
                <w:rFonts w:ascii="Arial" w:cs="Arial" w:eastAsia="Arial" w:hAnsi="Arial"/>
                <w:sz w:val="18"/>
                <w:szCs w:val="18"/>
                <w:color w:val="auto"/>
              </w:rPr>
              <w:t>Patent Term Extensions and Filings for Regulatory Exclusivity Periods</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87"/>
              </w:rPr>
              <w:t>4.8</w:t>
            </w:r>
          </w:p>
        </w:tc>
        <w:tc>
          <w:tcPr>
            <w:tcW w:w="8220" w:type="dxa"/>
            <w:vAlign w:val="bottom"/>
          </w:tcPr>
          <w:p>
            <w:pPr>
              <w:ind w:left="20"/>
              <w:spacing w:after="0"/>
              <w:rPr>
                <w:sz w:val="20"/>
                <w:szCs w:val="20"/>
                <w:color w:val="auto"/>
              </w:rPr>
            </w:pPr>
            <w:r>
              <w:rPr>
                <w:rFonts w:ascii="Arial" w:cs="Arial" w:eastAsia="Arial" w:hAnsi="Arial"/>
                <w:sz w:val="18"/>
                <w:szCs w:val="18"/>
                <w:color w:val="auto"/>
              </w:rPr>
              <w:t>Patent Marking</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color w:val="auto"/>
              </w:rPr>
              <w:t>ARTICLE 5. OBLIGATIONS OF THE PARTIES</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5.1</w:t>
            </w:r>
          </w:p>
        </w:tc>
        <w:tc>
          <w:tcPr>
            <w:tcW w:w="8220" w:type="dxa"/>
            <w:vAlign w:val="bottom"/>
          </w:tcPr>
          <w:p>
            <w:pPr>
              <w:ind w:left="20"/>
              <w:spacing w:after="0"/>
              <w:rPr>
                <w:sz w:val="20"/>
                <w:szCs w:val="20"/>
                <w:color w:val="auto"/>
              </w:rPr>
            </w:pPr>
            <w:r>
              <w:rPr>
                <w:rFonts w:ascii="Arial" w:cs="Arial" w:eastAsia="Arial" w:hAnsi="Arial"/>
                <w:sz w:val="18"/>
                <w:szCs w:val="18"/>
                <w:color w:val="auto"/>
              </w:rPr>
              <w:t>Responsibility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5.2</w:t>
            </w:r>
          </w:p>
        </w:tc>
        <w:tc>
          <w:tcPr>
            <w:tcW w:w="8220" w:type="dxa"/>
            <w:vAlign w:val="bottom"/>
          </w:tcPr>
          <w:p>
            <w:pPr>
              <w:ind w:left="20"/>
              <w:spacing w:after="0"/>
              <w:rPr>
                <w:sz w:val="20"/>
                <w:szCs w:val="20"/>
                <w:color w:val="auto"/>
              </w:rPr>
            </w:pPr>
            <w:r>
              <w:rPr>
                <w:rFonts w:ascii="Arial" w:cs="Arial" w:eastAsia="Arial" w:hAnsi="Arial"/>
                <w:sz w:val="18"/>
                <w:szCs w:val="18"/>
                <w:color w:val="auto"/>
              </w:rPr>
              <w:t>Diligence</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5.3</w:t>
            </w:r>
          </w:p>
        </w:tc>
        <w:tc>
          <w:tcPr>
            <w:tcW w:w="8220" w:type="dxa"/>
            <w:vAlign w:val="bottom"/>
          </w:tcPr>
          <w:p>
            <w:pPr>
              <w:ind w:left="20"/>
              <w:spacing w:after="0"/>
              <w:rPr>
                <w:sz w:val="20"/>
                <w:szCs w:val="20"/>
                <w:color w:val="auto"/>
              </w:rPr>
            </w:pPr>
            <w:r>
              <w:rPr>
                <w:rFonts w:ascii="Arial" w:cs="Arial" w:eastAsia="Arial" w:hAnsi="Arial"/>
                <w:sz w:val="18"/>
                <w:szCs w:val="18"/>
                <w:color w:val="auto"/>
              </w:rPr>
              <w:t>Reports</w:t>
            </w:r>
          </w:p>
        </w:tc>
        <w:tc>
          <w:tcPr>
            <w:tcW w:w="2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5.4</w:t>
            </w:r>
          </w:p>
        </w:tc>
        <w:tc>
          <w:tcPr>
            <w:tcW w:w="8220" w:type="dxa"/>
            <w:vAlign w:val="bottom"/>
          </w:tcPr>
          <w:p>
            <w:pPr>
              <w:ind w:left="20"/>
              <w:spacing w:after="0"/>
              <w:rPr>
                <w:sz w:val="20"/>
                <w:szCs w:val="20"/>
                <w:color w:val="auto"/>
              </w:rPr>
            </w:pPr>
            <w:r>
              <w:rPr>
                <w:rFonts w:ascii="Arial" w:cs="Arial" w:eastAsia="Arial" w:hAnsi="Arial"/>
                <w:sz w:val="18"/>
                <w:szCs w:val="18"/>
                <w:color w:val="auto"/>
              </w:rPr>
              <w:t>Distracting Programs</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5.5</w:t>
            </w:r>
          </w:p>
        </w:tc>
        <w:tc>
          <w:tcPr>
            <w:tcW w:w="8220" w:type="dxa"/>
            <w:vAlign w:val="bottom"/>
          </w:tcPr>
          <w:p>
            <w:pPr>
              <w:ind w:left="20"/>
              <w:spacing w:after="0"/>
              <w:rPr>
                <w:sz w:val="20"/>
                <w:szCs w:val="20"/>
                <w:color w:val="auto"/>
              </w:rPr>
            </w:pPr>
            <w:r>
              <w:rPr>
                <w:rFonts w:ascii="Arial" w:cs="Arial" w:eastAsia="Arial" w:hAnsi="Arial"/>
                <w:sz w:val="18"/>
                <w:szCs w:val="18"/>
                <w:color w:val="auto"/>
              </w:rPr>
              <w:t>Reasonable Restrictions</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5.6</w:t>
            </w:r>
          </w:p>
        </w:tc>
        <w:tc>
          <w:tcPr>
            <w:tcW w:w="8220" w:type="dxa"/>
            <w:vAlign w:val="bottom"/>
          </w:tcPr>
          <w:p>
            <w:pPr>
              <w:ind w:left="20"/>
              <w:spacing w:after="0"/>
              <w:rPr>
                <w:sz w:val="20"/>
                <w:szCs w:val="20"/>
                <w:color w:val="auto"/>
              </w:rPr>
            </w:pPr>
            <w:r>
              <w:rPr>
                <w:rFonts w:ascii="Arial" w:cs="Arial" w:eastAsia="Arial" w:hAnsi="Arial"/>
                <w:sz w:val="18"/>
                <w:szCs w:val="18"/>
                <w:color w:val="auto"/>
              </w:rPr>
              <w:t>Exclusivity</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87"/>
              </w:rPr>
              <w:t>5.7</w:t>
            </w:r>
          </w:p>
        </w:tc>
        <w:tc>
          <w:tcPr>
            <w:tcW w:w="8220" w:type="dxa"/>
            <w:vAlign w:val="bottom"/>
          </w:tcPr>
          <w:p>
            <w:pPr>
              <w:ind w:left="20"/>
              <w:spacing w:after="0"/>
              <w:rPr>
                <w:sz w:val="20"/>
                <w:szCs w:val="20"/>
                <w:color w:val="auto"/>
              </w:rPr>
            </w:pPr>
            <w:r>
              <w:rPr>
                <w:rFonts w:ascii="Arial" w:cs="Arial" w:eastAsia="Arial" w:hAnsi="Arial"/>
                <w:sz w:val="18"/>
                <w:szCs w:val="18"/>
                <w:color w:val="auto"/>
              </w:rPr>
              <w:t>Filings, Consents and Approvals</w:t>
            </w:r>
          </w:p>
        </w:tc>
        <w:tc>
          <w:tcPr>
            <w:tcW w:w="2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color w:val="auto"/>
              </w:rPr>
              <w:t>ARTICLE 6. REPRESENTATIONS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6.1</w:t>
            </w:r>
          </w:p>
        </w:tc>
        <w:tc>
          <w:tcPr>
            <w:tcW w:w="8220" w:type="dxa"/>
            <w:vAlign w:val="bottom"/>
          </w:tcPr>
          <w:p>
            <w:pPr>
              <w:ind w:left="20"/>
              <w:spacing w:after="0"/>
              <w:rPr>
                <w:sz w:val="20"/>
                <w:szCs w:val="20"/>
                <w:color w:val="auto"/>
              </w:rPr>
            </w:pPr>
            <w:r>
              <w:rPr>
                <w:rFonts w:ascii="Arial" w:cs="Arial" w:eastAsia="Arial" w:hAnsi="Arial"/>
                <w:sz w:val="18"/>
                <w:szCs w:val="18"/>
                <w:color w:val="auto"/>
              </w:rPr>
              <w:t>Mutual 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6.2</w:t>
            </w:r>
          </w:p>
        </w:tc>
        <w:tc>
          <w:tcPr>
            <w:tcW w:w="8220" w:type="dxa"/>
            <w:vAlign w:val="bottom"/>
          </w:tcPr>
          <w:p>
            <w:pPr>
              <w:ind w:left="20"/>
              <w:spacing w:after="0"/>
              <w:rPr>
                <w:sz w:val="20"/>
                <w:szCs w:val="20"/>
                <w:color w:val="auto"/>
              </w:rPr>
            </w:pPr>
            <w:r>
              <w:rPr>
                <w:rFonts w:ascii="Arial" w:cs="Arial" w:eastAsia="Arial" w:hAnsi="Arial"/>
                <w:sz w:val="18"/>
                <w:szCs w:val="18"/>
                <w:color w:val="auto"/>
              </w:rPr>
              <w:t>Additional AMGEN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87"/>
              </w:rPr>
              <w:t>6.3</w:t>
            </w:r>
          </w:p>
        </w:tc>
        <w:tc>
          <w:tcPr>
            <w:tcW w:w="8220" w:type="dxa"/>
            <w:vAlign w:val="bottom"/>
          </w:tcPr>
          <w:p>
            <w:pPr>
              <w:ind w:left="20"/>
              <w:spacing w:after="0"/>
              <w:rPr>
                <w:sz w:val="20"/>
                <w:szCs w:val="20"/>
                <w:color w:val="auto"/>
              </w:rPr>
            </w:pPr>
            <w:r>
              <w:rPr>
                <w:rFonts w:ascii="Arial" w:cs="Arial" w:eastAsia="Arial" w:hAnsi="Arial"/>
                <w:sz w:val="18"/>
                <w:szCs w:val="18"/>
                <w:color w:val="auto"/>
              </w:rPr>
              <w:t>Additional RBNC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Amgen Proprietary - Confidential</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i</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Confidential Legal</w:t>
      </w:r>
    </w:p>
    <w:p>
      <w:pPr>
        <w:sectPr>
          <w:pgSz w:w="11900" w:h="16838" w:orient="portrait"/>
          <w:cols w:equalWidth="0" w:num="1">
            <w:col w:w="10960"/>
          </w:cols>
          <w:pgMar w:left="440" w:top="270" w:right="499" w:bottom="1440" w:gutter="0" w:footer="0" w:header="0"/>
        </w:sectPr>
      </w:pPr>
    </w:p>
    <w:bookmarkStart w:id="409" w:name="page410"/>
    <w:bookmarkEnd w:id="409"/>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6.4</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Disclaimer</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560" w:type="dxa"/>
            <w:vAlign w:val="bottom"/>
            <w:gridSpan w:val="4"/>
          </w:tcPr>
          <w:p>
            <w:pPr>
              <w:spacing w:after="0"/>
              <w:rPr>
                <w:sz w:val="20"/>
                <w:szCs w:val="20"/>
                <w:color w:val="auto"/>
              </w:rPr>
            </w:pPr>
            <w:r>
              <w:rPr>
                <w:rFonts w:ascii="Arial" w:cs="Arial" w:eastAsia="Arial" w:hAnsi="Arial"/>
                <w:sz w:val="18"/>
                <w:szCs w:val="18"/>
                <w:color w:val="auto"/>
              </w:rPr>
              <w:t>6.5 RBNC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560" w:type="dxa"/>
            <w:vAlign w:val="bottom"/>
            <w:gridSpan w:val="4"/>
          </w:tcPr>
          <w:p>
            <w:pPr>
              <w:spacing w:after="0"/>
              <w:rPr>
                <w:sz w:val="20"/>
                <w:szCs w:val="20"/>
                <w:color w:val="auto"/>
              </w:rPr>
            </w:pPr>
            <w:r>
              <w:rPr>
                <w:rFonts w:ascii="Arial" w:cs="Arial" w:eastAsia="Arial" w:hAnsi="Arial"/>
                <w:sz w:val="18"/>
                <w:szCs w:val="18"/>
                <w:color w:val="auto"/>
              </w:rPr>
              <w:t>ARTICLE 7. 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7.1</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Indemnity</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560" w:type="dxa"/>
            <w:vAlign w:val="bottom"/>
            <w:gridSpan w:val="4"/>
          </w:tcPr>
          <w:p>
            <w:pPr>
              <w:spacing w:after="0"/>
              <w:rPr>
                <w:sz w:val="20"/>
                <w:szCs w:val="20"/>
                <w:color w:val="auto"/>
              </w:rPr>
            </w:pPr>
            <w:r>
              <w:rPr>
                <w:rFonts w:ascii="Arial" w:cs="Arial" w:eastAsia="Arial" w:hAnsi="Arial"/>
                <w:sz w:val="18"/>
                <w:szCs w:val="18"/>
                <w:color w:val="auto"/>
              </w:rPr>
              <w:t>7.2 LIMITATION OF DAMAGES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87"/>
              </w:rPr>
              <w:t>7.3</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560" w:type="dxa"/>
            <w:vAlign w:val="bottom"/>
            <w:gridSpan w:val="4"/>
          </w:tcPr>
          <w:p>
            <w:pPr>
              <w:spacing w:after="0"/>
              <w:rPr>
                <w:sz w:val="20"/>
                <w:szCs w:val="20"/>
                <w:color w:val="auto"/>
              </w:rPr>
            </w:pPr>
            <w:r>
              <w:rPr>
                <w:rFonts w:ascii="Arial" w:cs="Arial" w:eastAsia="Arial" w:hAnsi="Arial"/>
                <w:sz w:val="18"/>
                <w:szCs w:val="18"/>
                <w:color w:val="auto"/>
              </w:rPr>
              <w:t>ARTICLE 8. 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8.1</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Confidential Information</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8.2</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Terms of this Agreement; Publicity</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8.3</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Publications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8.4</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Relationship to the Confidentiality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87"/>
              </w:rPr>
              <w:t>8.5</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Attorney-Client Privilege</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560" w:type="dxa"/>
            <w:vAlign w:val="bottom"/>
            <w:gridSpan w:val="4"/>
          </w:tcPr>
          <w:p>
            <w:pPr>
              <w:spacing w:after="0"/>
              <w:rPr>
                <w:sz w:val="20"/>
                <w:szCs w:val="20"/>
                <w:color w:val="auto"/>
              </w:rPr>
            </w:pPr>
            <w:r>
              <w:rPr>
                <w:rFonts w:ascii="Arial" w:cs="Arial" w:eastAsia="Arial" w:hAnsi="Arial"/>
                <w:sz w:val="18"/>
                <w:szCs w:val="18"/>
                <w:color w:val="auto"/>
              </w:rPr>
              <w:t>ARTICLE 9. TERM &amp; 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w w:val="87"/>
              </w:rPr>
              <w:t>9.1</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Term</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560" w:type="dxa"/>
            <w:vAlign w:val="bottom"/>
            <w:gridSpan w:val="4"/>
          </w:tcPr>
          <w:p>
            <w:pPr>
              <w:spacing w:after="0"/>
              <w:rPr>
                <w:sz w:val="20"/>
                <w:szCs w:val="20"/>
                <w:color w:val="auto"/>
              </w:rPr>
            </w:pPr>
            <w:r>
              <w:rPr>
                <w:rFonts w:ascii="Arial" w:cs="Arial" w:eastAsia="Arial" w:hAnsi="Arial"/>
                <w:sz w:val="18"/>
                <w:szCs w:val="18"/>
                <w:color w:val="auto"/>
              </w:rPr>
              <w:t>9.2 Termination by AMGEN</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9.3</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Termination by RBNC</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9.4</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Termination Upon Bankruptcy</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9.5</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Effects of Termination for Licensed Compounds, Program Compounds and Products</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87"/>
              </w:rPr>
              <w:t>9.6</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Survival</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87"/>
              </w:rPr>
              <w:t>9.7</w:t>
            </w:r>
          </w:p>
        </w:tc>
        <w:tc>
          <w:tcPr>
            <w:tcW w:w="8320" w:type="dxa"/>
            <w:vAlign w:val="bottom"/>
            <w:gridSpan w:val="3"/>
          </w:tcPr>
          <w:p>
            <w:pPr>
              <w:ind w:left="20"/>
              <w:spacing w:after="0"/>
              <w:rPr>
                <w:sz w:val="20"/>
                <w:szCs w:val="20"/>
                <w:color w:val="auto"/>
              </w:rPr>
            </w:pPr>
            <w:r>
              <w:rPr>
                <w:rFonts w:ascii="Arial" w:cs="Arial" w:eastAsia="Arial" w:hAnsi="Arial"/>
                <w:sz w:val="18"/>
                <w:szCs w:val="18"/>
                <w:color w:val="auto"/>
              </w:rPr>
              <w:t>Termination not Exclusive Remedy</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560" w:type="dxa"/>
            <w:vAlign w:val="bottom"/>
            <w:gridSpan w:val="4"/>
          </w:tcPr>
          <w:p>
            <w:pPr>
              <w:spacing w:after="0"/>
              <w:rPr>
                <w:sz w:val="20"/>
                <w:szCs w:val="20"/>
                <w:color w:val="auto"/>
              </w:rPr>
            </w:pPr>
            <w:r>
              <w:rPr>
                <w:rFonts w:ascii="Arial" w:cs="Arial" w:eastAsia="Arial" w:hAnsi="Arial"/>
                <w:sz w:val="18"/>
                <w:szCs w:val="18"/>
                <w:color w:val="auto"/>
              </w:rPr>
              <w:t>ARTICLE 10. 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10.1</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Entire Agreement; Amendment</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10.2</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Section 365(n) of the Bankruptcy Code</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10.3</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Independent Contractors</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10.4</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Governing Law; Jurisdiction</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10.5</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Notice</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10.6</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Compliance With Law; 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10.7</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Non-Use of Names</w:t>
            </w: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10.8</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Successors and Assigns</w:t>
            </w: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10.9</w:t>
            </w:r>
          </w:p>
        </w:tc>
        <w:tc>
          <w:tcPr>
            <w:tcW w:w="8220" w:type="dxa"/>
            <w:vAlign w:val="bottom"/>
            <w:gridSpan w:val="2"/>
          </w:tcPr>
          <w:p>
            <w:pPr>
              <w:ind w:left="20"/>
              <w:spacing w:after="0"/>
              <w:rPr>
                <w:sz w:val="20"/>
                <w:szCs w:val="20"/>
                <w:color w:val="auto"/>
              </w:rPr>
            </w:pPr>
            <w:r>
              <w:rPr>
                <w:rFonts w:ascii="Arial" w:cs="Arial" w:eastAsia="Arial" w:hAnsi="Arial"/>
                <w:sz w:val="18"/>
                <w:szCs w:val="18"/>
                <w:color w:val="auto"/>
              </w:rPr>
              <w:t>Sale Transaction or AMGEN Acquisition</w:t>
            </w: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20" w:type="dxa"/>
            <w:vAlign w:val="bottom"/>
            <w:gridSpan w:val="3"/>
          </w:tcPr>
          <w:p>
            <w:pPr>
              <w:spacing w:after="0"/>
              <w:rPr>
                <w:sz w:val="20"/>
                <w:szCs w:val="20"/>
                <w:color w:val="auto"/>
              </w:rPr>
            </w:pPr>
            <w:r>
              <w:rPr>
                <w:rFonts w:ascii="Arial" w:cs="Arial" w:eastAsia="Arial" w:hAnsi="Arial"/>
                <w:sz w:val="18"/>
                <w:szCs w:val="18"/>
                <w:color w:val="auto"/>
                <w:w w:val="88"/>
              </w:rPr>
              <w:t>10.10</w:t>
            </w:r>
          </w:p>
        </w:tc>
        <w:tc>
          <w:tcPr>
            <w:tcW w:w="8140" w:type="dxa"/>
            <w:vAlign w:val="bottom"/>
          </w:tcPr>
          <w:p>
            <w:pPr>
              <w:ind w:left="20"/>
              <w:spacing w:after="0"/>
              <w:rPr>
                <w:sz w:val="20"/>
                <w:szCs w:val="20"/>
                <w:color w:val="auto"/>
              </w:rPr>
            </w:pPr>
            <w:r>
              <w:rPr>
                <w:rFonts w:ascii="Arial" w:cs="Arial" w:eastAsia="Arial" w:hAnsi="Arial"/>
                <w:sz w:val="18"/>
                <w:szCs w:val="18"/>
                <w:color w:val="auto"/>
              </w:rPr>
              <w:t>Waivers</w:t>
            </w: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560" w:type="dxa"/>
            <w:vAlign w:val="bottom"/>
            <w:gridSpan w:val="4"/>
          </w:tcPr>
          <w:p>
            <w:pPr>
              <w:spacing w:after="0"/>
              <w:rPr>
                <w:sz w:val="20"/>
                <w:szCs w:val="20"/>
                <w:color w:val="auto"/>
              </w:rPr>
            </w:pPr>
            <w:r>
              <w:rPr>
                <w:rFonts w:ascii="Arial" w:cs="Arial" w:eastAsia="Arial" w:hAnsi="Arial"/>
                <w:sz w:val="18"/>
                <w:szCs w:val="18"/>
                <w:color w:val="auto"/>
              </w:rPr>
              <w:t>10.11 No Third Party Beneficiaries</w:t>
            </w:r>
          </w:p>
        </w:tc>
        <w:tc>
          <w:tcPr>
            <w:tcW w:w="2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20" w:type="dxa"/>
            <w:vAlign w:val="bottom"/>
            <w:gridSpan w:val="3"/>
          </w:tcPr>
          <w:p>
            <w:pPr>
              <w:spacing w:after="0"/>
              <w:rPr>
                <w:sz w:val="20"/>
                <w:szCs w:val="20"/>
                <w:color w:val="auto"/>
              </w:rPr>
            </w:pPr>
            <w:r>
              <w:rPr>
                <w:rFonts w:ascii="Arial" w:cs="Arial" w:eastAsia="Arial" w:hAnsi="Arial"/>
                <w:sz w:val="18"/>
                <w:szCs w:val="18"/>
                <w:color w:val="auto"/>
                <w:w w:val="88"/>
              </w:rPr>
              <w:t>10.12</w:t>
            </w:r>
          </w:p>
        </w:tc>
        <w:tc>
          <w:tcPr>
            <w:tcW w:w="8140" w:type="dxa"/>
            <w:vAlign w:val="bottom"/>
          </w:tcPr>
          <w:p>
            <w:pPr>
              <w:ind w:left="20"/>
              <w:spacing w:after="0"/>
              <w:rPr>
                <w:sz w:val="20"/>
                <w:szCs w:val="20"/>
                <w:color w:val="auto"/>
              </w:rPr>
            </w:pPr>
            <w:r>
              <w:rPr>
                <w:rFonts w:ascii="Arial" w:cs="Arial" w:eastAsia="Arial" w:hAnsi="Arial"/>
                <w:sz w:val="18"/>
                <w:szCs w:val="18"/>
                <w:color w:val="auto"/>
              </w:rPr>
              <w:t>Performance by Affiliates</w:t>
            </w:r>
          </w:p>
        </w:tc>
        <w:tc>
          <w:tcPr>
            <w:tcW w:w="2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20" w:type="dxa"/>
            <w:vAlign w:val="bottom"/>
            <w:gridSpan w:val="3"/>
          </w:tcPr>
          <w:p>
            <w:pPr>
              <w:spacing w:after="0"/>
              <w:rPr>
                <w:sz w:val="20"/>
                <w:szCs w:val="20"/>
                <w:color w:val="auto"/>
              </w:rPr>
            </w:pPr>
            <w:r>
              <w:rPr>
                <w:rFonts w:ascii="Arial" w:cs="Arial" w:eastAsia="Arial" w:hAnsi="Arial"/>
                <w:sz w:val="18"/>
                <w:szCs w:val="18"/>
                <w:color w:val="auto"/>
                <w:w w:val="88"/>
              </w:rPr>
              <w:t>10.13</w:t>
            </w:r>
          </w:p>
        </w:tc>
        <w:tc>
          <w:tcPr>
            <w:tcW w:w="8140" w:type="dxa"/>
            <w:vAlign w:val="bottom"/>
          </w:tcPr>
          <w:p>
            <w:pPr>
              <w:ind w:left="20"/>
              <w:spacing w:after="0"/>
              <w:rPr>
                <w:sz w:val="20"/>
                <w:szCs w:val="20"/>
                <w:color w:val="auto"/>
              </w:rPr>
            </w:pPr>
            <w:r>
              <w:rPr>
                <w:rFonts w:ascii="Arial" w:cs="Arial" w:eastAsia="Arial" w:hAnsi="Arial"/>
                <w:sz w:val="18"/>
                <w:szCs w:val="18"/>
                <w:color w:val="auto"/>
              </w:rPr>
              <w:t>Headings; Exhibits</w:t>
            </w:r>
          </w:p>
        </w:tc>
        <w:tc>
          <w:tcPr>
            <w:tcW w:w="2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20" w:type="dxa"/>
            <w:vAlign w:val="bottom"/>
            <w:gridSpan w:val="3"/>
          </w:tcPr>
          <w:p>
            <w:pPr>
              <w:spacing w:after="0"/>
              <w:rPr>
                <w:sz w:val="20"/>
                <w:szCs w:val="20"/>
                <w:color w:val="auto"/>
              </w:rPr>
            </w:pPr>
            <w:r>
              <w:rPr>
                <w:rFonts w:ascii="Arial" w:cs="Arial" w:eastAsia="Arial" w:hAnsi="Arial"/>
                <w:sz w:val="18"/>
                <w:szCs w:val="18"/>
                <w:color w:val="auto"/>
                <w:w w:val="88"/>
              </w:rPr>
              <w:t>10.14</w:t>
            </w:r>
          </w:p>
        </w:tc>
        <w:tc>
          <w:tcPr>
            <w:tcW w:w="8140" w:type="dxa"/>
            <w:vAlign w:val="bottom"/>
          </w:tcPr>
          <w:p>
            <w:pPr>
              <w:ind w:left="20"/>
              <w:spacing w:after="0"/>
              <w:rPr>
                <w:sz w:val="20"/>
                <w:szCs w:val="20"/>
                <w:color w:val="auto"/>
              </w:rPr>
            </w:pPr>
            <w:r>
              <w:rPr>
                <w:rFonts w:ascii="Arial" w:cs="Arial" w:eastAsia="Arial" w:hAnsi="Arial"/>
                <w:sz w:val="18"/>
                <w:szCs w:val="18"/>
                <w:color w:val="auto"/>
              </w:rPr>
              <w:t>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20" w:type="dxa"/>
            <w:vAlign w:val="bottom"/>
            <w:gridSpan w:val="3"/>
          </w:tcPr>
          <w:p>
            <w:pPr>
              <w:spacing w:after="0"/>
              <w:rPr>
                <w:sz w:val="20"/>
                <w:szCs w:val="20"/>
                <w:color w:val="auto"/>
              </w:rPr>
            </w:pPr>
            <w:r>
              <w:rPr>
                <w:rFonts w:ascii="Arial" w:cs="Arial" w:eastAsia="Arial" w:hAnsi="Arial"/>
                <w:sz w:val="18"/>
                <w:szCs w:val="18"/>
                <w:color w:val="auto"/>
                <w:w w:val="88"/>
              </w:rPr>
              <w:t>10.15</w:t>
            </w:r>
          </w:p>
        </w:tc>
        <w:tc>
          <w:tcPr>
            <w:tcW w:w="8140" w:type="dxa"/>
            <w:vAlign w:val="bottom"/>
          </w:tcPr>
          <w:p>
            <w:pPr>
              <w:ind w:left="20"/>
              <w:spacing w:after="0"/>
              <w:rPr>
                <w:sz w:val="20"/>
                <w:szCs w:val="20"/>
                <w:color w:val="auto"/>
              </w:rPr>
            </w:pPr>
            <w:r>
              <w:rPr>
                <w:rFonts w:ascii="Arial" w:cs="Arial" w:eastAsia="Arial" w:hAnsi="Arial"/>
                <w:sz w:val="18"/>
                <w:szCs w:val="18"/>
                <w:color w:val="auto"/>
              </w:rPr>
              <w:t>Equitable Relief</w:t>
            </w:r>
          </w:p>
        </w:tc>
        <w:tc>
          <w:tcPr>
            <w:tcW w:w="2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20" w:type="dxa"/>
            <w:vAlign w:val="bottom"/>
            <w:gridSpan w:val="3"/>
          </w:tcPr>
          <w:p>
            <w:pPr>
              <w:spacing w:after="0"/>
              <w:rPr>
                <w:sz w:val="20"/>
                <w:szCs w:val="20"/>
                <w:color w:val="auto"/>
              </w:rPr>
            </w:pPr>
            <w:r>
              <w:rPr>
                <w:rFonts w:ascii="Arial" w:cs="Arial" w:eastAsia="Arial" w:hAnsi="Arial"/>
                <w:sz w:val="18"/>
                <w:szCs w:val="18"/>
                <w:color w:val="auto"/>
                <w:w w:val="88"/>
              </w:rPr>
              <w:t>10.16</w:t>
            </w:r>
          </w:p>
        </w:tc>
        <w:tc>
          <w:tcPr>
            <w:tcW w:w="8140" w:type="dxa"/>
            <w:vAlign w:val="bottom"/>
          </w:tcPr>
          <w:p>
            <w:pPr>
              <w:ind w:left="20"/>
              <w:spacing w:after="0"/>
              <w:rPr>
                <w:sz w:val="20"/>
                <w:szCs w:val="20"/>
                <w:color w:val="auto"/>
              </w:rPr>
            </w:pPr>
            <w:r>
              <w:rPr>
                <w:rFonts w:ascii="Arial" w:cs="Arial" w:eastAsia="Arial" w:hAnsi="Arial"/>
                <w:sz w:val="18"/>
                <w:szCs w:val="18"/>
                <w:color w:val="auto"/>
              </w:rPr>
              <w:t>Force Majeure</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20" w:type="dxa"/>
            <w:vAlign w:val="bottom"/>
            <w:gridSpan w:val="3"/>
          </w:tcPr>
          <w:p>
            <w:pPr>
              <w:spacing w:after="0"/>
              <w:rPr>
                <w:sz w:val="20"/>
                <w:szCs w:val="20"/>
                <w:color w:val="auto"/>
              </w:rPr>
            </w:pPr>
            <w:r>
              <w:rPr>
                <w:rFonts w:ascii="Arial" w:cs="Arial" w:eastAsia="Arial" w:hAnsi="Arial"/>
                <w:sz w:val="18"/>
                <w:szCs w:val="18"/>
                <w:color w:val="auto"/>
                <w:w w:val="88"/>
              </w:rPr>
              <w:t>10.17</w:t>
            </w:r>
          </w:p>
        </w:tc>
        <w:tc>
          <w:tcPr>
            <w:tcW w:w="8140" w:type="dxa"/>
            <w:vAlign w:val="bottom"/>
          </w:tcPr>
          <w:p>
            <w:pPr>
              <w:ind w:left="20"/>
              <w:spacing w:after="0"/>
              <w:rPr>
                <w:sz w:val="20"/>
                <w:szCs w:val="20"/>
                <w:color w:val="auto"/>
              </w:rPr>
            </w:pPr>
            <w:r>
              <w:rPr>
                <w:rFonts w:ascii="Arial" w:cs="Arial" w:eastAsia="Arial" w:hAnsi="Arial"/>
                <w:sz w:val="18"/>
                <w:szCs w:val="18"/>
                <w:color w:val="auto"/>
              </w:rPr>
              <w:t>Further Assurances</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20" w:type="dxa"/>
            <w:vAlign w:val="bottom"/>
            <w:gridSpan w:val="3"/>
          </w:tcPr>
          <w:p>
            <w:pPr>
              <w:spacing w:after="0"/>
              <w:rPr>
                <w:sz w:val="20"/>
                <w:szCs w:val="20"/>
                <w:color w:val="auto"/>
              </w:rPr>
            </w:pPr>
            <w:r>
              <w:rPr>
                <w:rFonts w:ascii="Arial" w:cs="Arial" w:eastAsia="Arial" w:hAnsi="Arial"/>
                <w:sz w:val="18"/>
                <w:szCs w:val="18"/>
                <w:color w:val="auto"/>
                <w:w w:val="88"/>
              </w:rPr>
              <w:t>10.18</w:t>
            </w:r>
          </w:p>
        </w:tc>
        <w:tc>
          <w:tcPr>
            <w:tcW w:w="814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left="4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410" w:name="page411"/>
    <w:bookmarkEnd w:id="4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List</w:t>
      </w:r>
    </w:p>
    <w:p>
      <w:pPr>
        <w:spacing w:after="0" w:line="135" w:lineRule="exact"/>
        <w:rPr>
          <w:sz w:val="20"/>
          <w:szCs w:val="20"/>
          <w:color w:val="auto"/>
        </w:rPr>
      </w:pPr>
    </w:p>
    <w:p>
      <w:pPr>
        <w:ind w:right="4699"/>
        <w:spacing w:after="0" w:line="277" w:lineRule="auto"/>
        <w:rPr>
          <w:sz w:val="20"/>
          <w:szCs w:val="20"/>
          <w:color w:val="auto"/>
        </w:rPr>
      </w:pPr>
      <w:r>
        <w:rPr>
          <w:rFonts w:ascii="Arial" w:cs="Arial" w:eastAsia="Arial" w:hAnsi="Arial"/>
          <w:sz w:val="18"/>
          <w:szCs w:val="18"/>
          <w:color w:val="auto"/>
        </w:rPr>
        <w:t>Exhibit A Licensed Know-How, Licensed Materials &amp; Licensed Patents Exhibit B Licensed Compounds</w:t>
      </w:r>
    </w:p>
    <w:p>
      <w:pPr>
        <w:spacing w:after="0" w:line="103" w:lineRule="exact"/>
        <w:rPr>
          <w:sz w:val="20"/>
          <w:szCs w:val="20"/>
          <w:color w:val="auto"/>
        </w:rPr>
      </w:pPr>
    </w:p>
    <w:p>
      <w:pPr>
        <w:jc w:val="right"/>
        <w:ind w:right="4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019"/>
          </w:cols>
          <w:pgMar w:left="440" w:top="270" w:right="1440" w:bottom="1440" w:gutter="0" w:footer="0" w:header="0"/>
        </w:sectPr>
      </w:pPr>
    </w:p>
    <w:bookmarkStart w:id="411" w:name="page412"/>
    <w:bookmarkEnd w:id="4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EXCLUSIVE LICENSE AGREEMENT FOR GCASE</w:t>
      </w:r>
    </w:p>
    <w:p>
      <w:pPr>
        <w:spacing w:after="0" w:line="117"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This EXCLUSIVE LICENSE AGREEMENT FOR GCASE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September 10, 2021 (the “</w:t>
      </w:r>
      <w:r>
        <w:rPr>
          <w:rFonts w:ascii="Arial" w:cs="Arial" w:eastAsia="Arial" w:hAnsi="Arial"/>
          <w:sz w:val="18"/>
          <w:szCs w:val="18"/>
          <w:b w:val="1"/>
          <w:bCs w:val="1"/>
          <w:color w:val="auto"/>
        </w:rPr>
        <w:t>Execution Date</w:t>
      </w:r>
      <w:r>
        <w:rPr>
          <w:rFonts w:ascii="Arial" w:cs="Arial" w:eastAsia="Arial" w:hAnsi="Arial"/>
          <w:sz w:val="18"/>
          <w:szCs w:val="18"/>
          <w:color w:val="auto"/>
        </w:rPr>
        <w:t>”) by and between AMGEN INC. (“</w:t>
      </w:r>
      <w:r>
        <w:rPr>
          <w:rFonts w:ascii="Arial" w:cs="Arial" w:eastAsia="Arial" w:hAnsi="Arial"/>
          <w:sz w:val="18"/>
          <w:szCs w:val="18"/>
          <w:b w:val="1"/>
          <w:bCs w:val="1"/>
          <w:color w:val="auto"/>
        </w:rPr>
        <w:t>AMGEN</w:t>
      </w:r>
      <w:r>
        <w:rPr>
          <w:rFonts w:ascii="Arial" w:cs="Arial" w:eastAsia="Arial" w:hAnsi="Arial"/>
          <w:sz w:val="18"/>
          <w:szCs w:val="18"/>
          <w:color w:val="auto"/>
        </w:rPr>
        <w:t>”), and RBNC Therapeutics, Inc. (“</w:t>
      </w:r>
      <w:r>
        <w:rPr>
          <w:rFonts w:ascii="Arial" w:cs="Arial" w:eastAsia="Arial" w:hAnsi="Arial"/>
          <w:sz w:val="18"/>
          <w:szCs w:val="18"/>
          <w:b w:val="1"/>
          <w:bCs w:val="1"/>
          <w:color w:val="auto"/>
        </w:rPr>
        <w:t>RBNC</w:t>
      </w:r>
      <w:r>
        <w:rPr>
          <w:rFonts w:ascii="Arial" w:cs="Arial" w:eastAsia="Arial" w:hAnsi="Arial"/>
          <w:sz w:val="18"/>
          <w:szCs w:val="18"/>
          <w:color w:val="auto"/>
        </w:rPr>
        <w:t>”). RBNC and AMGEN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AMGEN possesses certain rights and intellectual property related to compounds directed to GCase (as hereinafter defined); and</w:t>
      </w:r>
    </w:p>
    <w:p>
      <w:pPr>
        <w:spacing w:after="0" w:line="237"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RBNC desires to license from AMGEN such intellectual property rights, and to develop, manufacture, use, commercialize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 products containing compounds that are directed to the GCase, and AMGEN desires to grant such a license to RBNC in accordance with the terms and conditions of this Agreement;</w:t>
      </w:r>
    </w:p>
    <w:p>
      <w:pPr>
        <w:spacing w:after="0" w:line="17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simultaneously with the execution of this Agreement, the Parties are executing that certain Exclusive License Agreement for CK1d</w:t>
      </w:r>
      <w:r>
        <w:rPr>
          <w:rFonts w:ascii="Arial" w:cs="Arial" w:eastAsia="Arial" w:hAnsi="Arial"/>
          <w:sz w:val="18"/>
          <w:szCs w:val="18"/>
          <w:b w:val="1"/>
          <w:bCs w:val="1"/>
          <w:color w:val="auto"/>
        </w:rPr>
        <w:t xml:space="preserve"> </w:t>
      </w:r>
      <w:r>
        <w:rPr>
          <w:rFonts w:ascii="Arial" w:cs="Arial" w:eastAsia="Arial" w:hAnsi="Arial"/>
          <w:sz w:val="18"/>
          <w:szCs w:val="18"/>
          <w:color w:val="auto"/>
        </w:rPr>
        <w:t>and that certain Research Collaboration and License Agreement;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simultaneously with the execution of this Agreement, the Parties are also entering into that certain Series A-2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that certain Stock Issuance Agreement, that certain Voting Rights Letter Agreement, and that certain Letter Agreement (collectively, the “</w:t>
      </w:r>
      <w:r>
        <w:rPr>
          <w:rFonts w:ascii="Arial" w:cs="Arial" w:eastAsia="Arial" w:hAnsi="Arial"/>
          <w:sz w:val="18"/>
          <w:szCs w:val="18"/>
          <w:b w:val="1"/>
          <w:bCs w:val="1"/>
          <w:color w:val="auto"/>
        </w:rPr>
        <w:t>Equity Agreements</w:t>
      </w:r>
      <w:r>
        <w:rPr>
          <w:rFonts w:ascii="Arial" w:cs="Arial" w:eastAsia="Arial" w:hAnsi="Arial"/>
          <w:sz w:val="18"/>
          <w:szCs w:val="18"/>
          <w:color w:val="auto"/>
        </w:rPr>
        <w:t>”);</w:t>
      </w:r>
    </w:p>
    <w:p>
      <w:pPr>
        <w:spacing w:after="0" w:line="17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connection with the transactions contemplated hereby and by the Exclusive License Agreement for CK1d and the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and License Agreement,and pursuant to the Equity Agreements, RBNC will issue to AMGEN certain shares of Series A-2 Preferred Stock (as defined below) and AMGEN shall purchase certain additional shares of Series A-2 Preferred Stock (such transactions, issuance of shares and purchase of shares, collectively the “</w:t>
      </w:r>
      <w:r>
        <w:rPr>
          <w:rFonts w:ascii="Arial" w:cs="Arial" w:eastAsia="Arial" w:hAnsi="Arial"/>
          <w:sz w:val="18"/>
          <w:szCs w:val="18"/>
          <w:b w:val="1"/>
          <w:bCs w:val="1"/>
          <w:color w:val="auto"/>
        </w:rPr>
        <w:t>Transaction</w:t>
      </w:r>
      <w:r>
        <w:rPr>
          <w:rFonts w:ascii="Arial" w:cs="Arial" w:eastAsia="Arial" w:hAnsi="Arial"/>
          <w:sz w:val="18"/>
          <w:szCs w:val="18"/>
          <w:color w:val="auto"/>
        </w:rPr>
        <w:t>”) .</w:t>
      </w:r>
    </w:p>
    <w:p>
      <w:pPr>
        <w:spacing w:after="0" w:line="180" w:lineRule="exact"/>
        <w:rPr>
          <w:sz w:val="20"/>
          <w:szCs w:val="20"/>
          <w:color w:val="auto"/>
        </w:rPr>
      </w:pPr>
    </w:p>
    <w:p>
      <w:pPr>
        <w:ind w:right="140" w:firstLine="440"/>
        <w:spacing w:after="0" w:line="31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premises and the mutual promises and covenants contained in this Agreement, and for other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valuable consideration, the receipt and sufficiency of which are hereby acknowledged, the Parties hereto agree as follows: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All references to particular Exhibits, Articles or Sections shall mean the Exhibits to, and Articles and Sections of, this Agreement, unless otherwise specified. For the purposes of this Agreement and the Exhibits hereto, the following words and phrases shall have the following meanings:</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color w:val="auto"/>
        </w:rPr>
        <w:t>“</w:t>
      </w:r>
      <w:r>
        <w:rPr>
          <w:rFonts w:ascii="Arial" w:cs="Arial" w:eastAsia="Arial" w:hAnsi="Arial"/>
          <w:sz w:val="18"/>
          <w:szCs w:val="18"/>
          <w:b w:val="1"/>
          <w:bCs w:val="1"/>
          <w:color w:val="auto"/>
        </w:rPr>
        <w:t>Abandoned Patent Right</w:t>
      </w:r>
      <w:r>
        <w:rPr>
          <w:rFonts w:ascii="Arial" w:cs="Arial" w:eastAsia="Arial" w:hAnsi="Arial"/>
          <w:sz w:val="18"/>
          <w:szCs w:val="18"/>
          <w:color w:val="auto"/>
        </w:rPr>
        <w:t>” has the meaning set forth in Section 4.3.2 (Prosecution and Maintenance).</w:t>
      </w:r>
    </w:p>
    <w:p>
      <w:pPr>
        <w:spacing w:after="0" w:line="117" w:lineRule="exact"/>
        <w:rPr>
          <w:sz w:val="20"/>
          <w:szCs w:val="20"/>
          <w:color w:val="auto"/>
        </w:rPr>
      </w:pPr>
    </w:p>
    <w:p>
      <w:pPr>
        <w:ind w:left="440" w:right="280"/>
        <w:spacing w:after="0" w:line="28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color w:val="auto"/>
        </w:rPr>
        <w:t>“</w:t>
      </w:r>
      <w:r>
        <w:rPr>
          <w:rFonts w:ascii="Arial" w:cs="Arial" w:eastAsia="Arial" w:hAnsi="Arial"/>
          <w:sz w:val="18"/>
          <w:szCs w:val="18"/>
          <w:b w:val="1"/>
          <w:bCs w:val="1"/>
          <w:color w:val="auto"/>
        </w:rPr>
        <w:t>Accounting Standards</w:t>
      </w:r>
      <w:r>
        <w:rPr>
          <w:rFonts w:ascii="Arial" w:cs="Arial" w:eastAsia="Arial" w:hAnsi="Arial"/>
          <w:sz w:val="18"/>
          <w:szCs w:val="18"/>
          <w:color w:val="auto"/>
        </w:rPr>
        <w:t>” means, with respect to a Party or its Affiliate or Sublicensee, GAAP or IFRS, as such Person uses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reporting obligations, consistently applied.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Amgen Proprietary - Confidential</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10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Confidential Legal</w:t>
      </w:r>
    </w:p>
    <w:p>
      <w:pPr>
        <w:sectPr>
          <w:pgSz w:w="11900" w:h="16838" w:orient="portrait"/>
          <w:cols w:equalWidth="0" w:num="1">
            <w:col w:w="11000"/>
          </w:cols>
          <w:pgMar w:left="440" w:top="270" w:right="459" w:bottom="1440" w:gutter="0" w:footer="0" w:header="0"/>
        </w:sectPr>
      </w:pPr>
    </w:p>
    <w:bookmarkStart w:id="412" w:name="page413"/>
    <w:bookmarkEnd w:id="4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that, directly, or indirectly through one or more intermediaries,</w:t>
      </w:r>
      <w:r>
        <w:rPr>
          <w:rFonts w:ascii="Arial" w:cs="Arial" w:eastAsia="Arial" w:hAnsi="Arial"/>
          <w:sz w:val="16"/>
          <w:szCs w:val="16"/>
          <w:b w:val="1"/>
          <w:bCs w:val="1"/>
          <w:color w:val="auto"/>
        </w:rPr>
        <w:t xml:space="preserve"> </w:t>
      </w:r>
      <w:r>
        <w:rPr>
          <w:rFonts w:ascii="Arial" w:cs="Arial" w:eastAsia="Arial" w:hAnsi="Arial"/>
          <w:sz w:val="16"/>
          <w:szCs w:val="16"/>
          <w:color w:val="auto"/>
        </w:rPr>
        <w:t>controls, is controlled by or is under common control with such Person, for as long as such control exists. For purposes of this Section, “control” means the direct or indirect ownership of fifty percent (50%) or more of the voting or economic interest of a Person, or the power either directly or indirectly through one or more intermediaries, whether pursuant to contract, ownership of securities or otherwise, to direct the management and policies of a Person. For clarity, once a Person ceases to be an Affiliate of a Party, then, without any further action, such Person shall cease to have any rights, including license and sublicense rights, under this Agreement by reason of having been an Affiliate of such Party.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color w:val="auto"/>
        </w:rPr>
        <w:t>“</w:t>
      </w:r>
      <w:r>
        <w:rPr>
          <w:rFonts w:ascii="Arial" w:cs="Arial" w:eastAsia="Arial" w:hAnsi="Arial"/>
          <w:sz w:val="18"/>
          <w:szCs w:val="18"/>
          <w:b w:val="1"/>
          <w:bCs w:val="1"/>
          <w:color w:val="auto"/>
        </w:rPr>
        <w:t>AMGEN</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color w:val="auto"/>
        </w:rPr>
        <w:t>“</w:t>
      </w:r>
      <w:r>
        <w:rPr>
          <w:rFonts w:ascii="Arial" w:cs="Arial" w:eastAsia="Arial" w:hAnsi="Arial"/>
          <w:sz w:val="18"/>
          <w:szCs w:val="18"/>
          <w:b w:val="1"/>
          <w:bCs w:val="1"/>
          <w:color w:val="auto"/>
        </w:rPr>
        <w:t>AMGEN Acquiree</w:t>
      </w:r>
      <w:r>
        <w:rPr>
          <w:rFonts w:ascii="Arial" w:cs="Arial" w:eastAsia="Arial" w:hAnsi="Arial"/>
          <w:sz w:val="18"/>
          <w:szCs w:val="18"/>
          <w:color w:val="auto"/>
        </w:rPr>
        <w:t>” has the meaning set forth in Section 10.9 (Sale Transaction or AMGEN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color w:val="auto"/>
        </w:rPr>
        <w:t>“</w:t>
      </w:r>
      <w:r>
        <w:rPr>
          <w:rFonts w:ascii="Arial" w:cs="Arial" w:eastAsia="Arial" w:hAnsi="Arial"/>
          <w:sz w:val="18"/>
          <w:szCs w:val="18"/>
          <w:b w:val="1"/>
          <w:bCs w:val="1"/>
          <w:color w:val="auto"/>
        </w:rPr>
        <w:t>AMGEN Acquisition</w:t>
      </w:r>
      <w:r>
        <w:rPr>
          <w:rFonts w:ascii="Arial" w:cs="Arial" w:eastAsia="Arial" w:hAnsi="Arial"/>
          <w:sz w:val="18"/>
          <w:szCs w:val="18"/>
          <w:color w:val="auto"/>
        </w:rPr>
        <w:t>” has the meaning set forth in Section 10.9 (Sale Transaction or AMGEN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color w:val="auto"/>
        </w:rPr>
        <w:t>“</w:t>
      </w:r>
      <w:r>
        <w:rPr>
          <w:rFonts w:ascii="Arial" w:cs="Arial" w:eastAsia="Arial" w:hAnsi="Arial"/>
          <w:sz w:val="18"/>
          <w:szCs w:val="18"/>
          <w:b w:val="1"/>
          <w:bCs w:val="1"/>
          <w:color w:val="auto"/>
        </w:rPr>
        <w:t>AMGEN Election Notice</w:t>
      </w:r>
      <w:r>
        <w:rPr>
          <w:rFonts w:ascii="Arial" w:cs="Arial" w:eastAsia="Arial" w:hAnsi="Arial"/>
          <w:sz w:val="18"/>
          <w:szCs w:val="18"/>
          <w:color w:val="auto"/>
        </w:rPr>
        <w:t>” has the meaning set forth in Section 2.4.2 (Exclusive Right of First Negotiation).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color w:val="auto"/>
        </w:rPr>
        <w:t>“</w:t>
      </w:r>
      <w:r>
        <w:rPr>
          <w:rFonts w:ascii="Arial" w:cs="Arial" w:eastAsia="Arial" w:hAnsi="Arial"/>
          <w:sz w:val="18"/>
          <w:szCs w:val="18"/>
          <w:b w:val="1"/>
          <w:bCs w:val="1"/>
          <w:color w:val="auto"/>
        </w:rPr>
        <w:t>AMGEN Indemnified Parties</w:t>
      </w:r>
      <w:r>
        <w:rPr>
          <w:rFonts w:ascii="Arial" w:cs="Arial" w:eastAsia="Arial" w:hAnsi="Arial"/>
          <w:sz w:val="18"/>
          <w:szCs w:val="18"/>
          <w:color w:val="auto"/>
        </w:rPr>
        <w:t>” has the meaning set forth in Section 7.1.2 (By RBNC).</w:t>
      </w:r>
    </w:p>
    <w:p>
      <w:pPr>
        <w:spacing w:after="0" w:line="11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Section 1.10 </w:t>
      </w:r>
      <w:r>
        <w:rPr>
          <w:rFonts w:ascii="Arial" w:cs="Arial" w:eastAsia="Arial" w:hAnsi="Arial"/>
          <w:sz w:val="18"/>
          <w:szCs w:val="18"/>
          <w:color w:val="auto"/>
        </w:rPr>
        <w:t>“</w:t>
      </w:r>
      <w:r>
        <w:rPr>
          <w:rFonts w:ascii="Arial" w:cs="Arial" w:eastAsia="Arial" w:hAnsi="Arial"/>
          <w:sz w:val="18"/>
          <w:szCs w:val="18"/>
          <w:b w:val="1"/>
          <w:bCs w:val="1"/>
          <w:color w:val="auto"/>
        </w:rPr>
        <w:t>AMGEN Proprietary Licensed Compounds</w:t>
      </w:r>
      <w:r>
        <w:rPr>
          <w:rFonts w:ascii="Arial" w:cs="Arial" w:eastAsia="Arial" w:hAnsi="Arial"/>
          <w:sz w:val="18"/>
          <w:szCs w:val="18"/>
          <w:color w:val="auto"/>
        </w:rPr>
        <w:t>” means those Licensed Compounds which were not acquired from a publicly</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commercial source, as denoted in Exhibit B.</w:t>
      </w:r>
    </w:p>
    <w:p>
      <w:pPr>
        <w:spacing w:after="0" w:line="5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Laws, regulations, or orders prohibiting the provision of a financial or other advantage for a corrupt</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or otherwise in connection with the improper performance of a relevant function, including without limitation, the U.S. Foreign Corrupt Practices Act (FCPA), as amended, the UK Bribery Act 2010, as amended, and any other applicable laws, rules and regulations relating to or concerning public or commercial bribery or corruption.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color w:val="auto"/>
        </w:rPr>
        <w:t>“</w:t>
      </w:r>
      <w:r>
        <w:rPr>
          <w:rFonts w:ascii="Arial" w:cs="Arial" w:eastAsia="Arial" w:hAnsi="Arial"/>
          <w:sz w:val="18"/>
          <w:szCs w:val="18"/>
          <w:b w:val="1"/>
          <w:bCs w:val="1"/>
          <w:color w:val="auto"/>
        </w:rPr>
        <w:t>Audited Party</w:t>
      </w:r>
      <w:r>
        <w:rPr>
          <w:rFonts w:ascii="Arial" w:cs="Arial" w:eastAsia="Arial" w:hAnsi="Arial"/>
          <w:sz w:val="18"/>
          <w:szCs w:val="18"/>
          <w:color w:val="auto"/>
        </w:rPr>
        <w:t>” has the meaning set forth in Section 3.9 (Records and Audits).</w:t>
      </w:r>
    </w:p>
    <w:p>
      <w:pPr>
        <w:spacing w:after="0" w:line="117" w:lineRule="exact"/>
        <w:rPr>
          <w:sz w:val="20"/>
          <w:szCs w:val="20"/>
          <w:color w:val="auto"/>
        </w:rPr>
      </w:pPr>
    </w:p>
    <w:p>
      <w:pPr>
        <w:jc w:val="both"/>
        <w:ind w:right="300"/>
        <w:spacing w:after="0" w:line="289" w:lineRule="auto"/>
        <w:rPr>
          <w:sz w:val="20"/>
          <w:szCs w:val="20"/>
          <w:color w:val="auto"/>
        </w:rPr>
      </w:pPr>
      <w:r>
        <w:rPr>
          <w:rFonts w:ascii="Arial" w:cs="Arial" w:eastAsia="Arial" w:hAnsi="Arial"/>
          <w:sz w:val="17"/>
          <w:szCs w:val="17"/>
          <w:b w:val="1"/>
          <w:bCs w:val="1"/>
          <w:color w:val="auto"/>
        </w:rPr>
        <w:t xml:space="preserve">Section 1.13 </w:t>
      </w:r>
      <w:r>
        <w:rPr>
          <w:rFonts w:ascii="Arial" w:cs="Arial" w:eastAsia="Arial" w:hAnsi="Arial"/>
          <w:sz w:val="17"/>
          <w:szCs w:val="17"/>
          <w:color w:val="auto"/>
        </w:rPr>
        <w:t>“</w:t>
      </w:r>
      <w:r>
        <w:rPr>
          <w:rFonts w:ascii="Arial" w:cs="Arial" w:eastAsia="Arial" w:hAnsi="Arial"/>
          <w:sz w:val="17"/>
          <w:szCs w:val="17"/>
          <w:b w:val="1"/>
          <w:bCs w:val="1"/>
          <w:color w:val="auto"/>
        </w:rPr>
        <w:t>Calendar Quarter</w:t>
      </w:r>
      <w:r>
        <w:rPr>
          <w:rFonts w:ascii="Arial" w:cs="Arial" w:eastAsia="Arial" w:hAnsi="Arial"/>
          <w:sz w:val="17"/>
          <w:szCs w:val="17"/>
          <w:color w:val="auto"/>
        </w:rPr>
        <w:t>” means a three-month period beginning on January, April, July or October 1st, except that the first Calendar</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the Term shall commence on the Effective Date and end on the day immediately prior to the first to occur of January, April, July or October 1st after the Effective Date, and the last Calendar Quarter shall end on the last day of the Term.</w:t>
      </w:r>
    </w:p>
    <w:p>
      <w:pPr>
        <w:spacing w:after="0" w:line="50" w:lineRule="exact"/>
        <w:rPr>
          <w:sz w:val="20"/>
          <w:szCs w:val="20"/>
          <w:color w:val="auto"/>
        </w:rPr>
      </w:pPr>
    </w:p>
    <w:p>
      <w:pPr>
        <w:jc w:val="both"/>
        <w:ind w:right="300"/>
        <w:spacing w:after="0" w:line="314" w:lineRule="auto"/>
        <w:rPr>
          <w:sz w:val="20"/>
          <w:szCs w:val="20"/>
          <w:color w:val="auto"/>
        </w:rPr>
      </w:pPr>
      <w:r>
        <w:rPr>
          <w:rFonts w:ascii="Arial" w:cs="Arial" w:eastAsia="Arial" w:hAnsi="Arial"/>
          <w:sz w:val="16"/>
          <w:szCs w:val="16"/>
          <w:b w:val="1"/>
          <w:bCs w:val="1"/>
          <w:color w:val="auto"/>
        </w:rPr>
        <w:t xml:space="preserve">Section 1.14 </w:t>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a one-year period beginning on January 1st and ending on December 31st, except that the first Calendar</w:t>
      </w:r>
      <w:r>
        <w:rPr>
          <w:rFonts w:ascii="Arial" w:cs="Arial" w:eastAsia="Arial" w:hAnsi="Arial"/>
          <w:sz w:val="16"/>
          <w:szCs w:val="16"/>
          <w:b w:val="1"/>
          <w:bCs w:val="1"/>
          <w:color w:val="auto"/>
        </w:rPr>
        <w:t xml:space="preserve"> </w:t>
      </w:r>
      <w:r>
        <w:rPr>
          <w:rFonts w:ascii="Arial" w:cs="Arial" w:eastAsia="Arial" w:hAnsi="Arial"/>
          <w:sz w:val="16"/>
          <w:szCs w:val="16"/>
          <w:color w:val="auto"/>
        </w:rPr>
        <w:t>Year of the Term shall commence on the Effective Date and end on December 31st of the year in which the Effective Date occurs, and the last Calendar Year of the Term shall commence on January 1st of the year in which the Term ends and end on the last day of the Term.</w:t>
      </w:r>
    </w:p>
    <w:p>
      <w:pPr>
        <w:spacing w:after="0" w:line="7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0" w:right="459" w:bottom="1440" w:gutter="0" w:footer="0" w:header="0"/>
        </w:sectPr>
      </w:pPr>
    </w:p>
    <w:bookmarkStart w:id="413" w:name="page414"/>
    <w:bookmarkEnd w:id="413"/>
    <w:p>
      <w:pPr>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1.15 </w:t>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with respect to specified party: (a) the acquisition, directly or indirectly, by a Person or “group”</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in a single transaction or multiple transactions) of more than 50% of the voting power of such party or of beneficial ownership of (or the right to acquire such beneficial ownership) of more than 50% of the outstanding equity or convertible securities of such party (including by tender offer or exchange offer); (b) any merger, consolidation, share exchange, business combination, recapitalization, the sale of substantially all assets of, or similar corporate transaction involving such party (whether or not including one or more wholly owned subsidiaries of such party), other than: (i) transactions involving solely such party and one or more Affiliates, on the one hand, and one or more of such party’s Affiliates, on the other hand, and/or (ii) transactions in which the stockholders of such party immediately prior to such transaction hold at least 50% of the voting power of the surviving company or ultimate parent company of the surviving company; or (c) the adoption of a plan relating to the liquidation or dissolution of such party. For purposes of this definition, the terms “group” and “beneficial ownership” shall have the meaning accorded in the U.S. Securities Exchange Act of 1934 and the regulations promulgated thereunder in effect as of the Effective Date.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1.16 </w:t>
      </w:r>
      <w:r>
        <w:rPr>
          <w:rFonts w:ascii="Arial" w:cs="Arial" w:eastAsia="Arial" w:hAnsi="Arial"/>
          <w:sz w:val="16"/>
          <w:szCs w:val="16"/>
          <w:color w:val="auto"/>
        </w:rPr>
        <w:t>“</w:t>
      </w:r>
      <w:r>
        <w:rPr>
          <w:rFonts w:ascii="Arial" w:cs="Arial" w:eastAsia="Arial" w:hAnsi="Arial"/>
          <w:sz w:val="16"/>
          <w:szCs w:val="16"/>
          <w:b w:val="1"/>
          <w:bCs w:val="1"/>
          <w:color w:val="auto"/>
        </w:rPr>
        <w:t>Clinical Trial Report</w:t>
      </w:r>
      <w:r>
        <w:rPr>
          <w:rFonts w:ascii="Arial" w:cs="Arial" w:eastAsia="Arial" w:hAnsi="Arial"/>
          <w:sz w:val="16"/>
          <w:szCs w:val="16"/>
          <w:color w:val="auto"/>
        </w:rPr>
        <w:t>” means, with respect to a human clinical study of a Product, the final study report from such clinical study.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1.17 “Closing Date” </w:t>
      </w:r>
      <w:r>
        <w:rPr>
          <w:rFonts w:ascii="Arial" w:cs="Arial" w:eastAsia="Arial" w:hAnsi="Arial"/>
          <w:sz w:val="18"/>
          <w:szCs w:val="18"/>
          <w:color w:val="auto"/>
        </w:rPr>
        <w:t>shall mean the date of the Closing as defined in the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color w:val="auto"/>
        </w:rPr>
        <w:t>“</w:t>
      </w:r>
      <w:r>
        <w:rPr>
          <w:rFonts w:ascii="Arial" w:cs="Arial" w:eastAsia="Arial" w:hAnsi="Arial"/>
          <w:sz w:val="18"/>
          <w:szCs w:val="18"/>
          <w:b w:val="1"/>
          <w:bCs w:val="1"/>
          <w:color w:val="auto"/>
        </w:rPr>
        <w:t>CNS</w:t>
      </w:r>
      <w:r>
        <w:rPr>
          <w:rFonts w:ascii="Arial" w:cs="Arial" w:eastAsia="Arial" w:hAnsi="Arial"/>
          <w:sz w:val="18"/>
          <w:szCs w:val="18"/>
          <w:color w:val="auto"/>
        </w:rPr>
        <w:t>” means the central nervous system.</w:t>
      </w:r>
    </w:p>
    <w:p>
      <w:pPr>
        <w:spacing w:after="0" w:line="117"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 xml:space="preserve">Section 1.19 </w:t>
      </w:r>
      <w:r>
        <w:rPr>
          <w:rFonts w:ascii="Arial" w:cs="Arial" w:eastAsia="Arial" w:hAnsi="Arial"/>
          <w:sz w:val="18"/>
          <w:szCs w:val="18"/>
          <w:color w:val="auto"/>
        </w:rPr>
        <w:t>“</w:t>
      </w:r>
      <w:r>
        <w:rPr>
          <w:rFonts w:ascii="Arial" w:cs="Arial" w:eastAsia="Arial" w:hAnsi="Arial"/>
          <w:sz w:val="18"/>
          <w:szCs w:val="18"/>
          <w:b w:val="1"/>
          <w:bCs w:val="1"/>
          <w:color w:val="auto"/>
        </w:rPr>
        <w:t>CNS Diseases</w:t>
      </w:r>
      <w:r>
        <w:rPr>
          <w:rFonts w:ascii="Arial" w:cs="Arial" w:eastAsia="Arial" w:hAnsi="Arial"/>
          <w:sz w:val="18"/>
          <w:szCs w:val="18"/>
          <w:color w:val="auto"/>
        </w:rPr>
        <w:t>” means all diseases, the effects of which manifest primarily in the CNS, regardless of whether the source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diseases is in the CNS, including, without limitation, [***], but excluding [***]. For clarity, as used herein, CNS Diseases do not include Non-CNS Diseases.</w:t>
      </w:r>
    </w:p>
    <w:p>
      <w:pPr>
        <w:spacing w:after="0" w:line="6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Section 1.20 </w:t>
      </w: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those efforts and resources commensurate with those efforts [***]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Exploitation of pharmaceutical products that are of similar development stage and status, taking into account the proprietary position of the product (including intellectual property scope, subject matter and coverage), safety and efficacy, product profile, competitiveness of the marketplace, the regulatory status and approval process, anticipated or approved labeling, present and future market potential, the probable profitability of the applicable product (including pricing and reimbursement status achieved or likely to be achieved) and other relevant factors such as technical, legal, scientific or medical factors. In determining the level of efforts constituting “</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the following shall not be taken into account: (a) [***], or (b) [***].</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8.1.1 (Confidential Information).</w:t>
      </w:r>
    </w:p>
    <w:p>
      <w:pPr>
        <w:spacing w:after="0" w:line="117"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Section 1.22 </w:t>
      </w: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or “</w:t>
      </w:r>
      <w:r>
        <w:rPr>
          <w:rFonts w:ascii="Arial" w:cs="Arial" w:eastAsia="Arial" w:hAnsi="Arial"/>
          <w:sz w:val="16"/>
          <w:szCs w:val="16"/>
          <w:b w:val="1"/>
          <w:bCs w:val="1"/>
          <w:color w:val="auto"/>
        </w:rPr>
        <w:t>Controlled</w:t>
      </w:r>
      <w:r>
        <w:rPr>
          <w:rFonts w:ascii="Arial" w:cs="Arial" w:eastAsia="Arial" w:hAnsi="Arial"/>
          <w:sz w:val="16"/>
          <w:szCs w:val="16"/>
          <w:color w:val="auto"/>
        </w:rPr>
        <w:t>” means, with respect to any Know-How, material, Patent Right, or other intellectual property right, the</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possession (whether by ownership or license) by a Party or its Affiliate of the ability to grant to the other Party a license, sublicense or access as provided herein to such Know-How, material, Patent Right, or other intellectual property right, without violating Laws or the terms of any agreement or other arrangement with any Third Party in existence as of the time such Party or its Affiliates would first be required</w:t>
      </w:r>
    </w:p>
    <w:p>
      <w:pPr>
        <w:spacing w:after="0" w:line="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20"/>
          </w:cols>
          <w:pgMar w:left="880" w:top="270" w:right="499" w:bottom="1440" w:gutter="0" w:footer="0" w:header="0"/>
        </w:sectPr>
      </w:pPr>
    </w:p>
    <w:bookmarkStart w:id="414" w:name="page415"/>
    <w:bookmarkEnd w:id="414"/>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hereunder to grant the other Party such license, sublicense or access, or being obligated to pay any additional royalties or other consideration in connection with such license, sublicense or access, unless the Party that would be receiving such license, sublicense or access agrees to reimburse the other Party for the relevant payments.</w:t>
      </w:r>
    </w:p>
    <w:p>
      <w:pPr>
        <w:spacing w:after="0" w:line="7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Section 1.23 </w:t>
      </w:r>
      <w:r>
        <w:rPr>
          <w:rFonts w:ascii="Arial" w:cs="Arial" w:eastAsia="Arial" w:hAnsi="Arial"/>
          <w:sz w:val="18"/>
          <w:szCs w:val="18"/>
          <w:color w:val="auto"/>
        </w:rPr>
        <w:t>“</w:t>
      </w:r>
      <w:r>
        <w:rPr>
          <w:rFonts w:ascii="Arial" w:cs="Arial" w:eastAsia="Arial" w:hAnsi="Arial"/>
          <w:sz w:val="18"/>
          <w:szCs w:val="18"/>
          <w:b w:val="1"/>
          <w:bCs w:val="1"/>
          <w:color w:val="auto"/>
        </w:rPr>
        <w:t>Cover</w:t>
      </w:r>
      <w:r>
        <w:rPr>
          <w:rFonts w:ascii="Arial" w:cs="Arial" w:eastAsia="Arial" w:hAnsi="Arial"/>
          <w:sz w:val="18"/>
          <w:szCs w:val="18"/>
          <w:color w:val="auto"/>
        </w:rPr>
        <w:t>” means (a) with respect to Know-How, such Know-How was used in the Exploitation of a Licensed Compound,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Compound, or Product, and (b) with respect to a Patent Right, a Valid Claim would (absent a license thereunder or ownership thereof) be Infringed by the Exploitation of a Licensed Compound, Program Compound, or Product;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xml:space="preserve"> that in determining whether a Valid Claim that is a claim of a pending application would be Infringed, it shall be treated as if issued as then currently being prosecuted. Cognates of the word “</w:t>
      </w:r>
      <w:r>
        <w:rPr>
          <w:rFonts w:ascii="Arial" w:cs="Arial" w:eastAsia="Arial" w:hAnsi="Arial"/>
          <w:sz w:val="18"/>
          <w:szCs w:val="18"/>
          <w:b w:val="1"/>
          <w:bCs w:val="1"/>
          <w:color w:val="auto"/>
        </w:rPr>
        <w:t>Cover</w:t>
      </w:r>
      <w:r>
        <w:rPr>
          <w:rFonts w:ascii="Arial" w:cs="Arial" w:eastAsia="Arial" w:hAnsi="Arial"/>
          <w:sz w:val="18"/>
          <w:szCs w:val="18"/>
          <w:color w:val="auto"/>
        </w:rPr>
        <w:t>” shall have correlative meanings.</w:t>
      </w:r>
    </w:p>
    <w:p>
      <w:pPr>
        <w:spacing w:after="0" w:line="7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color w:val="auto"/>
        </w:rPr>
        <w:t>“</w:t>
      </w:r>
      <w:r>
        <w:rPr>
          <w:rFonts w:ascii="Arial" w:cs="Arial" w:eastAsia="Arial" w:hAnsi="Arial"/>
          <w:sz w:val="18"/>
          <w:szCs w:val="18"/>
          <w:b w:val="1"/>
          <w:bCs w:val="1"/>
          <w:color w:val="auto"/>
        </w:rPr>
        <w:t>Covered Individuals and Entities</w:t>
      </w:r>
      <w:r>
        <w:rPr>
          <w:rFonts w:ascii="Arial" w:cs="Arial" w:eastAsia="Arial" w:hAnsi="Arial"/>
          <w:sz w:val="18"/>
          <w:szCs w:val="18"/>
          <w:color w:val="auto"/>
        </w:rPr>
        <w:t>” (or, in the singular, “</w:t>
      </w:r>
      <w:r>
        <w:rPr>
          <w:rFonts w:ascii="Arial" w:cs="Arial" w:eastAsia="Arial" w:hAnsi="Arial"/>
          <w:sz w:val="18"/>
          <w:szCs w:val="18"/>
          <w:b w:val="1"/>
          <w:bCs w:val="1"/>
          <w:color w:val="auto"/>
        </w:rPr>
        <w:t>Covered Individual and Entity</w:t>
      </w:r>
      <w:r>
        <w:rPr>
          <w:rFonts w:ascii="Arial" w:cs="Arial" w:eastAsia="Arial" w:hAnsi="Arial"/>
          <w:sz w:val="18"/>
          <w:szCs w:val="18"/>
          <w:color w:val="auto"/>
        </w:rPr>
        <w:t>”) means any one or more of an HCP,</w:t>
      </w:r>
      <w:r>
        <w:rPr>
          <w:rFonts w:ascii="Arial" w:cs="Arial" w:eastAsia="Arial" w:hAnsi="Arial"/>
          <w:sz w:val="18"/>
          <w:szCs w:val="18"/>
          <w:b w:val="1"/>
          <w:bCs w:val="1"/>
          <w:color w:val="auto"/>
        </w:rPr>
        <w:t xml:space="preserve"> </w:t>
      </w:r>
      <w:r>
        <w:rPr>
          <w:rFonts w:ascii="Arial" w:cs="Arial" w:eastAsia="Arial" w:hAnsi="Arial"/>
          <w:sz w:val="18"/>
          <w:szCs w:val="18"/>
          <w:color w:val="auto"/>
        </w:rPr>
        <w:t>HCI, Payer, Purchaser, Healthcare Industry Professional Society and Trade Association.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1.25 </w:t>
      </w:r>
      <w:r>
        <w:rPr>
          <w:rFonts w:ascii="Arial" w:cs="Arial" w:eastAsia="Arial" w:hAnsi="Arial"/>
          <w:sz w:val="18"/>
          <w:szCs w:val="18"/>
          <w:color w:val="auto"/>
        </w:rPr>
        <w:t>“</w:t>
      </w:r>
      <w:r>
        <w:rPr>
          <w:rFonts w:ascii="Arial" w:cs="Arial" w:eastAsia="Arial" w:hAnsi="Arial"/>
          <w:sz w:val="18"/>
          <w:szCs w:val="18"/>
          <w:b w:val="1"/>
          <w:bCs w:val="1"/>
          <w:color w:val="auto"/>
        </w:rPr>
        <w:t>Defending Party</w:t>
      </w:r>
      <w:r>
        <w:rPr>
          <w:rFonts w:ascii="Arial" w:cs="Arial" w:eastAsia="Arial" w:hAnsi="Arial"/>
          <w:sz w:val="18"/>
          <w:szCs w:val="18"/>
          <w:color w:val="auto"/>
        </w:rPr>
        <w:t>” has the meaning set forth in Section 4.5 (Defense of Third Party Claims).</w:t>
      </w:r>
    </w:p>
    <w:p>
      <w:pPr>
        <w:spacing w:after="0" w:line="11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Section 1.26 </w:t>
      </w:r>
      <w:r>
        <w:rPr>
          <w:rFonts w:ascii="Arial" w:cs="Arial" w:eastAsia="Arial" w:hAnsi="Arial"/>
          <w:sz w:val="18"/>
          <w:szCs w:val="18"/>
          <w:color w:val="auto"/>
        </w:rPr>
        <w:t>“</w:t>
      </w:r>
      <w:r>
        <w:rPr>
          <w:rFonts w:ascii="Arial" w:cs="Arial" w:eastAsia="Arial" w:hAnsi="Arial"/>
          <w:sz w:val="18"/>
          <w:szCs w:val="18"/>
          <w:b w:val="1"/>
          <w:bCs w:val="1"/>
          <w:color w:val="auto"/>
        </w:rPr>
        <w:t>De Novo Compound</w:t>
      </w:r>
      <w:r>
        <w:rPr>
          <w:rFonts w:ascii="Arial" w:cs="Arial" w:eastAsia="Arial" w:hAnsi="Arial"/>
          <w:sz w:val="18"/>
          <w:szCs w:val="18"/>
          <w:color w:val="auto"/>
        </w:rPr>
        <w:t>” means any and all compounds that are discovered, researched, developed or otherwise Exploited by RBNC</w:t>
      </w:r>
      <w:r>
        <w:rPr>
          <w:rFonts w:ascii="Arial" w:cs="Arial" w:eastAsia="Arial" w:hAnsi="Arial"/>
          <w:sz w:val="18"/>
          <w:szCs w:val="18"/>
          <w:b w:val="1"/>
          <w:bCs w:val="1"/>
          <w:color w:val="auto"/>
        </w:rPr>
        <w:t xml:space="preserve"> </w:t>
      </w:r>
      <w:r>
        <w:rPr>
          <w:rFonts w:ascii="Arial" w:cs="Arial" w:eastAsia="Arial" w:hAnsi="Arial"/>
          <w:sz w:val="18"/>
          <w:szCs w:val="18"/>
          <w:color w:val="auto"/>
        </w:rPr>
        <w:t>or its Affiliates or Sublicensees during the Term that are Directed to GCase, but specifically excluding all Licensed Compounds and Program Compounds.</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Section 1.27 </w:t>
      </w:r>
      <w:r>
        <w:rPr>
          <w:rFonts w:ascii="Arial" w:cs="Arial" w:eastAsia="Arial" w:hAnsi="Arial"/>
          <w:sz w:val="18"/>
          <w:szCs w:val="18"/>
          <w:color w:val="auto"/>
        </w:rPr>
        <w:t>“</w:t>
      </w:r>
      <w:r>
        <w:rPr>
          <w:rFonts w:ascii="Arial" w:cs="Arial" w:eastAsia="Arial" w:hAnsi="Arial"/>
          <w:sz w:val="18"/>
          <w:szCs w:val="18"/>
          <w:b w:val="1"/>
          <w:bCs w:val="1"/>
          <w:color w:val="auto"/>
        </w:rPr>
        <w:t>De Novo Product</w:t>
      </w:r>
      <w:r>
        <w:rPr>
          <w:rFonts w:ascii="Arial" w:cs="Arial" w:eastAsia="Arial" w:hAnsi="Arial"/>
          <w:sz w:val="18"/>
          <w:szCs w:val="18"/>
          <w:color w:val="auto"/>
        </w:rPr>
        <w:t>” means any pharmaceutical or biopharmaceutical product containing a De Novo Compound in any form or</w:t>
      </w:r>
      <w:r>
        <w:rPr>
          <w:rFonts w:ascii="Arial" w:cs="Arial" w:eastAsia="Arial" w:hAnsi="Arial"/>
          <w:sz w:val="18"/>
          <w:szCs w:val="18"/>
          <w:b w:val="1"/>
          <w:bCs w:val="1"/>
          <w:color w:val="auto"/>
        </w:rPr>
        <w:t xml:space="preserve"> </w:t>
      </w:r>
      <w:r>
        <w:rPr>
          <w:rFonts w:ascii="Arial" w:cs="Arial" w:eastAsia="Arial" w:hAnsi="Arial"/>
          <w:sz w:val="18"/>
          <w:szCs w:val="18"/>
          <w:color w:val="auto"/>
        </w:rPr>
        <w:t>formulation, provided that if a product also includes any Licensed Compound or Program Compound, such product constitutes a “Product” not a De Novo Product.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1.28 </w:t>
      </w:r>
      <w:r>
        <w:rPr>
          <w:rFonts w:ascii="Arial" w:cs="Arial" w:eastAsia="Arial" w:hAnsi="Arial"/>
          <w:sz w:val="18"/>
          <w:szCs w:val="18"/>
          <w:color w:val="auto"/>
        </w:rPr>
        <w:t>“</w:t>
      </w:r>
      <w:r>
        <w:rPr>
          <w:rFonts w:ascii="Arial" w:cs="Arial" w:eastAsia="Arial" w:hAnsi="Arial"/>
          <w:sz w:val="18"/>
          <w:szCs w:val="18"/>
          <w:b w:val="1"/>
          <w:bCs w:val="1"/>
          <w:color w:val="auto"/>
        </w:rPr>
        <w:t>Directed to</w:t>
      </w:r>
      <w:r>
        <w:rPr>
          <w:rFonts w:ascii="Arial" w:cs="Arial" w:eastAsia="Arial" w:hAnsi="Arial"/>
          <w:sz w:val="18"/>
          <w:szCs w:val="18"/>
          <w:color w:val="auto"/>
        </w:rPr>
        <w:t>” means, with respect to GCase, that a compound or product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1.29 </w:t>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set forth in Section 8.1.1 (Confidential Information).</w:t>
      </w:r>
    </w:p>
    <w:p>
      <w:pPr>
        <w:spacing w:after="0" w:line="117"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 xml:space="preserve">Section 1.30 </w:t>
      </w:r>
      <w:r>
        <w:rPr>
          <w:rFonts w:ascii="Arial" w:cs="Arial" w:eastAsia="Arial" w:hAnsi="Arial"/>
          <w:sz w:val="16"/>
          <w:szCs w:val="16"/>
          <w:color w:val="auto"/>
        </w:rPr>
        <w:t>“</w:t>
      </w:r>
      <w:r>
        <w:rPr>
          <w:rFonts w:ascii="Arial" w:cs="Arial" w:eastAsia="Arial" w:hAnsi="Arial"/>
          <w:sz w:val="16"/>
          <w:szCs w:val="16"/>
          <w:b w:val="1"/>
          <w:bCs w:val="1"/>
          <w:color w:val="auto"/>
        </w:rPr>
        <w:t>Distracting Product</w:t>
      </w:r>
      <w:r>
        <w:rPr>
          <w:rFonts w:ascii="Arial" w:cs="Arial" w:eastAsia="Arial" w:hAnsi="Arial"/>
          <w:sz w:val="16"/>
          <w:szCs w:val="16"/>
          <w:color w:val="auto"/>
        </w:rPr>
        <w:t>” means any compound or product (other than a Licensed Compound or Program Compound or a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as a sole active ingredient a Licensed Compound or Program Compound) that is Directed to GCase, including without limitation a De Novo Product, unless and until RBNC has elected to treat such compound or product as a “Newly Added Product” pursuant to Section 5.4.2.</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1.31 </w:t>
      </w:r>
      <w:r>
        <w:rPr>
          <w:rFonts w:ascii="Arial" w:cs="Arial" w:eastAsia="Arial" w:hAnsi="Arial"/>
          <w:sz w:val="18"/>
          <w:szCs w:val="18"/>
          <w:color w:val="auto"/>
        </w:rPr>
        <w:t>“</w:t>
      </w:r>
      <w:r>
        <w:rPr>
          <w:rFonts w:ascii="Arial" w:cs="Arial" w:eastAsia="Arial" w:hAnsi="Arial"/>
          <w:sz w:val="18"/>
          <w:szCs w:val="18"/>
          <w:b w:val="1"/>
          <w:bCs w:val="1"/>
          <w:color w:val="auto"/>
        </w:rPr>
        <w:t>Distracting Program</w:t>
      </w:r>
      <w:r>
        <w:rPr>
          <w:rFonts w:ascii="Arial" w:cs="Arial" w:eastAsia="Arial" w:hAnsi="Arial"/>
          <w:sz w:val="18"/>
          <w:szCs w:val="18"/>
          <w:color w:val="auto"/>
        </w:rPr>
        <w:t>” means the clinical development, commercialization or manufacture of any Distracting Product.</w:t>
      </w:r>
    </w:p>
    <w:p>
      <w:pPr>
        <w:spacing w:after="0" w:line="117"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 xml:space="preserve">Section 1.32 </w:t>
      </w:r>
      <w:r>
        <w:rPr>
          <w:rFonts w:ascii="Arial" w:cs="Arial" w:eastAsia="Arial" w:hAnsi="Arial"/>
          <w:sz w:val="16"/>
          <w:szCs w:val="16"/>
          <w:color w:val="auto"/>
        </w:rPr>
        <w:t>“</w:t>
      </w:r>
      <w:r>
        <w:rPr>
          <w:rFonts w:ascii="Arial" w:cs="Arial" w:eastAsia="Arial" w:hAnsi="Arial"/>
          <w:sz w:val="16"/>
          <w:szCs w:val="16"/>
          <w:b w:val="1"/>
          <w:bCs w:val="1"/>
          <w:color w:val="auto"/>
        </w:rPr>
        <w:t>Distracting Transaction</w:t>
      </w:r>
      <w:r>
        <w:rPr>
          <w:rFonts w:ascii="Arial" w:cs="Arial" w:eastAsia="Arial" w:hAnsi="Arial"/>
          <w:sz w:val="16"/>
          <w:szCs w:val="16"/>
          <w:color w:val="auto"/>
        </w:rPr>
        <w:t>” means any transaction entered into by RBNC, its Sublicensee or its or their Affiliates after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whereby a Third Party that is actively engaged in a Distracting Program becomes an Affiliate of RBNC or an Affiliate of its Sublicensee.</w:t>
      </w:r>
    </w:p>
    <w:p>
      <w:pPr>
        <w:spacing w:after="0" w:line="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Section 1.33 </w:t>
      </w:r>
      <w:r>
        <w:rPr>
          <w:rFonts w:ascii="Arial" w:cs="Arial" w:eastAsia="Arial" w:hAnsi="Arial"/>
          <w:sz w:val="18"/>
          <w:szCs w:val="18"/>
          <w:color w:val="auto"/>
        </w:rPr>
        <w:t>“</w:t>
      </w:r>
      <w:r>
        <w:rPr>
          <w:rFonts w:ascii="Arial" w:cs="Arial" w:eastAsia="Arial" w:hAnsi="Arial"/>
          <w:sz w:val="18"/>
          <w:szCs w:val="18"/>
          <w:b w:val="1"/>
          <w:bCs w:val="1"/>
          <w:color w:val="auto"/>
        </w:rPr>
        <w:t>Distracting Transaction Affiliates</w:t>
      </w:r>
      <w:r>
        <w:rPr>
          <w:rFonts w:ascii="Arial" w:cs="Arial" w:eastAsia="Arial" w:hAnsi="Arial"/>
          <w:sz w:val="18"/>
          <w:szCs w:val="18"/>
          <w:color w:val="auto"/>
        </w:rPr>
        <w:t>” means those entities that are or would become Affiliates of RBNC or its Sublicensee,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by virtue of a Distracting Transaction.</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415" w:name="page416"/>
    <w:bookmarkEnd w:id="415"/>
    <w:p>
      <w:pPr>
        <w:ind w:right="10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1.34 </w:t>
      </w:r>
      <w:r>
        <w:rPr>
          <w:rFonts w:ascii="Arial" w:cs="Arial" w:eastAsia="Arial" w:hAnsi="Arial"/>
          <w:sz w:val="18"/>
          <w:szCs w:val="18"/>
          <w:color w:val="auto"/>
        </w:rPr>
        <w:t>“</w:t>
      </w:r>
      <w:r>
        <w:rPr>
          <w:rFonts w:ascii="Arial" w:cs="Arial" w:eastAsia="Arial" w:hAnsi="Arial"/>
          <w:sz w:val="18"/>
          <w:szCs w:val="18"/>
          <w:b w:val="1"/>
          <w:bCs w:val="1"/>
          <w:color w:val="auto"/>
        </w:rPr>
        <w:t>Divest</w:t>
      </w:r>
      <w:r>
        <w:rPr>
          <w:rFonts w:ascii="Arial" w:cs="Arial" w:eastAsia="Arial" w:hAnsi="Arial"/>
          <w:sz w:val="18"/>
          <w:szCs w:val="18"/>
          <w:color w:val="auto"/>
        </w:rPr>
        <w:t>” means, with respect to any Distracting Program, the sale, exclusive license or other transfer of all of the right, title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and to such Distracting Program, including technology, Know-How, intellectual property and other assets exclusively relating thereto, to an independent Third Party, without the retention or reservation of any rights or interest (other than solely an economic interest) in such Distracting Program by the relevant Party or its Affiliates.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1.35 </w:t>
      </w: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U.S. Dollars.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1.36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Section 9.1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1.37 </w:t>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entity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1.38 </w:t>
      </w:r>
      <w:r>
        <w:rPr>
          <w:rFonts w:ascii="Arial" w:cs="Arial" w:eastAsia="Arial" w:hAnsi="Arial"/>
          <w:sz w:val="18"/>
          <w:szCs w:val="18"/>
          <w:color w:val="auto"/>
        </w:rPr>
        <w:t>“</w:t>
      </w:r>
      <w:r>
        <w:rPr>
          <w:rFonts w:ascii="Arial" w:cs="Arial" w:eastAsia="Arial" w:hAnsi="Arial"/>
          <w:sz w:val="18"/>
          <w:szCs w:val="18"/>
          <w:b w:val="1"/>
          <w:bCs w:val="1"/>
          <w:color w:val="auto"/>
        </w:rPr>
        <w:t>Enforcing Party</w:t>
      </w:r>
      <w:r>
        <w:rPr>
          <w:rFonts w:ascii="Arial" w:cs="Arial" w:eastAsia="Arial" w:hAnsi="Arial"/>
          <w:sz w:val="18"/>
          <w:szCs w:val="18"/>
          <w:color w:val="auto"/>
        </w:rPr>
        <w:t>” has the meaning set forth in Section 4.4.3 (Progress Reports).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1.39 “Equity Agreements” </w:t>
      </w:r>
      <w:r>
        <w:rPr>
          <w:rFonts w:ascii="Arial" w:cs="Arial" w:eastAsia="Arial" w:hAnsi="Arial"/>
          <w:sz w:val="18"/>
          <w:szCs w:val="18"/>
          <w:color w:val="auto"/>
        </w:rPr>
        <w:t>has the meaning set forth in the recitals hereto.</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Section 1.40 </w:t>
      </w:r>
      <w:r>
        <w:rPr>
          <w:rFonts w:ascii="Arial" w:cs="Arial" w:eastAsia="Arial" w:hAnsi="Arial"/>
          <w:sz w:val="18"/>
          <w:szCs w:val="18"/>
          <w:color w:val="auto"/>
        </w:rPr>
        <w:t>“</w:t>
      </w:r>
      <w:r>
        <w:rPr>
          <w:rFonts w:ascii="Arial" w:cs="Arial" w:eastAsia="Arial" w:hAnsi="Arial"/>
          <w:sz w:val="18"/>
          <w:szCs w:val="18"/>
          <w:b w:val="1"/>
          <w:bCs w:val="1"/>
          <w:color w:val="auto"/>
        </w:rPr>
        <w:t xml:space="preserve">Excluded Compounds” </w:t>
      </w:r>
      <w:r>
        <w:rPr>
          <w:rFonts w:ascii="Arial" w:cs="Arial" w:eastAsia="Arial" w:hAnsi="Arial"/>
          <w:sz w:val="18"/>
          <w:szCs w:val="18"/>
          <w:color w:val="auto"/>
        </w:rPr>
        <w:t>means compounds or products that [***] GCase [***], including without limitation, any GCase Directed</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Compounds.</w:t>
      </w:r>
    </w:p>
    <w:p>
      <w:pPr>
        <w:spacing w:after="0" w:line="54" w:lineRule="exact"/>
        <w:rPr>
          <w:sz w:val="20"/>
          <w:szCs w:val="20"/>
          <w:color w:val="auto"/>
        </w:rPr>
      </w:pPr>
    </w:p>
    <w:p>
      <w:pPr>
        <w:ind w:right="340"/>
        <w:spacing w:after="0" w:line="312" w:lineRule="auto"/>
        <w:rPr>
          <w:sz w:val="20"/>
          <w:szCs w:val="20"/>
          <w:color w:val="auto"/>
        </w:rPr>
      </w:pPr>
      <w:r>
        <w:rPr>
          <w:rFonts w:ascii="Arial" w:cs="Arial" w:eastAsia="Arial" w:hAnsi="Arial"/>
          <w:sz w:val="17"/>
          <w:szCs w:val="17"/>
          <w:b w:val="1"/>
          <w:bCs w:val="1"/>
          <w:color w:val="auto"/>
        </w:rPr>
        <w:t xml:space="preserve">Section 1.41 </w:t>
      </w:r>
      <w:r>
        <w:rPr>
          <w:rFonts w:ascii="Arial" w:cs="Arial" w:eastAsia="Arial" w:hAnsi="Arial"/>
          <w:sz w:val="17"/>
          <w:szCs w:val="17"/>
          <w:color w:val="auto"/>
        </w:rPr>
        <w:t>“</w:t>
      </w:r>
      <w:r>
        <w:rPr>
          <w:rFonts w:ascii="Arial" w:cs="Arial" w:eastAsia="Arial" w:hAnsi="Arial"/>
          <w:sz w:val="17"/>
          <w:szCs w:val="17"/>
          <w:b w:val="1"/>
          <w:bCs w:val="1"/>
          <w:color w:val="auto"/>
        </w:rPr>
        <w:t>Exclusively Licensed Know-How</w:t>
      </w:r>
      <w:r>
        <w:rPr>
          <w:rFonts w:ascii="Arial" w:cs="Arial" w:eastAsia="Arial" w:hAnsi="Arial"/>
          <w:sz w:val="17"/>
          <w:szCs w:val="17"/>
          <w:color w:val="auto"/>
        </w:rPr>
        <w:t>” means the Licensed Compounds (and their corresponding chemical structures) and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Materials to the extent such Licensed Materials are the physical embodiment of the Licensed Compounds.</w:t>
      </w:r>
    </w:p>
    <w:p>
      <w:pPr>
        <w:spacing w:after="0" w:line="32"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 xml:space="preserve">Section 1.42 </w:t>
      </w:r>
      <w:r>
        <w:rPr>
          <w:rFonts w:ascii="Arial" w:cs="Arial" w:eastAsia="Arial" w:hAnsi="Arial"/>
          <w:sz w:val="17"/>
          <w:szCs w:val="17"/>
          <w:color w:val="auto"/>
        </w:rPr>
        <w:t>“</w:t>
      </w:r>
      <w:r>
        <w:rPr>
          <w:rFonts w:ascii="Arial" w:cs="Arial" w:eastAsia="Arial" w:hAnsi="Arial"/>
          <w:sz w:val="17"/>
          <w:szCs w:val="17"/>
          <w:b w:val="1"/>
          <w:bCs w:val="1"/>
          <w:color w:val="auto"/>
        </w:rPr>
        <w:t>Exploit</w:t>
      </w:r>
      <w:r>
        <w:rPr>
          <w:rFonts w:ascii="Arial" w:cs="Arial" w:eastAsia="Arial" w:hAnsi="Arial"/>
          <w:sz w:val="17"/>
          <w:szCs w:val="17"/>
          <w:color w:val="auto"/>
        </w:rPr>
        <w:t>” means to research, develop, make, have made, use, offer for sale, sell, import, export, commercialize or otherwise exploit,</w:t>
      </w:r>
      <w:r>
        <w:rPr>
          <w:rFonts w:ascii="Arial" w:cs="Arial" w:eastAsia="Arial" w:hAnsi="Arial"/>
          <w:sz w:val="17"/>
          <w:szCs w:val="17"/>
          <w:b w:val="1"/>
          <w:bCs w:val="1"/>
          <w:color w:val="auto"/>
        </w:rPr>
        <w:t xml:space="preserve"> </w:t>
      </w:r>
      <w:r>
        <w:rPr>
          <w:rFonts w:ascii="Arial" w:cs="Arial" w:eastAsia="Arial" w:hAnsi="Arial"/>
          <w:sz w:val="17"/>
          <w:szCs w:val="17"/>
          <w:color w:val="auto"/>
        </w:rPr>
        <w:t>or transfer possession of or title in, a compound or product. Cognates of the word “</w:t>
      </w:r>
      <w:r>
        <w:rPr>
          <w:rFonts w:ascii="Arial" w:cs="Arial" w:eastAsia="Arial" w:hAnsi="Arial"/>
          <w:sz w:val="17"/>
          <w:szCs w:val="17"/>
          <w:b w:val="1"/>
          <w:bCs w:val="1"/>
          <w:color w:val="auto"/>
        </w:rPr>
        <w:t>Exploit</w:t>
      </w:r>
      <w:r>
        <w:rPr>
          <w:rFonts w:ascii="Arial" w:cs="Arial" w:eastAsia="Arial" w:hAnsi="Arial"/>
          <w:sz w:val="17"/>
          <w:szCs w:val="17"/>
          <w:color w:val="auto"/>
        </w:rPr>
        <w:t>” shall have correlative meanings.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1.43 </w:t>
      </w:r>
      <w:r>
        <w:rPr>
          <w:rFonts w:ascii="Arial" w:cs="Arial" w:eastAsia="Arial" w:hAnsi="Arial"/>
          <w:sz w:val="18"/>
          <w:szCs w:val="18"/>
          <w:color w:val="auto"/>
        </w:rPr>
        <w:t>“</w:t>
      </w:r>
      <w:r>
        <w:rPr>
          <w:rFonts w:ascii="Arial" w:cs="Arial" w:eastAsia="Arial" w:hAnsi="Arial"/>
          <w:sz w:val="18"/>
          <w:szCs w:val="18"/>
          <w:b w:val="1"/>
          <w:bCs w:val="1"/>
          <w:color w:val="auto"/>
        </w:rPr>
        <w:t>Failure to Conclude License</w:t>
      </w:r>
      <w:r>
        <w:rPr>
          <w:rFonts w:ascii="Arial" w:cs="Arial" w:eastAsia="Arial" w:hAnsi="Arial"/>
          <w:sz w:val="18"/>
          <w:szCs w:val="18"/>
          <w:color w:val="auto"/>
        </w:rPr>
        <w:t>” has the meaning set forth in Section 2.4.3 (Exclusive Right of First Negotiation).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1.44 </w:t>
      </w:r>
      <w:r>
        <w:rPr>
          <w:rFonts w:ascii="Arial" w:cs="Arial" w:eastAsia="Arial" w:hAnsi="Arial"/>
          <w:sz w:val="18"/>
          <w:szCs w:val="18"/>
          <w:color w:val="auto"/>
        </w:rPr>
        <w:t>“</w:t>
      </w:r>
      <w:r>
        <w:rPr>
          <w:rFonts w:ascii="Arial" w:cs="Arial" w:eastAsia="Arial" w:hAnsi="Arial"/>
          <w:sz w:val="18"/>
          <w:szCs w:val="18"/>
          <w:b w:val="1"/>
          <w:bCs w:val="1"/>
          <w:color w:val="auto"/>
        </w:rPr>
        <w:t>Failure to Indicate Interest</w:t>
      </w:r>
      <w:r>
        <w:rPr>
          <w:rFonts w:ascii="Arial" w:cs="Arial" w:eastAsia="Arial" w:hAnsi="Arial"/>
          <w:sz w:val="18"/>
          <w:szCs w:val="18"/>
          <w:color w:val="auto"/>
        </w:rPr>
        <w:t>” has the meaning set forth in Section 2.4.3 (Exclusive Right of First Negotiation).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1.45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entity thereto.</w:t>
      </w:r>
    </w:p>
    <w:p>
      <w:pPr>
        <w:spacing w:after="0" w:line="1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Section 1.46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product in any country, the first sale for end use or consumption of such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 such country after Marketing Approval has been granted in such country. First Commercial Sale excludes any sale or other distribution of such product for use in a clinical trial or other development activity, for promotional use (including samples) prior to Marketing Approval or for compassionate use or on a named patient basis.</w:t>
      </w:r>
    </w:p>
    <w:p>
      <w:pPr>
        <w:spacing w:after="0" w:line="7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Section 1.47 </w:t>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 per hour. The FTE Rate shall be increased by [***] each calendar year, beginning with the [***]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year.</w:t>
      </w:r>
    </w:p>
    <w:p>
      <w:pPr>
        <w:spacing w:after="0" w:line="54"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Section 1.48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the then current generally accepted accounting principles in the United States as established by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Standards Board or any successor entity or other entity generally recognized as having the right to establish such principles in the United States, in each case consistently applied.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1.49 </w:t>
      </w:r>
      <w:r>
        <w:rPr>
          <w:rFonts w:ascii="Arial" w:cs="Arial" w:eastAsia="Arial" w:hAnsi="Arial"/>
          <w:sz w:val="18"/>
          <w:szCs w:val="18"/>
          <w:color w:val="auto"/>
        </w:rPr>
        <w:t>“</w:t>
      </w:r>
      <w:r>
        <w:rPr>
          <w:rFonts w:ascii="Arial" w:cs="Arial" w:eastAsia="Arial" w:hAnsi="Arial"/>
          <w:sz w:val="18"/>
          <w:szCs w:val="18"/>
          <w:b w:val="1"/>
          <w:bCs w:val="1"/>
          <w:color w:val="auto"/>
        </w:rPr>
        <w:t>GCase</w:t>
      </w:r>
      <w:r>
        <w:rPr>
          <w:rFonts w:ascii="Arial" w:cs="Arial" w:eastAsia="Arial" w:hAnsi="Arial"/>
          <w:sz w:val="18"/>
          <w:szCs w:val="18"/>
          <w:color w:val="auto"/>
        </w:rPr>
        <w:t>” means b-Glucocerebrosidase.</w:t>
      </w:r>
    </w:p>
    <w:p>
      <w:pPr>
        <w:spacing w:after="0" w:line="16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880" w:top="270" w:right="519" w:bottom="1440" w:gutter="0" w:footer="0" w:header="0"/>
        </w:sectPr>
      </w:pPr>
    </w:p>
    <w:bookmarkStart w:id="416" w:name="page417"/>
    <w:bookmarkEnd w:id="416"/>
    <w:p>
      <w:pPr>
        <w:ind w:right="1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1.50 </w:t>
      </w:r>
      <w:r>
        <w:rPr>
          <w:rFonts w:ascii="Arial" w:cs="Arial" w:eastAsia="Arial" w:hAnsi="Arial"/>
          <w:sz w:val="18"/>
          <w:szCs w:val="18"/>
          <w:color w:val="auto"/>
        </w:rPr>
        <w:t>“</w:t>
      </w:r>
      <w:r>
        <w:rPr>
          <w:rFonts w:ascii="Arial" w:cs="Arial" w:eastAsia="Arial" w:hAnsi="Arial"/>
          <w:sz w:val="18"/>
          <w:szCs w:val="18"/>
          <w:b w:val="1"/>
          <w:bCs w:val="1"/>
          <w:color w:val="auto"/>
        </w:rPr>
        <w:t>GCase Directed Compound</w:t>
      </w:r>
      <w:r>
        <w:rPr>
          <w:rFonts w:ascii="Arial" w:cs="Arial" w:eastAsia="Arial" w:hAnsi="Arial"/>
          <w:sz w:val="18"/>
          <w:szCs w:val="18"/>
          <w:color w:val="auto"/>
        </w:rPr>
        <w:t>” means, with respect to a Product, the Licensed Compound or Program Compound included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Product.</w:t>
      </w:r>
    </w:p>
    <w:p>
      <w:pPr>
        <w:spacing w:after="0" w:line="54"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b w:val="1"/>
          <w:bCs w:val="1"/>
          <w:color w:val="auto"/>
        </w:rPr>
        <w:t xml:space="preserve">Section 1.51 </w:t>
      </w:r>
      <w:r>
        <w:rPr>
          <w:rFonts w:ascii="Arial" w:cs="Arial" w:eastAsia="Arial" w:hAnsi="Arial"/>
          <w:sz w:val="17"/>
          <w:szCs w:val="17"/>
          <w:color w:val="auto"/>
        </w:rPr>
        <w:t>“</w:t>
      </w:r>
      <w:r>
        <w:rPr>
          <w:rFonts w:ascii="Arial" w:cs="Arial" w:eastAsia="Arial" w:hAnsi="Arial"/>
          <w:sz w:val="17"/>
          <w:szCs w:val="17"/>
          <w:b w:val="1"/>
          <w:bCs w:val="1"/>
          <w:color w:val="auto"/>
        </w:rPr>
        <w:t>Generic Product</w:t>
      </w:r>
      <w:r>
        <w:rPr>
          <w:rFonts w:ascii="Arial" w:cs="Arial" w:eastAsia="Arial" w:hAnsi="Arial"/>
          <w:sz w:val="17"/>
          <w:szCs w:val="17"/>
          <w:color w:val="auto"/>
        </w:rPr>
        <w:t>” means, with respect to a Product in a particular regulatory jurisdiction, on a Product-by-Product and</w:t>
      </w:r>
      <w:r>
        <w:rPr>
          <w:rFonts w:ascii="Arial" w:cs="Arial" w:eastAsia="Arial" w:hAnsi="Arial"/>
          <w:sz w:val="17"/>
          <w:szCs w:val="17"/>
          <w:b w:val="1"/>
          <w:bCs w:val="1"/>
          <w:color w:val="auto"/>
        </w:rPr>
        <w:t xml:space="preserve"> </w:t>
      </w:r>
      <w:r>
        <w:rPr>
          <w:rFonts w:ascii="Arial" w:cs="Arial" w:eastAsia="Arial" w:hAnsi="Arial"/>
          <w:sz w:val="17"/>
          <w:szCs w:val="17"/>
          <w:color w:val="auto"/>
        </w:rPr>
        <w:t>country-by-country basis, any pharmaceutical product (other than a Product under this Agreement) that (a) is approved by the Regulatory Authority in such country for at least one indication for which such Product obtained Marketing Approval from the applicable Regulatory Authority in such jurisdiction through an abbreviated new drug application as defined in 21 U.S.C. 355(j) (or any replacement thereof or any equivalent outside the United States) and (b) is sold in such jurisdiction by a Third Party that is not a Sublicensee and did not purchase such product in a chain of distribution that included any of RBNC or its Affiliates or Sublicensees.</w:t>
      </w:r>
    </w:p>
    <w:p>
      <w:pPr>
        <w:spacing w:after="0" w:line="65" w:lineRule="exact"/>
        <w:rPr>
          <w:sz w:val="20"/>
          <w:szCs w:val="20"/>
          <w:color w:val="auto"/>
        </w:rPr>
      </w:pPr>
    </w:p>
    <w:p>
      <w:pPr>
        <w:jc w:val="both"/>
        <w:ind w:right="440"/>
        <w:spacing w:after="0" w:line="314" w:lineRule="auto"/>
        <w:rPr>
          <w:sz w:val="20"/>
          <w:szCs w:val="20"/>
          <w:color w:val="auto"/>
        </w:rPr>
      </w:pPr>
      <w:r>
        <w:rPr>
          <w:rFonts w:ascii="Arial" w:cs="Arial" w:eastAsia="Arial" w:hAnsi="Arial"/>
          <w:sz w:val="16"/>
          <w:szCs w:val="16"/>
          <w:b w:val="1"/>
          <w:bCs w:val="1"/>
          <w:color w:val="auto"/>
        </w:rPr>
        <w:t xml:space="preserve">Section 1.52 </w:t>
      </w: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 any court, agency, department, authority or other instrumentality of any national, state,</w:t>
      </w:r>
      <w:r>
        <w:rPr>
          <w:rFonts w:ascii="Arial" w:cs="Arial" w:eastAsia="Arial" w:hAnsi="Arial"/>
          <w:sz w:val="16"/>
          <w:szCs w:val="16"/>
          <w:b w:val="1"/>
          <w:bCs w:val="1"/>
          <w:color w:val="auto"/>
        </w:rPr>
        <w:t xml:space="preserve"> </w:t>
      </w:r>
      <w:r>
        <w:rPr>
          <w:rFonts w:ascii="Arial" w:cs="Arial" w:eastAsia="Arial" w:hAnsi="Arial"/>
          <w:sz w:val="16"/>
          <w:szCs w:val="16"/>
          <w:color w:val="auto"/>
        </w:rPr>
        <w:t>county, city or other political subdivision; (b) any public international organization; or (c) any department, agency or instrumentality thereof, including any company, business, enterprise or other entity owned or controlled, in whole or in part, by any government.</w:t>
      </w:r>
    </w:p>
    <w:p>
      <w:pPr>
        <w:spacing w:after="0" w:line="34"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Section 1.53 </w:t>
      </w:r>
      <w:r>
        <w:rPr>
          <w:rFonts w:ascii="Arial" w:cs="Arial" w:eastAsia="Arial" w:hAnsi="Arial"/>
          <w:sz w:val="17"/>
          <w:szCs w:val="17"/>
          <w:color w:val="auto"/>
        </w:rPr>
        <w:t>“</w:t>
      </w:r>
      <w:r>
        <w:rPr>
          <w:rFonts w:ascii="Arial" w:cs="Arial" w:eastAsia="Arial" w:hAnsi="Arial"/>
          <w:sz w:val="17"/>
          <w:szCs w:val="17"/>
          <w:b w:val="1"/>
          <w:bCs w:val="1"/>
          <w:color w:val="auto"/>
        </w:rPr>
        <w:t>Government Official</w:t>
      </w:r>
      <w:r>
        <w:rPr>
          <w:rFonts w:ascii="Arial" w:cs="Arial" w:eastAsia="Arial" w:hAnsi="Arial"/>
          <w:sz w:val="17"/>
          <w:szCs w:val="17"/>
          <w:color w:val="auto"/>
        </w:rPr>
        <w:t>” means (a) any Person employed by or acting on behalf of a Governmental Authority; (b) any political party,</w:t>
      </w:r>
      <w:r>
        <w:rPr>
          <w:rFonts w:ascii="Arial" w:cs="Arial" w:eastAsia="Arial" w:hAnsi="Arial"/>
          <w:sz w:val="17"/>
          <w:szCs w:val="17"/>
          <w:b w:val="1"/>
          <w:bCs w:val="1"/>
          <w:color w:val="auto"/>
        </w:rPr>
        <w:t xml:space="preserve"> </w:t>
      </w:r>
      <w:r>
        <w:rPr>
          <w:rFonts w:ascii="Arial" w:cs="Arial" w:eastAsia="Arial" w:hAnsi="Arial"/>
          <w:sz w:val="17"/>
          <w:szCs w:val="17"/>
          <w:color w:val="auto"/>
        </w:rPr>
        <w:t>party official or candidate; (c) any Person who holds or performs the duties of an appointment, office or position created by custom or convention; and (d) any Person who holds himself out to be the authorized intermediary of any of the foregoing.</w:t>
      </w:r>
    </w:p>
    <w:p>
      <w:pPr>
        <w:spacing w:after="0" w:line="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Section 1.54 </w:t>
      </w:r>
      <w:r>
        <w:rPr>
          <w:rFonts w:ascii="Arial" w:cs="Arial" w:eastAsia="Arial" w:hAnsi="Arial"/>
          <w:sz w:val="16"/>
          <w:szCs w:val="16"/>
          <w:color w:val="auto"/>
        </w:rPr>
        <w:t>“</w:t>
      </w:r>
      <w:r>
        <w:rPr>
          <w:rFonts w:ascii="Arial" w:cs="Arial" w:eastAsia="Arial" w:hAnsi="Arial"/>
          <w:sz w:val="16"/>
          <w:szCs w:val="16"/>
          <w:b w:val="1"/>
          <w:bCs w:val="1"/>
          <w:color w:val="auto"/>
        </w:rPr>
        <w:t>Health Care Laws</w:t>
      </w:r>
      <w:r>
        <w:rPr>
          <w:rFonts w:ascii="Arial" w:cs="Arial" w:eastAsia="Arial" w:hAnsi="Arial"/>
          <w:sz w:val="16"/>
          <w:szCs w:val="16"/>
          <w:color w:val="auto"/>
        </w:rPr>
        <w:t>” means any health care Law applicable to RBNC, AMGEN or its respective Affiliates or by which any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properties, businesses, products or other assets is bound or affected, including, without limitation, the federal Anti-Kickback Statute (42 U.S.C. § 1320a-7b(b)), the Physician Payments Sunshine Act (42 U.S.C Section 1320-7h), the Civil Monetary Penalties Law (42 U.S.C. §</w:t>
      </w:r>
    </w:p>
    <w:p>
      <w:pPr>
        <w:spacing w:after="0" w:line="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1320a-7a(a)), the civil False Claims Act (31 U.S.C. §§ 3729 et seq.), the administrative False Claims Law (42 U.S.C. § 1320a-7b(a)), all criminal Laws relating to health care fraud and abuse, including 18 U.S.C. Sections §§ 286, 287, 1001, 1347 and 1349, and the health care fraud criminal provisions under the Health Insurance Portability and Accountability Act of 1996 (42 U.S.C. § 1320d et seq.), the exclusion laws (42 U.S.C. § 1320a-7), the Food Drug and Cosmetic Act (21 U.S.C. §§ 301 et seq.) (“</w:t>
      </w:r>
      <w:r>
        <w:rPr>
          <w:rFonts w:ascii="Arial" w:cs="Arial" w:eastAsia="Arial" w:hAnsi="Arial"/>
          <w:sz w:val="17"/>
          <w:szCs w:val="17"/>
          <w:b w:val="1"/>
          <w:bCs w:val="1"/>
          <w:color w:val="auto"/>
        </w:rPr>
        <w:t>FD&amp;C Act</w:t>
      </w:r>
      <w:r>
        <w:rPr>
          <w:rFonts w:ascii="Arial" w:cs="Arial" w:eastAsia="Arial" w:hAnsi="Arial"/>
          <w:sz w:val="17"/>
          <w:szCs w:val="17"/>
          <w:color w:val="auto"/>
        </w:rPr>
        <w:t>”), the Public Health Service Act (42 U.S.C. Section 201 et seq.), the Medicare statute (Title XVIII of the Social Security Act), the Medicaid statute (Title XIX of the Social Security Act), the regulations promulgated pursuant to such Laws, and any other similar state or foreign equivalent or Law, each as amended from time to time,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0" w:right="459" w:bottom="1440" w:gutter="0" w:footer="0" w:header="0"/>
        </w:sectPr>
      </w:pPr>
    </w:p>
    <w:bookmarkStart w:id="417" w:name="page418"/>
    <w:bookmarkEnd w:id="417"/>
    <w:p>
      <w:pPr>
        <w:ind w:right="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1.55 </w:t>
      </w:r>
      <w:r>
        <w:rPr>
          <w:rFonts w:ascii="Arial" w:cs="Arial" w:eastAsia="Arial" w:hAnsi="Arial"/>
          <w:sz w:val="17"/>
          <w:szCs w:val="17"/>
          <w:color w:val="auto"/>
        </w:rPr>
        <w:t>“</w:t>
      </w:r>
      <w:r>
        <w:rPr>
          <w:rFonts w:ascii="Arial" w:cs="Arial" w:eastAsia="Arial" w:hAnsi="Arial"/>
          <w:sz w:val="17"/>
          <w:szCs w:val="17"/>
          <w:b w:val="1"/>
          <w:bCs w:val="1"/>
          <w:color w:val="auto"/>
        </w:rPr>
        <w:t>Healthcare Industry Professional Society and Trade Association</w:t>
      </w:r>
      <w:r>
        <w:rPr>
          <w:rFonts w:ascii="Arial" w:cs="Arial" w:eastAsia="Arial" w:hAnsi="Arial"/>
          <w:sz w:val="17"/>
          <w:szCs w:val="17"/>
          <w:color w:val="auto"/>
        </w:rPr>
        <w:t>” means a non-profit or tax exempt healthcare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seeking to further a particular profession, the interests of individuals engaged in that profession, or the public interest (examples of such include without limitation the American Society of Hematology, the North American Society for Dialysis and Transplantation, the American Society of Hypertension, the American Cancer Society and the American Society of Clinical Oncology).</w:t>
      </w:r>
    </w:p>
    <w:p>
      <w:pPr>
        <w:spacing w:after="0" w:line="5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Section 1.56 </w:t>
      </w:r>
      <w:r>
        <w:rPr>
          <w:rFonts w:ascii="Arial" w:cs="Arial" w:eastAsia="Arial" w:hAnsi="Arial"/>
          <w:sz w:val="18"/>
          <w:szCs w:val="18"/>
          <w:color w:val="auto"/>
        </w:rPr>
        <w:t>“</w:t>
      </w:r>
      <w:r>
        <w:rPr>
          <w:rFonts w:ascii="Arial" w:cs="Arial" w:eastAsia="Arial" w:hAnsi="Arial"/>
          <w:sz w:val="18"/>
          <w:szCs w:val="18"/>
          <w:b w:val="1"/>
          <w:bCs w:val="1"/>
          <w:color w:val="auto"/>
        </w:rPr>
        <w:t>Healthcare Institution</w:t>
      </w:r>
      <w:r>
        <w:rPr>
          <w:rFonts w:ascii="Arial" w:cs="Arial" w:eastAsia="Arial" w:hAnsi="Arial"/>
          <w:sz w:val="18"/>
          <w:szCs w:val="18"/>
          <w:color w:val="auto"/>
        </w:rPr>
        <w:t>” or “</w:t>
      </w:r>
      <w:r>
        <w:rPr>
          <w:rFonts w:ascii="Arial" w:cs="Arial" w:eastAsia="Arial" w:hAnsi="Arial"/>
          <w:sz w:val="18"/>
          <w:szCs w:val="18"/>
          <w:b w:val="1"/>
          <w:bCs w:val="1"/>
          <w:color w:val="auto"/>
        </w:rPr>
        <w:t>HCI</w:t>
      </w:r>
      <w:r>
        <w:rPr>
          <w:rFonts w:ascii="Arial" w:cs="Arial" w:eastAsia="Arial" w:hAnsi="Arial"/>
          <w:sz w:val="18"/>
          <w:szCs w:val="18"/>
          <w:color w:val="auto"/>
        </w:rPr>
        <w:t>” means a facility that provides health maintenance, or treats illness and injury, and can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any hospital, convalescent hospital, dialysis center, health clinic, nursing home, extended care facility, or other institution devoted to the care of sick, infirm, or aged persons, and is in a position to purchase or influence a purchasing decision for any human therapeutic product marketed, distributed, or sold, including any service related thereto provided by or on behalf of AMGEN or any of its Affiliates (each an “</w:t>
      </w:r>
      <w:r>
        <w:rPr>
          <w:rFonts w:ascii="Arial" w:cs="Arial" w:eastAsia="Arial" w:hAnsi="Arial"/>
          <w:sz w:val="18"/>
          <w:szCs w:val="18"/>
          <w:b w:val="1"/>
          <w:bCs w:val="1"/>
          <w:color w:val="auto"/>
        </w:rPr>
        <w:t>Amgen Therapeutic Product</w:t>
      </w:r>
      <w:r>
        <w:rPr>
          <w:rFonts w:ascii="Arial" w:cs="Arial" w:eastAsia="Arial" w:hAnsi="Arial"/>
          <w:sz w:val="18"/>
          <w:szCs w:val="18"/>
          <w:color w:val="auto"/>
        </w:rPr>
        <w:t>”).</w:t>
      </w:r>
    </w:p>
    <w:p>
      <w:pPr>
        <w:spacing w:after="0" w:line="7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Section 1.57 </w:t>
      </w:r>
      <w:r>
        <w:rPr>
          <w:rFonts w:ascii="Arial" w:cs="Arial" w:eastAsia="Arial" w:hAnsi="Arial"/>
          <w:sz w:val="18"/>
          <w:szCs w:val="18"/>
          <w:color w:val="auto"/>
        </w:rPr>
        <w:t>“</w:t>
      </w:r>
      <w:r>
        <w:rPr>
          <w:rFonts w:ascii="Arial" w:cs="Arial" w:eastAsia="Arial" w:hAnsi="Arial"/>
          <w:sz w:val="18"/>
          <w:szCs w:val="18"/>
          <w:b w:val="1"/>
          <w:bCs w:val="1"/>
          <w:color w:val="auto"/>
        </w:rPr>
        <w:t>Healthcare Professional</w:t>
      </w:r>
      <w:r>
        <w:rPr>
          <w:rFonts w:ascii="Arial" w:cs="Arial" w:eastAsia="Arial" w:hAnsi="Arial"/>
          <w:sz w:val="18"/>
          <w:szCs w:val="18"/>
          <w:color w:val="auto"/>
        </w:rPr>
        <w:t>” or “</w:t>
      </w:r>
      <w:r>
        <w:rPr>
          <w:rFonts w:ascii="Arial" w:cs="Arial" w:eastAsia="Arial" w:hAnsi="Arial"/>
          <w:sz w:val="18"/>
          <w:szCs w:val="18"/>
          <w:b w:val="1"/>
          <w:bCs w:val="1"/>
          <w:color w:val="auto"/>
        </w:rPr>
        <w:t>HCP</w:t>
      </w:r>
      <w:r>
        <w:rPr>
          <w:rFonts w:ascii="Arial" w:cs="Arial" w:eastAsia="Arial" w:hAnsi="Arial"/>
          <w:sz w:val="18"/>
          <w:szCs w:val="18"/>
          <w:color w:val="auto"/>
        </w:rPr>
        <w:t>” means any person licensed to prescribe an Amgen Therapeutic Product,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physicians and other providers (e.g., nurses, pharmacists) with prescribing authority and/or in a position to influence a purchasing decision of an Amgen Therapeutic Product.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1.58 </w:t>
      </w: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(15 U.S.C. § 18a).</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Section 1.59 </w:t>
      </w:r>
      <w:r>
        <w:rPr>
          <w:rFonts w:ascii="Arial" w:cs="Arial" w:eastAsia="Arial" w:hAnsi="Arial"/>
          <w:sz w:val="18"/>
          <w:szCs w:val="18"/>
          <w:color w:val="auto"/>
        </w:rPr>
        <w:t>“</w:t>
      </w:r>
      <w:r>
        <w:rPr>
          <w:rFonts w:ascii="Arial" w:cs="Arial" w:eastAsia="Arial" w:hAnsi="Arial"/>
          <w:sz w:val="18"/>
          <w:szCs w:val="18"/>
          <w:b w:val="1"/>
          <w:bCs w:val="1"/>
          <w:color w:val="auto"/>
        </w:rPr>
        <w:t>HSR Filing</w:t>
      </w:r>
      <w:r>
        <w:rPr>
          <w:rFonts w:ascii="Arial" w:cs="Arial" w:eastAsia="Arial" w:hAnsi="Arial"/>
          <w:sz w:val="18"/>
          <w:szCs w:val="18"/>
          <w:color w:val="auto"/>
        </w:rPr>
        <w:t>” means a filing by each of Amgen and RBNC with the United States Federal Trade Commission and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Department of Justice of a Notification and Report Form for Certain Mergers and Acquisitions (as defined in the HSR Act) with respect to the Transaction, together with all required documentary attachments thereto.</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1.60 “IFRS</w:t>
      </w:r>
      <w:r>
        <w:rPr>
          <w:rFonts w:ascii="Arial" w:cs="Arial" w:eastAsia="Arial" w:hAnsi="Arial"/>
          <w:sz w:val="17"/>
          <w:szCs w:val="17"/>
          <w:color w:val="auto"/>
        </w:rPr>
        <w:t>” means the international financial reporting standards as issued by the International Accounting Standards Board.</w:t>
      </w:r>
    </w:p>
    <w:p>
      <w:pPr>
        <w:spacing w:after="0" w:line="129"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Section 1.61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in the U.S. filed with the FDA or the corresponding application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 of a Product in any other country or group of countries, as defined by applicable Law and filed with the Regulatory Authority of a given country or group of countries.</w:t>
      </w:r>
    </w:p>
    <w:p>
      <w:pPr>
        <w:spacing w:after="0" w:line="6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Section 1.62 </w:t>
      </w:r>
      <w:r>
        <w:rPr>
          <w:rFonts w:ascii="Arial" w:cs="Arial" w:eastAsia="Arial" w:hAnsi="Arial"/>
          <w:sz w:val="18"/>
          <w:szCs w:val="18"/>
          <w:color w:val="auto"/>
        </w:rPr>
        <w:t>“</w:t>
      </w:r>
      <w:r>
        <w:rPr>
          <w:rFonts w:ascii="Arial" w:cs="Arial" w:eastAsia="Arial" w:hAnsi="Arial"/>
          <w:sz w:val="18"/>
          <w:szCs w:val="18"/>
          <w:b w:val="1"/>
          <w:bCs w:val="1"/>
          <w:color w:val="auto"/>
        </w:rPr>
        <w:t>Infringe</w:t>
      </w:r>
      <w:r>
        <w:rPr>
          <w:rFonts w:ascii="Arial" w:cs="Arial" w:eastAsia="Arial" w:hAnsi="Arial"/>
          <w:sz w:val="18"/>
          <w:szCs w:val="18"/>
          <w:color w:val="auto"/>
        </w:rPr>
        <w:t>” or “</w:t>
      </w:r>
      <w:r>
        <w:rPr>
          <w:rFonts w:ascii="Arial" w:cs="Arial" w:eastAsia="Arial" w:hAnsi="Arial"/>
          <w:sz w:val="18"/>
          <w:szCs w:val="18"/>
          <w:b w:val="1"/>
          <w:bCs w:val="1"/>
          <w:color w:val="auto"/>
        </w:rPr>
        <w:t>Infringement</w:t>
      </w:r>
      <w:r>
        <w:rPr>
          <w:rFonts w:ascii="Arial" w:cs="Arial" w:eastAsia="Arial" w:hAnsi="Arial"/>
          <w:sz w:val="18"/>
          <w:szCs w:val="18"/>
          <w:color w:val="auto"/>
        </w:rPr>
        <w:t>” means any infringement as determined by Law, including, without limitation, direct infringement,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contributory infringement or any inducement to infringe.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1.63 </w:t>
      </w:r>
      <w:r>
        <w:rPr>
          <w:rFonts w:ascii="Arial" w:cs="Arial" w:eastAsia="Arial" w:hAnsi="Arial"/>
          <w:sz w:val="18"/>
          <w:szCs w:val="18"/>
          <w:color w:val="auto"/>
        </w:rPr>
        <w:t>“</w:t>
      </w:r>
      <w:r>
        <w:rPr>
          <w:rFonts w:ascii="Arial" w:cs="Arial" w:eastAsia="Arial" w:hAnsi="Arial"/>
          <w:sz w:val="18"/>
          <w:szCs w:val="18"/>
          <w:b w:val="1"/>
          <w:bCs w:val="1"/>
          <w:color w:val="auto"/>
        </w:rPr>
        <w:t>Initiation</w:t>
      </w:r>
      <w:r>
        <w:rPr>
          <w:rFonts w:ascii="Arial" w:cs="Arial" w:eastAsia="Arial" w:hAnsi="Arial"/>
          <w:sz w:val="18"/>
          <w:szCs w:val="18"/>
          <w:color w:val="auto"/>
        </w:rPr>
        <w:t>” means, with respect to a human clinical trial, the first dosing in the first patient in such clinical trial.</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Section 1.64 </w:t>
      </w:r>
      <w:r>
        <w:rPr>
          <w:rFonts w:ascii="Arial" w:cs="Arial" w:eastAsia="Arial" w:hAnsi="Arial"/>
          <w:sz w:val="17"/>
          <w:szCs w:val="17"/>
          <w:color w:val="auto"/>
        </w:rPr>
        <w:t>“</w:t>
      </w:r>
      <w:r>
        <w:rPr>
          <w:rFonts w:ascii="Arial" w:cs="Arial" w:eastAsia="Arial" w:hAnsi="Arial"/>
          <w:sz w:val="17"/>
          <w:szCs w:val="17"/>
          <w:b w:val="1"/>
          <w:bCs w:val="1"/>
          <w:color w:val="auto"/>
        </w:rPr>
        <w:t>International Trade Laws</w:t>
      </w:r>
      <w:r>
        <w:rPr>
          <w:rFonts w:ascii="Arial" w:cs="Arial" w:eastAsia="Arial" w:hAnsi="Arial"/>
          <w:sz w:val="17"/>
          <w:szCs w:val="17"/>
          <w:color w:val="auto"/>
        </w:rPr>
        <w:t>” means all applicable United States laws, regulations, and orders pertaining to trade and economic</w:t>
      </w:r>
      <w:r>
        <w:rPr>
          <w:rFonts w:ascii="Arial" w:cs="Arial" w:eastAsia="Arial" w:hAnsi="Arial"/>
          <w:sz w:val="17"/>
          <w:szCs w:val="17"/>
          <w:b w:val="1"/>
          <w:bCs w:val="1"/>
          <w:color w:val="auto"/>
        </w:rPr>
        <w:t xml:space="preserve"> </w:t>
      </w:r>
      <w:r>
        <w:rPr>
          <w:rFonts w:ascii="Arial" w:cs="Arial" w:eastAsia="Arial" w:hAnsi="Arial"/>
          <w:sz w:val="17"/>
          <w:szCs w:val="17"/>
          <w:color w:val="auto"/>
        </w:rPr>
        <w:t>sanctions, export controls, and customs, including such laws, regulations, and orders administered and enforced by the U.S. Department of the Treasury, the U.S. Department of Commerce, the U.S. Department of State and the U.S. Customs and Border Protection agency, including but not limited to the sanctions administered and enforced by the Office of Foreign Assets Control (OFAC), the United States Export Administration Act of 1979, as amended, and the Export Control Reform Act of 2018, and implementing Export Administration Regulations (EAR); the Arms Export Control Act and implementing International Traffic in Arms Regulations (ITAR); and all comparable applicable export and import Laws outside the United States for each country where the Parties or their agents and representatives conduct business, except to the extent such Laws are inconsistent with the Laws of the United States.</w:t>
      </w:r>
    </w:p>
    <w:p>
      <w:pPr>
        <w:spacing w:after="0" w:line="10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20"/>
          </w:cols>
          <w:pgMar w:left="880" w:top="270" w:right="49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1.65 </w:t>
      </w:r>
      <w:r>
        <w:rPr>
          <w:rFonts w:ascii="Arial" w:cs="Arial" w:eastAsia="Arial" w:hAnsi="Arial"/>
          <w:sz w:val="18"/>
          <w:szCs w:val="18"/>
          <w:color w:val="auto"/>
        </w:rPr>
        <w:t>“</w:t>
      </w:r>
      <w:r>
        <w:rPr>
          <w:rFonts w:ascii="Arial" w:cs="Arial" w:eastAsia="Arial" w:hAnsi="Arial"/>
          <w:sz w:val="18"/>
          <w:szCs w:val="18"/>
          <w:b w:val="1"/>
          <w:bCs w:val="1"/>
          <w:color w:val="auto"/>
        </w:rPr>
        <w:t>Issuing Party</w:t>
      </w:r>
      <w:r>
        <w:rPr>
          <w:rFonts w:ascii="Arial" w:cs="Arial" w:eastAsia="Arial" w:hAnsi="Arial"/>
          <w:sz w:val="18"/>
          <w:szCs w:val="18"/>
          <w:color w:val="auto"/>
        </w:rPr>
        <w:t>” has the meaning set forth in Section 8.2.2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1.66 </w:t>
      </w:r>
      <w:r>
        <w:rPr>
          <w:rFonts w:ascii="Arial" w:cs="Arial" w:eastAsia="Arial" w:hAnsi="Arial"/>
          <w:sz w:val="18"/>
          <w:szCs w:val="18"/>
          <w:color w:val="auto"/>
        </w:rPr>
        <w:t>“</w:t>
      </w:r>
      <w:r>
        <w:rPr>
          <w:rFonts w:ascii="Arial" w:cs="Arial" w:eastAsia="Arial" w:hAnsi="Arial"/>
          <w:sz w:val="18"/>
          <w:szCs w:val="18"/>
          <w:b w:val="1"/>
          <w:bCs w:val="1"/>
          <w:color w:val="auto"/>
        </w:rPr>
        <w:t>Inventions</w:t>
      </w:r>
      <w:r>
        <w:rPr>
          <w:rFonts w:ascii="Arial" w:cs="Arial" w:eastAsia="Arial" w:hAnsi="Arial"/>
          <w:sz w:val="18"/>
          <w:szCs w:val="18"/>
          <w:color w:val="auto"/>
        </w:rPr>
        <w:t>” has the meaning set forth in Section 4.1.1 (Intellectual Property Ownership)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1.67 </w:t>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(1) RBNC’s first underwritten public offering of its common stock under the Securities Act of 1933, as amended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 RBNC’s closing of a merger with a publicly listed special purpose acquisition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1.68 </w:t>
      </w:r>
      <w:r>
        <w:rPr>
          <w:rFonts w:ascii="Arial" w:cs="Arial" w:eastAsia="Arial" w:hAnsi="Arial"/>
          <w:sz w:val="18"/>
          <w:szCs w:val="18"/>
          <w:color w:val="auto"/>
        </w:rPr>
        <w:t>“</w:t>
      </w:r>
      <w:r>
        <w:rPr>
          <w:rFonts w:ascii="Arial" w:cs="Arial" w:eastAsia="Arial" w:hAnsi="Arial"/>
          <w:sz w:val="18"/>
          <w:szCs w:val="18"/>
          <w:b w:val="1"/>
          <w:bCs w:val="1"/>
          <w:color w:val="auto"/>
        </w:rPr>
        <w:t>Joint Inventions</w:t>
      </w:r>
      <w:r>
        <w:rPr>
          <w:rFonts w:ascii="Arial" w:cs="Arial" w:eastAsia="Arial" w:hAnsi="Arial"/>
          <w:sz w:val="18"/>
          <w:szCs w:val="18"/>
          <w:color w:val="auto"/>
        </w:rPr>
        <w:t>” has the meaning set forth in Section 4.1.1 (Intellectual Property 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1.69 </w:t>
      </w:r>
      <w:r>
        <w:rPr>
          <w:rFonts w:ascii="Arial" w:cs="Arial" w:eastAsia="Arial" w:hAnsi="Arial"/>
          <w:sz w:val="18"/>
          <w:szCs w:val="18"/>
          <w:color w:val="auto"/>
        </w:rPr>
        <w:t>“</w:t>
      </w:r>
      <w:r>
        <w:rPr>
          <w:rFonts w:ascii="Arial" w:cs="Arial" w:eastAsia="Arial" w:hAnsi="Arial"/>
          <w:sz w:val="18"/>
          <w:szCs w:val="18"/>
          <w:b w:val="1"/>
          <w:bCs w:val="1"/>
          <w:color w:val="auto"/>
        </w:rPr>
        <w:t>Joint Patents</w:t>
      </w:r>
      <w:r>
        <w:rPr>
          <w:rFonts w:ascii="Arial" w:cs="Arial" w:eastAsia="Arial" w:hAnsi="Arial"/>
          <w:sz w:val="18"/>
          <w:szCs w:val="18"/>
          <w:color w:val="auto"/>
        </w:rPr>
        <w:t>” has the meaning set forth in Section 4.1.1 (Intellectual Property Ownership).</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Section 1.70 </w:t>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techniques, technology, trade secrets, materials, compounds, inventions (whether patentable or not), methods,</w:t>
      </w:r>
      <w:r>
        <w:rPr>
          <w:rFonts w:ascii="Arial" w:cs="Arial" w:eastAsia="Arial" w:hAnsi="Arial"/>
          <w:sz w:val="18"/>
          <w:szCs w:val="18"/>
          <w:b w:val="1"/>
          <w:bCs w:val="1"/>
          <w:color w:val="auto"/>
        </w:rPr>
        <w:t xml:space="preserve"> </w:t>
      </w:r>
      <w:r>
        <w:rPr>
          <w:rFonts w:ascii="Arial" w:cs="Arial" w:eastAsia="Arial" w:hAnsi="Arial"/>
          <w:sz w:val="18"/>
          <w:szCs w:val="18"/>
          <w:color w:val="auto"/>
        </w:rPr>
        <w:t>data (both primary and summary), reports and results (including pharmacological, toxicological and clinical data and results), analytical and quality control data and results, regulatory documents, and other information.</w:t>
      </w:r>
    </w:p>
    <w:p>
      <w:pPr>
        <w:spacing w:after="0" w:line="6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Section 1.71 </w:t>
      </w:r>
      <w:r>
        <w:rPr>
          <w:rFonts w:ascii="Arial" w:cs="Arial" w:eastAsia="Arial" w:hAnsi="Arial"/>
          <w:sz w:val="17"/>
          <w:szCs w:val="17"/>
          <w:color w:val="auto"/>
        </w:rPr>
        <w:t>“</w:t>
      </w:r>
      <w:r>
        <w:rPr>
          <w:rFonts w:ascii="Arial" w:cs="Arial" w:eastAsia="Arial" w:hAnsi="Arial"/>
          <w:sz w:val="17"/>
          <w:szCs w:val="17"/>
          <w:b w:val="1"/>
          <w:bCs w:val="1"/>
          <w:color w:val="auto"/>
        </w:rPr>
        <w:t>Law</w:t>
      </w:r>
      <w:r>
        <w:rPr>
          <w:rFonts w:ascii="Arial" w:cs="Arial" w:eastAsia="Arial" w:hAnsi="Arial"/>
          <w:sz w:val="17"/>
          <w:szCs w:val="17"/>
          <w:color w:val="auto"/>
        </w:rPr>
        <w:t>” means, individually and collectively, any and all laws, ordinances, rules, directives, administrative circulars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any kind whatsoever of any Governmental Authority within the applicable jurisdiction, including, but not limited to, Anti-Corruption Laws, International Trade Laws, Health Care Laws, those concerning data privacy and protection, and healthcare compliance.</w:t>
      </w:r>
    </w:p>
    <w:p>
      <w:pPr>
        <w:spacing w:after="0" w:line="5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Section 1.72 </w:t>
      </w:r>
      <w:r>
        <w:rPr>
          <w:rFonts w:ascii="Arial" w:cs="Arial" w:eastAsia="Arial" w:hAnsi="Arial"/>
          <w:sz w:val="18"/>
          <w:szCs w:val="18"/>
          <w:color w:val="auto"/>
        </w:rPr>
        <w:t>“</w:t>
      </w:r>
      <w:r>
        <w:rPr>
          <w:rFonts w:ascii="Arial" w:cs="Arial" w:eastAsia="Arial" w:hAnsi="Arial"/>
          <w:sz w:val="18"/>
          <w:szCs w:val="18"/>
          <w:b w:val="1"/>
          <w:bCs w:val="1"/>
          <w:color w:val="auto"/>
        </w:rPr>
        <w:t>Licensed Compound</w:t>
      </w:r>
      <w:r>
        <w:rPr>
          <w:rFonts w:ascii="Arial" w:cs="Arial" w:eastAsia="Arial" w:hAnsi="Arial"/>
          <w:sz w:val="18"/>
          <w:szCs w:val="18"/>
          <w:color w:val="auto"/>
        </w:rPr>
        <w:t>” means any compound that (a) is Covered in whole or in part by intellectual property rights (including,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clarity Know-How) Controlled by AMGEN or its Affiliates and (b) was discovered, researched or developed in the conduct of the Licensed Program by AMGEN or its Affiliates prior to the Effective Date, as listed or referenced on Exhibit B.</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1.73 </w:t>
      </w:r>
      <w:r>
        <w:rPr>
          <w:rFonts w:ascii="Arial" w:cs="Arial" w:eastAsia="Arial" w:hAnsi="Arial"/>
          <w:sz w:val="18"/>
          <w:szCs w:val="18"/>
          <w:color w:val="auto"/>
        </w:rPr>
        <w:t>“</w:t>
      </w:r>
      <w:r>
        <w:rPr>
          <w:rFonts w:ascii="Arial" w:cs="Arial" w:eastAsia="Arial" w:hAnsi="Arial"/>
          <w:sz w:val="18"/>
          <w:szCs w:val="18"/>
          <w:b w:val="1"/>
          <w:bCs w:val="1"/>
          <w:color w:val="auto"/>
        </w:rPr>
        <w:t>Licensed Field</w:t>
      </w:r>
      <w:r>
        <w:rPr>
          <w:rFonts w:ascii="Arial" w:cs="Arial" w:eastAsia="Arial" w:hAnsi="Arial"/>
          <w:sz w:val="18"/>
          <w:szCs w:val="18"/>
          <w:color w:val="auto"/>
        </w:rPr>
        <w:t>” means any and all uses.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1.74 </w:t>
      </w:r>
      <w:r>
        <w:rPr>
          <w:rFonts w:ascii="Arial" w:cs="Arial" w:eastAsia="Arial" w:hAnsi="Arial"/>
          <w:sz w:val="18"/>
          <w:szCs w:val="18"/>
          <w:color w:val="auto"/>
        </w:rPr>
        <w:t>“</w:t>
      </w:r>
      <w:r>
        <w:rPr>
          <w:rFonts w:ascii="Arial" w:cs="Arial" w:eastAsia="Arial" w:hAnsi="Arial"/>
          <w:sz w:val="18"/>
          <w:szCs w:val="18"/>
          <w:b w:val="1"/>
          <w:bCs w:val="1"/>
          <w:color w:val="auto"/>
        </w:rPr>
        <w:t>Licensed Know-How</w:t>
      </w:r>
      <w:r>
        <w:rPr>
          <w:rFonts w:ascii="Arial" w:cs="Arial" w:eastAsia="Arial" w:hAnsi="Arial"/>
          <w:sz w:val="18"/>
          <w:szCs w:val="18"/>
          <w:color w:val="auto"/>
        </w:rPr>
        <w:t>” means all proprietary Know-How that both (a) is Controlled by AMGEN or its Affiliates and (b) [***],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(a) and (b) prior to the Effective Date, as set forth on Exhibit A. For clarity, Licensed Know-How includes Exclusively Licensed Know How and any Licensed Materials not included within Exclusively Licensed Know-How.</w:t>
      </w:r>
    </w:p>
    <w:p>
      <w:pPr>
        <w:spacing w:after="0" w:line="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Section 1.75 </w:t>
      </w:r>
      <w:r>
        <w:rPr>
          <w:rFonts w:ascii="Arial" w:cs="Arial" w:eastAsia="Arial" w:hAnsi="Arial"/>
          <w:sz w:val="18"/>
          <w:szCs w:val="18"/>
          <w:color w:val="auto"/>
        </w:rPr>
        <w:t>“</w:t>
      </w:r>
      <w:r>
        <w:rPr>
          <w:rFonts w:ascii="Arial" w:cs="Arial" w:eastAsia="Arial" w:hAnsi="Arial"/>
          <w:sz w:val="18"/>
          <w:szCs w:val="18"/>
          <w:b w:val="1"/>
          <w:bCs w:val="1"/>
          <w:color w:val="auto"/>
        </w:rPr>
        <w:t>Licensed Materials</w:t>
      </w:r>
      <w:r>
        <w:rPr>
          <w:rFonts w:ascii="Arial" w:cs="Arial" w:eastAsia="Arial" w:hAnsi="Arial"/>
          <w:sz w:val="18"/>
          <w:szCs w:val="18"/>
          <w:color w:val="auto"/>
        </w:rPr>
        <w:t>” means those certain materials set forth on Exhibit A, all to the extent Controlled by AMGEN or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1.76 “Licensed Patents” </w:t>
      </w:r>
      <w:r>
        <w:rPr>
          <w:rFonts w:ascii="Arial" w:cs="Arial" w:eastAsia="Arial" w:hAnsi="Arial"/>
          <w:sz w:val="18"/>
          <w:szCs w:val="18"/>
          <w:color w:val="auto"/>
        </w:rPr>
        <w:t>means all Patent Rights Controlled by AMGEN or its Affiliates set forth on Exhibit A.</w:t>
      </w:r>
    </w:p>
    <w:p>
      <w:pPr>
        <w:spacing w:after="0" w:line="11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Section 1.77 </w:t>
      </w:r>
      <w:r>
        <w:rPr>
          <w:rFonts w:ascii="Arial" w:cs="Arial" w:eastAsia="Arial" w:hAnsi="Arial"/>
          <w:sz w:val="18"/>
          <w:szCs w:val="18"/>
          <w:color w:val="auto"/>
        </w:rPr>
        <w:t>“</w:t>
      </w:r>
      <w:r>
        <w:rPr>
          <w:rFonts w:ascii="Arial" w:cs="Arial" w:eastAsia="Arial" w:hAnsi="Arial"/>
          <w:sz w:val="18"/>
          <w:szCs w:val="18"/>
          <w:b w:val="1"/>
          <w:bCs w:val="1"/>
          <w:color w:val="auto"/>
        </w:rPr>
        <w:t>Licensed Program</w:t>
      </w:r>
      <w:r>
        <w:rPr>
          <w:rFonts w:ascii="Arial" w:cs="Arial" w:eastAsia="Arial" w:hAnsi="Arial"/>
          <w:sz w:val="18"/>
          <w:szCs w:val="18"/>
          <w:color w:val="auto"/>
        </w:rPr>
        <w:t>” means AMGEN’s and its Affiliates’ research and development activities prior to the Effective Date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small molecules Directed to GCase.</w:t>
      </w:r>
    </w:p>
    <w:p>
      <w:pPr>
        <w:spacing w:after="0" w:line="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880" w:top="270" w:right="559" w:bottom="1440" w:gutter="0" w:footer="0" w:header="0"/>
        </w:sectPr>
      </w:pPr>
    </w:p>
    <w:bookmarkStart w:id="419" w:name="page420"/>
    <w:bookmarkEnd w:id="4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1.78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7.1.1 (By AMGEN).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1.79 </w:t>
      </w:r>
      <w:r>
        <w:rPr>
          <w:rFonts w:ascii="Arial" w:cs="Arial" w:eastAsia="Arial" w:hAnsi="Arial"/>
          <w:sz w:val="18"/>
          <w:szCs w:val="18"/>
          <w:color w:val="auto"/>
        </w:rPr>
        <w:t>“</w:t>
      </w:r>
      <w:r>
        <w:rPr>
          <w:rFonts w:ascii="Arial" w:cs="Arial" w:eastAsia="Arial" w:hAnsi="Arial"/>
          <w:sz w:val="18"/>
          <w:szCs w:val="18"/>
          <w:b w:val="1"/>
          <w:bCs w:val="1"/>
          <w:color w:val="auto"/>
        </w:rPr>
        <w:t>Major Asian Countries</w:t>
      </w:r>
      <w:r>
        <w:rPr>
          <w:rFonts w:ascii="Arial" w:cs="Arial" w:eastAsia="Arial" w:hAnsi="Arial"/>
          <w:sz w:val="18"/>
          <w:szCs w:val="18"/>
          <w:color w:val="auto"/>
        </w:rPr>
        <w:t>” means, collectively,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1.80 </w:t>
      </w:r>
      <w:r>
        <w:rPr>
          <w:rFonts w:ascii="Arial" w:cs="Arial" w:eastAsia="Arial" w:hAnsi="Arial"/>
          <w:sz w:val="18"/>
          <w:szCs w:val="18"/>
          <w:color w:val="auto"/>
        </w:rPr>
        <w:t>“</w:t>
      </w:r>
      <w:r>
        <w:rPr>
          <w:rFonts w:ascii="Arial" w:cs="Arial" w:eastAsia="Arial" w:hAnsi="Arial"/>
          <w:sz w:val="18"/>
          <w:szCs w:val="18"/>
          <w:b w:val="1"/>
          <w:bCs w:val="1"/>
          <w:color w:val="auto"/>
        </w:rPr>
        <w:t>Major European Countries</w:t>
      </w:r>
      <w:r>
        <w:rPr>
          <w:rFonts w:ascii="Arial" w:cs="Arial" w:eastAsia="Arial" w:hAnsi="Arial"/>
          <w:sz w:val="18"/>
          <w:szCs w:val="18"/>
          <w:color w:val="auto"/>
        </w:rPr>
        <w:t>” means, collectively, the [***].</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Section 1.81 </w:t>
      </w:r>
      <w:r>
        <w:rPr>
          <w:rFonts w:ascii="Arial" w:cs="Arial" w:eastAsia="Arial" w:hAnsi="Arial"/>
          <w:sz w:val="18"/>
          <w:szCs w:val="18"/>
          <w:color w:val="auto"/>
        </w:rPr>
        <w:t>“</w:t>
      </w:r>
      <w:r>
        <w:rPr>
          <w:rFonts w:ascii="Arial" w:cs="Arial" w:eastAsia="Arial" w:hAnsi="Arial"/>
          <w:sz w:val="18"/>
          <w:szCs w:val="18"/>
          <w:b w:val="1"/>
          <w:bCs w:val="1"/>
          <w:color w:val="auto"/>
        </w:rPr>
        <w:t>Marketing Approval</w:t>
      </w:r>
      <w:r>
        <w:rPr>
          <w:rFonts w:ascii="Arial" w:cs="Arial" w:eastAsia="Arial" w:hAnsi="Arial"/>
          <w:sz w:val="18"/>
          <w:szCs w:val="18"/>
          <w:color w:val="auto"/>
        </w:rPr>
        <w:t>” means all approvals, licenses, registrations or authorizations of the Regulatory Authority in a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for the manufacture, use, storage, import, marketing and sale of the Product in such country.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1.82 </w:t>
      </w:r>
      <w:r>
        <w:rPr>
          <w:rFonts w:ascii="Arial" w:cs="Arial" w:eastAsia="Arial" w:hAnsi="Arial"/>
          <w:sz w:val="18"/>
          <w:szCs w:val="18"/>
          <w:color w:val="auto"/>
        </w:rPr>
        <w:t>“</w:t>
      </w:r>
      <w:r>
        <w:rPr>
          <w:rFonts w:ascii="Arial" w:cs="Arial" w:eastAsia="Arial" w:hAnsi="Arial"/>
          <w:sz w:val="18"/>
          <w:szCs w:val="18"/>
          <w:b w:val="1"/>
          <w:bCs w:val="1"/>
          <w:color w:val="auto"/>
        </w:rPr>
        <w:t>Material Territory Change</w:t>
      </w:r>
      <w:r>
        <w:rPr>
          <w:rFonts w:ascii="Arial" w:cs="Arial" w:eastAsia="Arial" w:hAnsi="Arial"/>
          <w:sz w:val="18"/>
          <w:szCs w:val="18"/>
          <w:color w:val="auto"/>
        </w:rPr>
        <w:t>” means, [***], that [***] has changed relative to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1.83 </w:t>
      </w:r>
      <w:r>
        <w:rPr>
          <w:rFonts w:ascii="Arial" w:cs="Arial" w:eastAsia="Arial" w:hAnsi="Arial"/>
          <w:sz w:val="18"/>
          <w:szCs w:val="18"/>
          <w:color w:val="auto"/>
        </w:rPr>
        <w:t>“</w:t>
      </w:r>
      <w:r>
        <w:rPr>
          <w:rFonts w:ascii="Arial" w:cs="Arial" w:eastAsia="Arial" w:hAnsi="Arial"/>
          <w:sz w:val="18"/>
          <w:szCs w:val="18"/>
          <w:b w:val="1"/>
          <w:bCs w:val="1"/>
          <w:color w:val="auto"/>
        </w:rPr>
        <w:t>Milestone</w:t>
      </w:r>
      <w:r>
        <w:rPr>
          <w:rFonts w:ascii="Arial" w:cs="Arial" w:eastAsia="Arial" w:hAnsi="Arial"/>
          <w:sz w:val="18"/>
          <w:szCs w:val="18"/>
          <w:color w:val="auto"/>
        </w:rPr>
        <w:t>” has the meaning set forth in Section 3.1 (Milestone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1.84 </w:t>
      </w:r>
      <w:r>
        <w:rPr>
          <w:rFonts w:ascii="Arial" w:cs="Arial" w:eastAsia="Arial" w:hAnsi="Arial"/>
          <w:sz w:val="18"/>
          <w:szCs w:val="18"/>
          <w:color w:val="auto"/>
        </w:rPr>
        <w:t>“</w:t>
      </w:r>
      <w:r>
        <w:rPr>
          <w:rFonts w:ascii="Arial" w:cs="Arial" w:eastAsia="Arial" w:hAnsi="Arial"/>
          <w:sz w:val="18"/>
          <w:szCs w:val="18"/>
          <w:b w:val="1"/>
          <w:bCs w:val="1"/>
          <w:color w:val="auto"/>
        </w:rPr>
        <w:t>Milestone Payment</w:t>
      </w:r>
      <w:r>
        <w:rPr>
          <w:rFonts w:ascii="Arial" w:cs="Arial" w:eastAsia="Arial" w:hAnsi="Arial"/>
          <w:sz w:val="18"/>
          <w:szCs w:val="18"/>
          <w:color w:val="auto"/>
        </w:rPr>
        <w:t>” has the meaning set forth in Section 3.1 (Milestone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1.85 </w:t>
      </w:r>
      <w:r>
        <w:rPr>
          <w:rFonts w:ascii="Arial" w:cs="Arial" w:eastAsia="Arial" w:hAnsi="Arial"/>
          <w:sz w:val="18"/>
          <w:szCs w:val="18"/>
          <w:color w:val="auto"/>
        </w:rPr>
        <w:t>“</w:t>
      </w:r>
      <w:r>
        <w:rPr>
          <w:rFonts w:ascii="Arial" w:cs="Arial" w:eastAsia="Arial" w:hAnsi="Arial"/>
          <w:sz w:val="18"/>
          <w:szCs w:val="18"/>
          <w:b w:val="1"/>
          <w:bCs w:val="1"/>
          <w:color w:val="auto"/>
        </w:rPr>
        <w:t>Negotiation Exclusivity Period</w:t>
      </w:r>
      <w:r>
        <w:rPr>
          <w:rFonts w:ascii="Arial" w:cs="Arial" w:eastAsia="Arial" w:hAnsi="Arial"/>
          <w:sz w:val="18"/>
          <w:szCs w:val="18"/>
          <w:color w:val="auto"/>
        </w:rPr>
        <w:t>” has the meaning set forth in Section 2.4.2 (Exclusive Right of First Negotiation).</w:t>
      </w:r>
    </w:p>
    <w:p>
      <w:pPr>
        <w:spacing w:after="0" w:line="11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Section 1.86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 certain time period, the gross invoiced sales prices charged for Products sold by or for RBNC,</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and Sublicensees (the “</w:t>
      </w:r>
      <w:r>
        <w:rPr>
          <w:rFonts w:ascii="Arial" w:cs="Arial" w:eastAsia="Arial" w:hAnsi="Arial"/>
          <w:sz w:val="18"/>
          <w:szCs w:val="18"/>
          <w:b w:val="1"/>
          <w:bCs w:val="1"/>
          <w:color w:val="auto"/>
        </w:rPr>
        <w:t>Selling Party</w:t>
      </w:r>
      <w:r>
        <w:rPr>
          <w:rFonts w:ascii="Arial" w:cs="Arial" w:eastAsia="Arial" w:hAnsi="Arial"/>
          <w:sz w:val="18"/>
          <w:szCs w:val="18"/>
          <w:color w:val="auto"/>
        </w:rPr>
        <w:t>”) in arm’s length transactions to Third Parties during such time period, less the total of the following charges or expenses as determined in accordance with Accounting Standards:</w:t>
      </w:r>
    </w:p>
    <w:p>
      <w:pPr>
        <w:spacing w:after="0" w:line="72" w:lineRule="exact"/>
        <w:rPr>
          <w:sz w:val="20"/>
          <w:szCs w:val="20"/>
          <w:color w:val="auto"/>
        </w:rPr>
      </w:pPr>
    </w:p>
    <w:p>
      <w:pPr>
        <w:ind w:left="980" w:right="380" w:firstLine="8"/>
        <w:spacing w:after="0" w:line="277" w:lineRule="auto"/>
        <w:tabs>
          <w:tab w:leader="none" w:pos="122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Trade, cash, prompt payment and/or quantity discounts, including promotional, service or similar discounts (but, for clarity, excluding any sales or marketing expenses);</w:t>
      </w:r>
    </w:p>
    <w:p>
      <w:pPr>
        <w:spacing w:after="0" w:line="62" w:lineRule="exact"/>
        <w:rPr>
          <w:rFonts w:ascii="Arial" w:cs="Arial" w:eastAsia="Arial" w:hAnsi="Arial"/>
          <w:sz w:val="18"/>
          <w:szCs w:val="18"/>
          <w:color w:val="auto"/>
        </w:rPr>
      </w:pPr>
    </w:p>
    <w:p>
      <w:pPr>
        <w:ind w:left="1240" w:hanging="252"/>
        <w:spacing w:after="0"/>
        <w:tabs>
          <w:tab w:leader="none" w:pos="12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Returns, allowances, rebates (whether to the purchaser or direct to patients), chargebacks, or other allowances or payments</w:t>
      </w:r>
    </w:p>
    <w:p>
      <w:pPr>
        <w:spacing w:after="0" w:line="46" w:lineRule="exact"/>
        <w:rPr>
          <w:rFonts w:ascii="Arial" w:cs="Arial" w:eastAsia="Arial" w:hAnsi="Arial"/>
          <w:sz w:val="16"/>
          <w:szCs w:val="16"/>
          <w:color w:val="auto"/>
        </w:rPr>
      </w:pPr>
    </w:p>
    <w:p>
      <w:pPr>
        <w:ind w:left="980"/>
        <w:spacing w:after="0" w:line="255" w:lineRule="auto"/>
        <w:rPr>
          <w:rFonts w:ascii="Arial" w:cs="Arial" w:eastAsia="Arial" w:hAnsi="Arial"/>
          <w:sz w:val="16"/>
          <w:szCs w:val="16"/>
          <w:color w:val="auto"/>
        </w:rPr>
      </w:pPr>
      <w:r>
        <w:rPr>
          <w:rFonts w:ascii="Arial" w:cs="Arial" w:eastAsia="Arial" w:hAnsi="Arial"/>
          <w:sz w:val="18"/>
          <w:szCs w:val="18"/>
          <w:color w:val="auto"/>
        </w:rPr>
        <w:t>granted to managed health care organizations, pharmacy benefit managers (or equivalents thereof), federal, state, provincial, local and other government agencies or authorities, their purchasers and reimbursers, or to trade customers (but, for clarity, excluding any sales or marketing expenses);</w:t>
      </w:r>
    </w:p>
    <w:p>
      <w:pPr>
        <w:spacing w:after="0" w:line="81" w:lineRule="exact"/>
        <w:rPr>
          <w:rFonts w:ascii="Arial" w:cs="Arial" w:eastAsia="Arial" w:hAnsi="Arial"/>
          <w:sz w:val="16"/>
          <w:szCs w:val="16"/>
          <w:color w:val="auto"/>
        </w:rPr>
      </w:pPr>
    </w:p>
    <w:p>
      <w:pPr>
        <w:ind w:left="1240" w:hanging="252"/>
        <w:spacing w:after="0"/>
        <w:tabs>
          <w:tab w:leader="none" w:pos="12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Retroactive price reductions applicable to sales of such Product;</w:t>
      </w:r>
    </w:p>
    <w:p>
      <w:pPr>
        <w:spacing w:after="0" w:line="117" w:lineRule="exact"/>
        <w:rPr>
          <w:rFonts w:ascii="Arial" w:cs="Arial" w:eastAsia="Arial" w:hAnsi="Arial"/>
          <w:sz w:val="18"/>
          <w:szCs w:val="18"/>
          <w:color w:val="auto"/>
        </w:rPr>
      </w:pPr>
    </w:p>
    <w:p>
      <w:pPr>
        <w:ind w:left="980" w:right="380" w:firstLine="8"/>
        <w:spacing w:after="0" w:line="277" w:lineRule="auto"/>
        <w:tabs>
          <w:tab w:leader="none" w:pos="123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Reasonable fees paid to wholesalers, distributors, selling agents (excluding any sales representatives of a Party or any of its Affiliates), group purchasing organizations and managed care entities;</w:t>
      </w:r>
    </w:p>
    <w:p>
      <w:pPr>
        <w:spacing w:after="0" w:line="62" w:lineRule="exact"/>
        <w:rPr>
          <w:rFonts w:ascii="Arial" w:cs="Arial" w:eastAsia="Arial" w:hAnsi="Arial"/>
          <w:sz w:val="18"/>
          <w:szCs w:val="18"/>
          <w:color w:val="auto"/>
        </w:rPr>
      </w:pPr>
    </w:p>
    <w:p>
      <w:pPr>
        <w:ind w:left="1240" w:hanging="252"/>
        <w:spacing w:after="0"/>
        <w:tabs>
          <w:tab w:leader="none" w:pos="12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Credits or allowances for product replacement, whether cash or trade;</w:t>
      </w:r>
    </w:p>
    <w:p>
      <w:pPr>
        <w:spacing w:after="0" w:line="117" w:lineRule="exact"/>
        <w:rPr>
          <w:rFonts w:ascii="Arial" w:cs="Arial" w:eastAsia="Arial" w:hAnsi="Arial"/>
          <w:sz w:val="18"/>
          <w:szCs w:val="18"/>
          <w:color w:val="auto"/>
        </w:rPr>
      </w:pPr>
    </w:p>
    <w:p>
      <w:pPr>
        <w:jc w:val="both"/>
        <w:ind w:left="980" w:right="160" w:firstLine="8"/>
        <w:spacing w:after="0" w:line="342" w:lineRule="auto"/>
        <w:tabs>
          <w:tab w:leader="none" w:pos="120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Freight or other transportation charges, insurance charges, additional special packaging, non-recoverable taxes and tariffs, and other governmental charges, provided that the total of all of these items in this subsection (f) do not exceed [***]% of gross sales;</w:t>
      </w:r>
    </w:p>
    <w:p>
      <w:pPr>
        <w:spacing w:after="0" w:line="15" w:lineRule="exact"/>
        <w:rPr>
          <w:rFonts w:ascii="Arial" w:cs="Arial" w:eastAsia="Arial" w:hAnsi="Arial"/>
          <w:sz w:val="16"/>
          <w:szCs w:val="16"/>
          <w:color w:val="auto"/>
        </w:rPr>
      </w:pPr>
    </w:p>
    <w:p>
      <w:pPr>
        <w:ind w:left="1240" w:hanging="252"/>
        <w:spacing w:after="0"/>
        <w:tabs>
          <w:tab w:leader="none" w:pos="12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and</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00"/>
          </w:cols>
          <w:pgMar w:left="880" w:top="270" w:right="519" w:bottom="1440" w:gutter="0" w:footer="0" w:header="0"/>
        </w:sectPr>
      </w:pPr>
    </w:p>
    <w:bookmarkStart w:id="420" w:name="page421"/>
    <w:bookmarkEnd w:id="42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w:t>
      </w:r>
    </w:p>
    <w:p>
      <w:pPr>
        <w:spacing w:after="0" w:line="117" w:lineRule="exact"/>
        <w:rPr>
          <w:sz w:val="20"/>
          <w:szCs w:val="20"/>
          <w:color w:val="auto"/>
        </w:rPr>
      </w:pPr>
    </w:p>
    <w:p>
      <w:pPr>
        <w:ind w:left="980" w:right="200"/>
        <w:spacing w:after="0" w:line="257" w:lineRule="auto"/>
        <w:rPr>
          <w:sz w:val="20"/>
          <w:szCs w:val="20"/>
          <w:color w:val="auto"/>
        </w:rPr>
      </w:pPr>
      <w:r>
        <w:rPr>
          <w:rFonts w:ascii="Arial" w:cs="Arial" w:eastAsia="Arial" w:hAnsi="Arial"/>
          <w:sz w:val="18"/>
          <w:szCs w:val="18"/>
          <w:color w:val="auto"/>
        </w:rPr>
        <w:t>Upon any sale or other disposal of any Product that should be included within Net Sales for any consideration other than an exclusively monetary consideration on bona fide arm’s length terms, then for purposes of calculating the Net Sales under this Agreement, such Product shall be deemed to be sold exclusively for money at the average applicable sales price during the applicable reporting period generally achieved for such Product in the country in which such sale or other disposal occurred when such Product is sold alone and not with other products.</w:t>
      </w:r>
    </w:p>
    <w:p>
      <w:pPr>
        <w:spacing w:after="0" w:line="80" w:lineRule="exact"/>
        <w:rPr>
          <w:sz w:val="20"/>
          <w:szCs w:val="20"/>
          <w:color w:val="auto"/>
        </w:rPr>
      </w:pPr>
    </w:p>
    <w:p>
      <w:pPr>
        <w:jc w:val="both"/>
        <w:ind w:left="980" w:right="260"/>
        <w:spacing w:after="0" w:line="301" w:lineRule="auto"/>
        <w:rPr>
          <w:sz w:val="20"/>
          <w:szCs w:val="20"/>
          <w:color w:val="auto"/>
        </w:rPr>
      </w:pPr>
      <w:r>
        <w:rPr>
          <w:rFonts w:ascii="Arial" w:cs="Arial" w:eastAsia="Arial" w:hAnsi="Arial"/>
          <w:sz w:val="16"/>
          <w:szCs w:val="16"/>
          <w:color w:val="auto"/>
        </w:rPr>
        <w:t>Sales of any Product between or among RBNC and its Affiliates or Sublicensees shall be excluded from the computation of Net Sales and no payments shall be payable on such sales except where such Affiliates or Sublicensees are end users. The following sales or other dispositions of Products shall not be included in the definition of Net Sales: (a) [***]; (b) [***], and (c) [***]. Any amounts excluded pursuant to this paragraph shall not be subject to the immediately preceding paragraph.</w:t>
      </w:r>
    </w:p>
    <w:p>
      <w:pPr>
        <w:spacing w:after="0" w:line="49" w:lineRule="exact"/>
        <w:rPr>
          <w:sz w:val="20"/>
          <w:szCs w:val="20"/>
          <w:color w:val="auto"/>
        </w:rPr>
      </w:pPr>
    </w:p>
    <w:p>
      <w:pPr>
        <w:ind w:left="980"/>
        <w:spacing w:after="0" w:line="286" w:lineRule="auto"/>
        <w:rPr>
          <w:sz w:val="20"/>
          <w:szCs w:val="20"/>
          <w:color w:val="auto"/>
        </w:rPr>
      </w:pPr>
      <w:r>
        <w:rPr>
          <w:rFonts w:ascii="Arial" w:cs="Arial" w:eastAsia="Arial" w:hAnsi="Arial"/>
          <w:sz w:val="16"/>
          <w:szCs w:val="16"/>
          <w:color w:val="auto"/>
        </w:rPr>
        <w:t>Where a Product is sold together with one or more pharmaceutically active ingredients that are not Licensed Compounds or Program Compounds (“</w:t>
      </w:r>
      <w:r>
        <w:rPr>
          <w:rFonts w:ascii="Arial" w:cs="Arial" w:eastAsia="Arial" w:hAnsi="Arial"/>
          <w:sz w:val="16"/>
          <w:szCs w:val="16"/>
          <w:b w:val="1"/>
          <w:bCs w:val="1"/>
          <w:color w:val="auto"/>
        </w:rPr>
        <w:t>Other Actives</w:t>
      </w:r>
      <w:r>
        <w:rPr>
          <w:rFonts w:ascii="Arial" w:cs="Arial" w:eastAsia="Arial" w:hAnsi="Arial"/>
          <w:sz w:val="16"/>
          <w:szCs w:val="16"/>
          <w:color w:val="auto"/>
        </w:rPr>
        <w:t>”) for a single price (including any combination product including the Product) (a “</w:t>
      </w:r>
      <w:r>
        <w:rPr>
          <w:rFonts w:ascii="Arial" w:cs="Arial" w:eastAsia="Arial" w:hAnsi="Arial"/>
          <w:sz w:val="16"/>
          <w:szCs w:val="16"/>
          <w:b w:val="1"/>
          <w:bCs w:val="1"/>
          <w:color w:val="auto"/>
        </w:rPr>
        <w:t>Bundle</w:t>
      </w:r>
      <w:r>
        <w:rPr>
          <w:rFonts w:ascii="Arial" w:cs="Arial" w:eastAsia="Arial" w:hAnsi="Arial"/>
          <w:sz w:val="16"/>
          <w:szCs w:val="16"/>
          <w:color w:val="auto"/>
        </w:rPr>
        <w:t>”), then for the purposes of calculating the Net Sales under this Agreement, such Product included in the Bundle shall be deemed to be sold for an amount equal to (X/(X+Y)) * Z, where: X is the average sales price during the applicable reporting period for such Product being sold alone without an Other Active (in the same dosage form) (or, should more than one Product be included in a Bundle with a product that contains only the Other Active, the sum of such average sales prices for the included Products) in the particular country of sale; Y is the sum of the average sales price during the applicable reporting period in the particular country of sale, when sold alone, of products containing only the Other Active(s) included in the Bundle (in the same dosage form); and Z equals the Net Sales of such Bundle. If any Other Active included in the Bundle is not sold alone, Net Sales shall be calculated by multiplying Net Sales of such Bundle by X/W where: X is as defined above; and W is the average sales price during the applicable reporting period for such Bundle. If neither (1) the Product containing only a Licensed Compound or Program Compound nor (2) products containing only Other Actives in the Bundle are sold separately (in the same dosage form), the Parties will discuss in good faith to determine an equitable fair market price to apply to calculate the Net Sales of such Product and the Other Active(s) in the Bundle.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1.87 </w:t>
      </w:r>
      <w:r>
        <w:rPr>
          <w:rFonts w:ascii="Arial" w:cs="Arial" w:eastAsia="Arial" w:hAnsi="Arial"/>
          <w:sz w:val="18"/>
          <w:szCs w:val="18"/>
          <w:color w:val="auto"/>
        </w:rPr>
        <w:t>“</w:t>
      </w:r>
      <w:r>
        <w:rPr>
          <w:rFonts w:ascii="Arial" w:cs="Arial" w:eastAsia="Arial" w:hAnsi="Arial"/>
          <w:sz w:val="18"/>
          <w:szCs w:val="18"/>
          <w:b w:val="1"/>
          <w:bCs w:val="1"/>
          <w:color w:val="auto"/>
        </w:rPr>
        <w:t>Newly Added Product</w:t>
      </w:r>
      <w:r>
        <w:rPr>
          <w:rFonts w:ascii="Arial" w:cs="Arial" w:eastAsia="Arial" w:hAnsi="Arial"/>
          <w:sz w:val="18"/>
          <w:szCs w:val="18"/>
          <w:color w:val="auto"/>
        </w:rPr>
        <w:t>” has the meaning set forth in Section 5.4.2(c).</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b w:val="1"/>
          <w:bCs w:val="1"/>
          <w:color w:val="auto"/>
        </w:rPr>
        <w:t xml:space="preserve">Section 1.88 </w:t>
      </w:r>
      <w:r>
        <w:rPr>
          <w:rFonts w:ascii="Arial" w:cs="Arial" w:eastAsia="Arial" w:hAnsi="Arial"/>
          <w:sz w:val="17"/>
          <w:szCs w:val="17"/>
          <w:color w:val="auto"/>
        </w:rPr>
        <w:t>“</w:t>
      </w:r>
      <w:r>
        <w:rPr>
          <w:rFonts w:ascii="Arial" w:cs="Arial" w:eastAsia="Arial" w:hAnsi="Arial"/>
          <w:sz w:val="17"/>
          <w:szCs w:val="17"/>
          <w:b w:val="1"/>
          <w:bCs w:val="1"/>
          <w:color w:val="auto"/>
        </w:rPr>
        <w:t>Non-CNS Diseases</w:t>
      </w:r>
      <w:r>
        <w:rPr>
          <w:rFonts w:ascii="Arial" w:cs="Arial" w:eastAsia="Arial" w:hAnsi="Arial"/>
          <w:sz w:val="17"/>
          <w:szCs w:val="17"/>
          <w:color w:val="auto"/>
        </w:rPr>
        <w:t>” means all diseases, the effects of which manifest primarily outside the CNS, regardless of whether the source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diseases is in the central nervous system, including, without limitation, [***] that do not manifest primarily in the CNS.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1.89 </w:t>
      </w:r>
      <w:r>
        <w:rPr>
          <w:rFonts w:ascii="Arial" w:cs="Arial" w:eastAsia="Arial" w:hAnsi="Arial"/>
          <w:sz w:val="18"/>
          <w:szCs w:val="18"/>
          <w:color w:val="auto"/>
        </w:rPr>
        <w:t>“</w:t>
      </w:r>
      <w:r>
        <w:rPr>
          <w:rFonts w:ascii="Arial" w:cs="Arial" w:eastAsia="Arial" w:hAnsi="Arial"/>
          <w:sz w:val="18"/>
          <w:szCs w:val="18"/>
          <w:b w:val="1"/>
          <w:bCs w:val="1"/>
          <w:color w:val="auto"/>
        </w:rPr>
        <w:t>Notice Period</w:t>
      </w:r>
      <w:r>
        <w:rPr>
          <w:rFonts w:ascii="Arial" w:cs="Arial" w:eastAsia="Arial" w:hAnsi="Arial"/>
          <w:sz w:val="18"/>
          <w:szCs w:val="18"/>
          <w:color w:val="auto"/>
        </w:rPr>
        <w:t>” has the meaning set forth in Section 2.4.2 (Exclusive Right of First Negotiation).</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80" w:top="274" w:right="479" w:bottom="1440" w:gutter="0" w:footer="0" w:header="0"/>
        </w:sectPr>
      </w:pPr>
    </w:p>
    <w:bookmarkStart w:id="421" w:name="page422"/>
    <w:bookmarkEnd w:id="421"/>
    <w:p>
      <w:pPr>
        <w:ind w:right="20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1.90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any provisional and non-provisional patents and patent applications, together with all additions, divisions,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continuations, continuations-in-part, substitutions, and reissues claiming priority to any of the foregoing applications, and all patents issuing on any of the foregoing patent applications, as well as any re-examinations, extensions, confirmations, registrations, revalidations, revisions, patent term extensions, supplemental protection certificates, renewals and the like with respect to any of the foregoing and all foreign counterparts thereof.</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1.91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Section 1.92 </w:t>
      </w:r>
      <w:r>
        <w:rPr>
          <w:rFonts w:ascii="Arial" w:cs="Arial" w:eastAsia="Arial" w:hAnsi="Arial"/>
          <w:sz w:val="18"/>
          <w:szCs w:val="18"/>
          <w:color w:val="auto"/>
        </w:rPr>
        <w:t>“</w:t>
      </w:r>
      <w:r>
        <w:rPr>
          <w:rFonts w:ascii="Arial" w:cs="Arial" w:eastAsia="Arial" w:hAnsi="Arial"/>
          <w:sz w:val="18"/>
          <w:szCs w:val="18"/>
          <w:b w:val="1"/>
          <w:bCs w:val="1"/>
          <w:color w:val="auto"/>
        </w:rPr>
        <w:t>Payer</w:t>
      </w:r>
      <w:r>
        <w:rPr>
          <w:rFonts w:ascii="Arial" w:cs="Arial" w:eastAsia="Arial" w:hAnsi="Arial"/>
          <w:sz w:val="18"/>
          <w:szCs w:val="18"/>
          <w:color w:val="auto"/>
        </w:rPr>
        <w:t>” means an organization, whether private or governmental (e.g., Centers for Medicare and Medicaid Services, Veterans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that provides medical and/or pharmacy plans for covering and reimbursing patients and/or Healthcare Professionals from medical expenses incurred, including without limitation, managed care organizations, pharmacy benefit managers, health maintenance organizations, other healthcare coverage providers, and any similar such organization.</w:t>
      </w:r>
    </w:p>
    <w:p>
      <w:pPr>
        <w:spacing w:after="0" w:line="72"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Section 1.93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corporation, limited or general partnership, limited liability company, joint venture, trust, unincorporated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governmental body, authority, bureau or agency, any other entity or body, or an individual.</w:t>
      </w:r>
    </w:p>
    <w:p>
      <w:pPr>
        <w:spacing w:after="0" w:line="5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Section 1.94 </w:t>
      </w:r>
      <w:r>
        <w:rPr>
          <w:rFonts w:ascii="Arial" w:cs="Arial" w:eastAsia="Arial" w:hAnsi="Arial"/>
          <w:sz w:val="18"/>
          <w:szCs w:val="18"/>
          <w:color w:val="auto"/>
        </w:rPr>
        <w:t>“</w:t>
      </w:r>
      <w:r>
        <w:rPr>
          <w:rFonts w:ascii="Arial" w:cs="Arial" w:eastAsia="Arial" w:hAnsi="Arial"/>
          <w:sz w:val="18"/>
          <w:szCs w:val="18"/>
          <w:b w:val="1"/>
          <w:bCs w:val="1"/>
          <w:color w:val="auto"/>
        </w:rPr>
        <w:t>Phase II Clinical Trial</w:t>
      </w:r>
      <w:r>
        <w:rPr>
          <w:rFonts w:ascii="Arial" w:cs="Arial" w:eastAsia="Arial" w:hAnsi="Arial"/>
          <w:sz w:val="18"/>
          <w:szCs w:val="18"/>
          <w:color w:val="auto"/>
        </w:rPr>
        <w:t>” means a preliminary efficacy and safety or dose ranging human clinical study of a pharmaceutical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target patient population, as described under 21 C.F.R. §312.21(b) with respect to the United States, or, with respect to a jurisdiction other than the United States, a similar clinical study.</w:t>
      </w:r>
    </w:p>
    <w:p>
      <w:pPr>
        <w:spacing w:after="0" w:line="6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Section 1.95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any (a) pharmaceutical or biopharmaceutical product containing a Licensed Compound or Program Compound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form or formulation or (b) any Distracting Product (including, for clarity, a De Novo Product ) that RBNC has elected to treat as a Newly Added Product pursuant to Section 5.4.2(c) on and after the date of such election.</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Section 1.96 </w:t>
      </w:r>
      <w:r>
        <w:rPr>
          <w:rFonts w:ascii="Arial" w:cs="Arial" w:eastAsia="Arial" w:hAnsi="Arial"/>
          <w:sz w:val="18"/>
          <w:szCs w:val="18"/>
          <w:color w:val="auto"/>
        </w:rPr>
        <w:t>“</w:t>
      </w:r>
      <w:r>
        <w:rPr>
          <w:rFonts w:ascii="Arial" w:cs="Arial" w:eastAsia="Arial" w:hAnsi="Arial"/>
          <w:sz w:val="18"/>
          <w:szCs w:val="18"/>
          <w:b w:val="1"/>
          <w:bCs w:val="1"/>
          <w:color w:val="auto"/>
        </w:rPr>
        <w:t>Program Compound</w:t>
      </w:r>
      <w:r>
        <w:rPr>
          <w:rFonts w:ascii="Arial" w:cs="Arial" w:eastAsia="Arial" w:hAnsi="Arial"/>
          <w:sz w:val="18"/>
          <w:szCs w:val="18"/>
          <w:color w:val="auto"/>
        </w:rPr>
        <w:t>” means (1) any compounds that are discovered or Exploited by or on behalf of RBNC, its Affiliates or</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that are Directed to GCase and the discovery or Exploitation of which incorporates, uses or is Covered by any: (a) Licensed Know-How, (b) Licensed Patents, (c) Licensed Compound, or (d) Licensed Materials or (2) any compound or active ingredient Directed to GCase included in any Newly Added Product and any derivatives thereof developed by or on behalf of RBNC or its Affiliates or Sublicensees and that are Directed to GCase. Notwithstanding anything to the contrary set forth herein, any improved or modified version or other variant or derivative of a Licensed Compound that is developed by or on behalf of RBNC (or any Sublicensee) and that is Directed to GCase shall constitute a “Program Compound” for purposes of this Agreement.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1.97 </w:t>
      </w:r>
      <w:r>
        <w:rPr>
          <w:rFonts w:ascii="Arial" w:cs="Arial" w:eastAsia="Arial" w:hAnsi="Arial"/>
          <w:sz w:val="18"/>
          <w:szCs w:val="18"/>
          <w:color w:val="auto"/>
        </w:rPr>
        <w:t>“</w:t>
      </w:r>
      <w:r>
        <w:rPr>
          <w:rFonts w:ascii="Arial" w:cs="Arial" w:eastAsia="Arial" w:hAnsi="Arial"/>
          <w:sz w:val="18"/>
          <w:szCs w:val="18"/>
          <w:b w:val="1"/>
          <w:bCs w:val="1"/>
          <w:color w:val="auto"/>
        </w:rPr>
        <w:t>Program Compound Inventions</w:t>
      </w:r>
      <w:r>
        <w:rPr>
          <w:rFonts w:ascii="Arial" w:cs="Arial" w:eastAsia="Arial" w:hAnsi="Arial"/>
          <w:sz w:val="18"/>
          <w:szCs w:val="18"/>
          <w:color w:val="auto"/>
        </w:rPr>
        <w:t>” has the meaning set forth in Section 4.1.2 (Intellectual Property Ownership).</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Section 1.98 </w:t>
      </w:r>
      <w:r>
        <w:rPr>
          <w:rFonts w:ascii="Arial" w:cs="Arial" w:eastAsia="Arial" w:hAnsi="Arial"/>
          <w:sz w:val="18"/>
          <w:szCs w:val="18"/>
          <w:color w:val="auto"/>
        </w:rPr>
        <w:t>“</w:t>
      </w:r>
      <w:r>
        <w:rPr>
          <w:rFonts w:ascii="Arial" w:cs="Arial" w:eastAsia="Arial" w:hAnsi="Arial"/>
          <w:sz w:val="18"/>
          <w:szCs w:val="18"/>
          <w:b w:val="1"/>
          <w:bCs w:val="1"/>
          <w:color w:val="auto"/>
        </w:rPr>
        <w:t>Program Patent</w:t>
      </w:r>
      <w:r>
        <w:rPr>
          <w:rFonts w:ascii="Arial" w:cs="Arial" w:eastAsia="Arial" w:hAnsi="Arial"/>
          <w:sz w:val="18"/>
          <w:szCs w:val="18"/>
          <w:color w:val="auto"/>
        </w:rPr>
        <w:t>” means Patent Rights Controlled by RBNC or its Affiliates or Sublicensees after the Effective Date that Cover</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0" w:right="459" w:bottom="1440" w:gutter="0" w:footer="0" w:header="0"/>
        </w:sectPr>
      </w:pPr>
    </w:p>
    <w:bookmarkStart w:id="422" w:name="page423"/>
    <w:bookmarkEnd w:id="422"/>
    <w:p>
      <w:pPr>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1.99 </w:t>
      </w:r>
      <w:r>
        <w:rPr>
          <w:rFonts w:ascii="Arial" w:cs="Arial" w:eastAsia="Arial" w:hAnsi="Arial"/>
          <w:sz w:val="16"/>
          <w:szCs w:val="16"/>
          <w:color w:val="auto"/>
        </w:rPr>
        <w:t>“</w:t>
      </w:r>
      <w:r>
        <w:rPr>
          <w:rFonts w:ascii="Arial" w:cs="Arial" w:eastAsia="Arial" w:hAnsi="Arial"/>
          <w:sz w:val="16"/>
          <w:szCs w:val="16"/>
          <w:b w:val="1"/>
          <w:bCs w:val="1"/>
          <w:color w:val="auto"/>
        </w:rPr>
        <w:t>Proper Conduct Practices</w:t>
      </w:r>
      <w:r>
        <w:rPr>
          <w:rFonts w:ascii="Arial" w:cs="Arial" w:eastAsia="Arial" w:hAnsi="Arial"/>
          <w:sz w:val="16"/>
          <w:szCs w:val="16"/>
          <w:color w:val="auto"/>
        </w:rPr>
        <w:t>” means, in relation to any Person, such Person and each of its Representatives, not,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(a) making, offering, authorizing, providing or paying anything of value in any form, whether in money, property, services or otherwise to any Governmental Authority, Government Official, or other Person charged with similar public or quasi-public duties, or to any customer, supplier, or any other Person, or to any employee thereof, or failing to disclose fully any such payments in violation of the laws of any relevant jurisdiction to (i) obtain favorable treatment in obtaining or retaining business for it or any of its Affiliates, (ii) pay for favorable treatment for business secured, (iii) obtain special concessions or for special concessions already obtained, for or in respect of it or any of its Affiliates, in each case which would have been in violation of any Law, (iv) influence an act or decision of the recipient (including a decision not to act) in connection with the Person’s or its Affiliate’s business, (v) induce the recipient to use his or her influence to affect any government act or decision in connection with the Person’s or its Affiliate’s business, or (vi) induce the recipient to violate his or her duty of loyalty to his or her organization, or as a reward for having done so; (b) engaging in any transactions, establishing or maintaining any fund or assets in which it or any of its Affiliates shall have proprietary rights that have not been recorded in the books and records of it or any of its Affiliates; (c) making any unlawful payment to any agent, employee, officer or director of any Person with which it or any of its Affiliates does business for the purpose of influencing such agent, employee, officer or director to do business with it or any of its Affiliates; (d) violating any provision of applicable Anti-Corruption Laws; (e) making any payment in the nature of bribery, fraud, or any other unlawful payment under the Law of any jurisdiction where it or any of its Affiliates conducts business or is registered; or (f) if such Person or any of its Representatives is a Government Official, improperly using his or her position as a Government Official to influence the award of business or regulatory approvals to or for the benefit of such Person, its Representatives or any of their business operations, or failing to recuse himself or herself from any participation as a Government Official in decisions relating to such Person, its Representatives or any of their business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1.100 </w:t>
      </w:r>
      <w:r>
        <w:rPr>
          <w:rFonts w:ascii="Arial" w:cs="Arial" w:eastAsia="Arial" w:hAnsi="Arial"/>
          <w:sz w:val="18"/>
          <w:szCs w:val="18"/>
          <w:color w:val="auto"/>
        </w:rPr>
        <w:t>“</w:t>
      </w:r>
      <w:r>
        <w:rPr>
          <w:rFonts w:ascii="Arial" w:cs="Arial" w:eastAsia="Arial" w:hAnsi="Arial"/>
          <w:sz w:val="18"/>
          <w:szCs w:val="18"/>
          <w:b w:val="1"/>
          <w:bCs w:val="1"/>
          <w:color w:val="auto"/>
        </w:rPr>
        <w:t>Proposed ROFN Transaction</w:t>
      </w:r>
      <w:r>
        <w:rPr>
          <w:rFonts w:ascii="Arial" w:cs="Arial" w:eastAsia="Arial" w:hAnsi="Arial"/>
          <w:sz w:val="18"/>
          <w:szCs w:val="18"/>
          <w:color w:val="auto"/>
        </w:rPr>
        <w:t>” has the meaning set forth in Section 2.4.1 (Exclusive Right of First Negotiation).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1.101 “Purchase Agreement” </w:t>
      </w:r>
      <w:r>
        <w:rPr>
          <w:rFonts w:ascii="Arial" w:cs="Arial" w:eastAsia="Arial" w:hAnsi="Arial"/>
          <w:sz w:val="18"/>
          <w:szCs w:val="18"/>
          <w:color w:val="auto"/>
        </w:rPr>
        <w:t>shall have the meaning set forth in the recitals hereto.</w:t>
      </w:r>
    </w:p>
    <w:p>
      <w:pPr>
        <w:spacing w:after="0" w:line="11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 xml:space="preserve">Section 1.102 </w:t>
      </w: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means an individual or entity, including without limitation wholesalers, pharmacies, and group purchasing</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organizations, that purchase an Amgen Therapeutic Product to sell to members of the healthcare community or that are authorized to act as a purchasing agent for a group of individuals or entities who furnish healthcare services.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1.103 </w:t>
      </w:r>
      <w:r>
        <w:rPr>
          <w:rFonts w:ascii="Arial" w:cs="Arial" w:eastAsia="Arial" w:hAnsi="Arial"/>
          <w:sz w:val="18"/>
          <w:szCs w:val="18"/>
          <w:color w:val="auto"/>
        </w:rPr>
        <w:t>“</w:t>
      </w:r>
      <w:r>
        <w:rPr>
          <w:rFonts w:ascii="Arial" w:cs="Arial" w:eastAsia="Arial" w:hAnsi="Arial"/>
          <w:sz w:val="18"/>
          <w:szCs w:val="18"/>
          <w:b w:val="1"/>
          <w:bCs w:val="1"/>
          <w:color w:val="auto"/>
        </w:rPr>
        <w:t>RBNC</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1.104 </w:t>
      </w:r>
      <w:r>
        <w:rPr>
          <w:rFonts w:ascii="Arial" w:cs="Arial" w:eastAsia="Arial" w:hAnsi="Arial"/>
          <w:sz w:val="18"/>
          <w:szCs w:val="18"/>
          <w:color w:val="auto"/>
        </w:rPr>
        <w:t>“</w:t>
      </w:r>
      <w:r>
        <w:rPr>
          <w:rFonts w:ascii="Arial" w:cs="Arial" w:eastAsia="Arial" w:hAnsi="Arial"/>
          <w:sz w:val="18"/>
          <w:szCs w:val="18"/>
          <w:b w:val="1"/>
          <w:bCs w:val="1"/>
          <w:color w:val="auto"/>
        </w:rPr>
        <w:t>RBNC Indemnified Parties</w:t>
      </w:r>
      <w:r>
        <w:rPr>
          <w:rFonts w:ascii="Arial" w:cs="Arial" w:eastAsia="Arial" w:hAnsi="Arial"/>
          <w:sz w:val="18"/>
          <w:szCs w:val="18"/>
          <w:color w:val="auto"/>
        </w:rPr>
        <w:t>” has the meaning set forth in Section 7.1.1 (By AMGEN).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1.105 </w:t>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8.1.1 (Confidential Information).</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7"/>
          <w:szCs w:val="17"/>
          <w:b w:val="1"/>
          <w:bCs w:val="1"/>
          <w:color w:val="auto"/>
        </w:rPr>
        <w:t xml:space="preserve">Section 1.106 </w:t>
      </w:r>
      <w:r>
        <w:rPr>
          <w:rFonts w:ascii="Arial" w:cs="Arial" w:eastAsia="Arial" w:hAnsi="Arial"/>
          <w:sz w:val="17"/>
          <w:szCs w:val="17"/>
          <w:color w:val="auto"/>
        </w:rPr>
        <w:t>“</w:t>
      </w:r>
      <w:r>
        <w:rPr>
          <w:rFonts w:ascii="Arial" w:cs="Arial" w:eastAsia="Arial" w:hAnsi="Arial"/>
          <w:sz w:val="17"/>
          <w:szCs w:val="17"/>
          <w:b w:val="1"/>
          <w:bCs w:val="1"/>
          <w:color w:val="auto"/>
        </w:rPr>
        <w:t>Regulatory Authority</w:t>
      </w:r>
      <w:r>
        <w:rPr>
          <w:rFonts w:ascii="Arial" w:cs="Arial" w:eastAsia="Arial" w:hAnsi="Arial"/>
          <w:sz w:val="17"/>
          <w:szCs w:val="17"/>
          <w:color w:val="auto"/>
        </w:rPr>
        <w:t>” means any Governmental Authority or other authority responsible for granting Marketing Approvals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Product, including the FDA, European Commission/EMA and any corresponding national or regional regulatory authorities.</w:t>
      </w:r>
    </w:p>
    <w:p>
      <w:pPr>
        <w:spacing w:after="0" w:line="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0" w:right="459" w:bottom="1440" w:gutter="0" w:footer="0" w:header="0"/>
        </w:sectPr>
      </w:pPr>
    </w:p>
    <w:bookmarkStart w:id="423" w:name="page424"/>
    <w:bookmarkEnd w:id="423"/>
    <w:p>
      <w:pPr>
        <w:ind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1.107 </w:t>
      </w:r>
      <w:r>
        <w:rPr>
          <w:rFonts w:ascii="Arial" w:cs="Arial" w:eastAsia="Arial" w:hAnsi="Arial"/>
          <w:sz w:val="18"/>
          <w:szCs w:val="18"/>
          <w:color w:val="auto"/>
        </w:rPr>
        <w:t>“</w:t>
      </w:r>
      <w:r>
        <w:rPr>
          <w:rFonts w:ascii="Arial" w:cs="Arial" w:eastAsia="Arial" w:hAnsi="Arial"/>
          <w:sz w:val="18"/>
          <w:szCs w:val="18"/>
          <w:b w:val="1"/>
          <w:bCs w:val="1"/>
          <w:color w:val="auto"/>
        </w:rPr>
        <w:t>Regulatory Exclusivity</w:t>
      </w:r>
      <w:r>
        <w:rPr>
          <w:rFonts w:ascii="Arial" w:cs="Arial" w:eastAsia="Arial" w:hAnsi="Arial"/>
          <w:sz w:val="18"/>
          <w:szCs w:val="18"/>
          <w:color w:val="auto"/>
        </w:rPr>
        <w:t>” means, with respect to the Product, any exclusive marketing rights or data exclusivity rights conferred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applicable Regulatory Authority with respect to the Product other than a Patent Right.</w:t>
      </w:r>
    </w:p>
    <w:p>
      <w:pPr>
        <w:spacing w:after="0" w:line="5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Section 1.108 </w:t>
      </w:r>
      <w:r>
        <w:rPr>
          <w:rFonts w:ascii="Arial" w:cs="Arial" w:eastAsia="Arial" w:hAnsi="Arial"/>
          <w:sz w:val="18"/>
          <w:szCs w:val="18"/>
          <w:color w:val="auto"/>
        </w:rPr>
        <w:t>“</w:t>
      </w:r>
      <w:r>
        <w:rPr>
          <w:rFonts w:ascii="Arial" w:cs="Arial" w:eastAsia="Arial" w:hAnsi="Arial"/>
          <w:sz w:val="18"/>
          <w:szCs w:val="18"/>
          <w:b w:val="1"/>
          <w:bCs w:val="1"/>
          <w:color w:val="auto"/>
        </w:rPr>
        <w:t>Regulatory Filing</w:t>
      </w:r>
      <w:r>
        <w:rPr>
          <w:rFonts w:ascii="Arial" w:cs="Arial" w:eastAsia="Arial" w:hAnsi="Arial"/>
          <w:sz w:val="18"/>
          <w:szCs w:val="18"/>
          <w:color w:val="auto"/>
        </w:rPr>
        <w:t>” means any all (a) submissions, material correspondence, notifications, registrations, licenses, authorizations,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and other filings with any Governmental Authority with respect to the research, development, manufacture, distribution, pricing, reimbursement, marketing or sale of the Product and (b) Marketing Approvals for the Product.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1.109 </w:t>
      </w: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has the meaning set forth in Section 8.2.2 (Review).</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7"/>
          <w:szCs w:val="17"/>
          <w:b w:val="1"/>
          <w:bCs w:val="1"/>
          <w:color w:val="auto"/>
        </w:rPr>
        <w:t xml:space="preserve">Section 1.110 </w:t>
      </w:r>
      <w:r>
        <w:rPr>
          <w:rFonts w:ascii="Arial" w:cs="Arial" w:eastAsia="Arial" w:hAnsi="Arial"/>
          <w:sz w:val="17"/>
          <w:szCs w:val="17"/>
          <w:color w:val="auto"/>
        </w:rPr>
        <w:t>“</w:t>
      </w:r>
      <w:r>
        <w:rPr>
          <w:rFonts w:ascii="Arial" w:cs="Arial" w:eastAsia="Arial" w:hAnsi="Arial"/>
          <w:sz w:val="17"/>
          <w:szCs w:val="17"/>
          <w:b w:val="1"/>
          <w:bCs w:val="1"/>
          <w:color w:val="auto"/>
        </w:rPr>
        <w:t>Representatives</w:t>
      </w:r>
      <w:r>
        <w:rPr>
          <w:rFonts w:ascii="Arial" w:cs="Arial" w:eastAsia="Arial" w:hAnsi="Arial"/>
          <w:sz w:val="17"/>
          <w:szCs w:val="17"/>
          <w:color w:val="auto"/>
        </w:rPr>
        <w:t>” means, as to any Person, such Person’s Affiliates and its and their successors, owners, controlling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employees, agents, representatives, subcontractors, or other third party acting for or on its behalf.</w:t>
      </w:r>
    </w:p>
    <w:p>
      <w:pPr>
        <w:spacing w:after="0" w:line="3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Section 1.111 </w:t>
      </w:r>
      <w:r>
        <w:rPr>
          <w:rFonts w:ascii="Arial" w:cs="Arial" w:eastAsia="Arial" w:hAnsi="Arial"/>
          <w:sz w:val="18"/>
          <w:szCs w:val="18"/>
          <w:color w:val="auto"/>
        </w:rPr>
        <w:t>“</w:t>
      </w:r>
      <w:r>
        <w:rPr>
          <w:rFonts w:ascii="Arial" w:cs="Arial" w:eastAsia="Arial" w:hAnsi="Arial"/>
          <w:sz w:val="18"/>
          <w:szCs w:val="18"/>
          <w:b w:val="1"/>
          <w:bCs w:val="1"/>
          <w:color w:val="auto"/>
        </w:rPr>
        <w:t>Restricted Target Program</w:t>
      </w:r>
      <w:r>
        <w:rPr>
          <w:rFonts w:ascii="Arial" w:cs="Arial" w:eastAsia="Arial" w:hAnsi="Arial"/>
          <w:sz w:val="18"/>
          <w:szCs w:val="18"/>
          <w:color w:val="auto"/>
        </w:rPr>
        <w:t>” means the research (other than the use as tool molecules), manufacture, clinical development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any [***] GCase and with intended use as a treatment in CNS Diseases.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1.112 </w:t>
      </w:r>
      <w:r>
        <w:rPr>
          <w:rFonts w:ascii="Arial" w:cs="Arial" w:eastAsia="Arial" w:hAnsi="Arial"/>
          <w:sz w:val="18"/>
          <w:szCs w:val="18"/>
          <w:color w:val="auto"/>
        </w:rPr>
        <w:t>“</w:t>
      </w:r>
      <w:r>
        <w:rPr>
          <w:rFonts w:ascii="Arial" w:cs="Arial" w:eastAsia="Arial" w:hAnsi="Arial"/>
          <w:sz w:val="18"/>
          <w:szCs w:val="18"/>
          <w:b w:val="1"/>
          <w:bCs w:val="1"/>
          <w:color w:val="auto"/>
        </w:rPr>
        <w:t>Reviewing Party</w:t>
      </w:r>
      <w:r>
        <w:rPr>
          <w:rFonts w:ascii="Arial" w:cs="Arial" w:eastAsia="Arial" w:hAnsi="Arial"/>
          <w:sz w:val="18"/>
          <w:szCs w:val="18"/>
          <w:color w:val="auto"/>
        </w:rPr>
        <w:t>” has the meaning set forth in Section 8.2.2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1.113 </w:t>
      </w:r>
      <w:r>
        <w:rPr>
          <w:rFonts w:ascii="Arial" w:cs="Arial" w:eastAsia="Arial" w:hAnsi="Arial"/>
          <w:sz w:val="18"/>
          <w:szCs w:val="18"/>
          <w:color w:val="auto"/>
        </w:rPr>
        <w:t>“</w:t>
      </w:r>
      <w:r>
        <w:rPr>
          <w:rFonts w:ascii="Arial" w:cs="Arial" w:eastAsia="Arial" w:hAnsi="Arial"/>
          <w:sz w:val="18"/>
          <w:szCs w:val="18"/>
          <w:b w:val="1"/>
          <w:bCs w:val="1"/>
          <w:color w:val="auto"/>
        </w:rPr>
        <w:t>ROFN Period</w:t>
      </w:r>
      <w:r>
        <w:rPr>
          <w:rFonts w:ascii="Arial" w:cs="Arial" w:eastAsia="Arial" w:hAnsi="Arial"/>
          <w:sz w:val="18"/>
          <w:szCs w:val="18"/>
          <w:color w:val="auto"/>
        </w:rPr>
        <w:t>” has the meaning set forth in Section 2.4.1 (Exclusive Right of First Negotiation).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1.114 </w:t>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set forth in Section 3.2.1 (Royalty Rate; Royalty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1.115 </w:t>
      </w:r>
      <w:r>
        <w:rPr>
          <w:rFonts w:ascii="Arial" w:cs="Arial" w:eastAsia="Arial" w:hAnsi="Arial"/>
          <w:sz w:val="18"/>
          <w:szCs w:val="18"/>
          <w:color w:val="auto"/>
        </w:rPr>
        <w:t>“</w:t>
      </w:r>
      <w:r>
        <w:rPr>
          <w:rFonts w:ascii="Arial" w:cs="Arial" w:eastAsia="Arial" w:hAnsi="Arial"/>
          <w:sz w:val="18"/>
          <w:szCs w:val="18"/>
          <w:b w:val="1"/>
          <w:bCs w:val="1"/>
          <w:color w:val="auto"/>
        </w:rPr>
        <w:t>Sale Transaction</w:t>
      </w:r>
      <w:r>
        <w:rPr>
          <w:rFonts w:ascii="Arial" w:cs="Arial" w:eastAsia="Arial" w:hAnsi="Arial"/>
          <w:sz w:val="18"/>
          <w:szCs w:val="18"/>
          <w:color w:val="auto"/>
        </w:rPr>
        <w:t>” has the meaning set forth in Section 10.8 (Successors and Assigns).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1.116 </w:t>
      </w: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Cuba, Iran, Syria, North Korea, and the Crimea Region of Ukraine, and any other country or region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comprehensive sanctions under applicable International Trade Laws.</w:t>
      </w:r>
    </w:p>
    <w:p>
      <w:pPr>
        <w:spacing w:after="0" w:line="54"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Section 1.117 </w:t>
      </w:r>
      <w:r>
        <w:rPr>
          <w:rFonts w:ascii="Arial" w:cs="Arial" w:eastAsia="Arial" w:hAnsi="Arial"/>
          <w:sz w:val="17"/>
          <w:szCs w:val="17"/>
          <w:color w:val="auto"/>
        </w:rPr>
        <w:t>“</w:t>
      </w:r>
      <w:r>
        <w:rPr>
          <w:rFonts w:ascii="Arial" w:cs="Arial" w:eastAsia="Arial" w:hAnsi="Arial"/>
          <w:sz w:val="17"/>
          <w:szCs w:val="17"/>
          <w:b w:val="1"/>
          <w:bCs w:val="1"/>
          <w:color w:val="auto"/>
        </w:rPr>
        <w:t>Sanctioned Person</w:t>
      </w:r>
      <w:r>
        <w:rPr>
          <w:rFonts w:ascii="Arial" w:cs="Arial" w:eastAsia="Arial" w:hAnsi="Arial"/>
          <w:sz w:val="17"/>
          <w:szCs w:val="17"/>
          <w:color w:val="auto"/>
        </w:rPr>
        <w:t>” means any natural or legal person (a) identified on the Specially Designated Nationals and Blocked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List administered by the U.S. Department of Treasury Office of Foreign Assets Control (OFAC), on the Entity List, the Unverified List, or the Denied Persons List administered by the U.S. Department of Commerce Bureau of Industry and Security (BIS), or on any equivalent lists maintained by the United Nations; (b) fifty percent (50%) or greater owned, directly or indirectly, in the aggregate, by a person or persons described in clause (a); or (c) that is organized, resident, or operating in a Sanctioned Country.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1.118 </w:t>
      </w:r>
      <w:r>
        <w:rPr>
          <w:rFonts w:ascii="Arial" w:cs="Arial" w:eastAsia="Arial" w:hAnsi="Arial"/>
          <w:sz w:val="18"/>
          <w:szCs w:val="18"/>
          <w:color w:val="auto"/>
        </w:rPr>
        <w:t>“</w:t>
      </w:r>
      <w:r>
        <w:rPr>
          <w:rFonts w:ascii="Arial" w:cs="Arial" w:eastAsia="Arial" w:hAnsi="Arial"/>
          <w:sz w:val="18"/>
          <w:szCs w:val="18"/>
          <w:b w:val="1"/>
          <w:bCs w:val="1"/>
          <w:color w:val="auto"/>
        </w:rPr>
        <w:t>Series A-2 Preferred Stock</w:t>
      </w:r>
      <w:r>
        <w:rPr>
          <w:rFonts w:ascii="Arial" w:cs="Arial" w:eastAsia="Arial" w:hAnsi="Arial"/>
          <w:sz w:val="18"/>
          <w:szCs w:val="18"/>
          <w:color w:val="auto"/>
        </w:rPr>
        <w:t>” means RBNC’s Series A-2 Preferred Stock,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1.119 </w:t>
      </w:r>
      <w:r>
        <w:rPr>
          <w:rFonts w:ascii="Arial" w:cs="Arial" w:eastAsia="Arial" w:hAnsi="Arial"/>
          <w:sz w:val="18"/>
          <w:szCs w:val="18"/>
          <w:color w:val="auto"/>
        </w:rPr>
        <w:t>“</w:t>
      </w:r>
      <w:r>
        <w:rPr>
          <w:rFonts w:ascii="Arial" w:cs="Arial" w:eastAsia="Arial" w:hAnsi="Arial"/>
          <w:sz w:val="18"/>
          <w:szCs w:val="18"/>
          <w:b w:val="1"/>
          <w:bCs w:val="1"/>
          <w:color w:val="auto"/>
        </w:rPr>
        <w:t>Significant Territorial Rights</w:t>
      </w:r>
      <w:r>
        <w:rPr>
          <w:rFonts w:ascii="Arial" w:cs="Arial" w:eastAsia="Arial" w:hAnsi="Arial"/>
          <w:sz w:val="18"/>
          <w:szCs w:val="18"/>
          <w:color w:val="auto"/>
        </w:rPr>
        <w:t>” means RBNC’s rights to develop or commercialize a Product in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1.120 </w:t>
      </w:r>
      <w:r>
        <w:rPr>
          <w:rFonts w:ascii="Arial" w:cs="Arial" w:eastAsia="Arial" w:hAnsi="Arial"/>
          <w:sz w:val="18"/>
          <w:szCs w:val="18"/>
          <w:color w:val="auto"/>
        </w:rPr>
        <w:t>“</w:t>
      </w:r>
      <w:r>
        <w:rPr>
          <w:rFonts w:ascii="Arial" w:cs="Arial" w:eastAsia="Arial" w:hAnsi="Arial"/>
          <w:sz w:val="18"/>
          <w:szCs w:val="18"/>
          <w:b w:val="1"/>
          <w:bCs w:val="1"/>
          <w:color w:val="auto"/>
        </w:rPr>
        <w:t>Sole Invention</w:t>
      </w:r>
      <w:r>
        <w:rPr>
          <w:rFonts w:ascii="Arial" w:cs="Arial" w:eastAsia="Arial" w:hAnsi="Arial"/>
          <w:sz w:val="18"/>
          <w:szCs w:val="18"/>
          <w:color w:val="auto"/>
        </w:rPr>
        <w:t>” has the meaning set forth in Section 4.1.1 (Intellectual Property Ownership).</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60"/>
          </w:cols>
          <w:pgMar w:left="880" w:top="270" w:right="55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1.121 </w:t>
      </w:r>
      <w:r>
        <w:rPr>
          <w:rFonts w:ascii="Arial" w:cs="Arial" w:eastAsia="Arial" w:hAnsi="Arial"/>
          <w:sz w:val="18"/>
          <w:szCs w:val="18"/>
          <w:color w:val="auto"/>
        </w:rPr>
        <w:t>“</w:t>
      </w:r>
      <w:r>
        <w:rPr>
          <w:rFonts w:ascii="Arial" w:cs="Arial" w:eastAsia="Arial" w:hAnsi="Arial"/>
          <w:sz w:val="18"/>
          <w:szCs w:val="18"/>
          <w:b w:val="1"/>
          <w:bCs w:val="1"/>
          <w:color w:val="auto"/>
        </w:rPr>
        <w:t>Sublicense Agreement</w:t>
      </w:r>
      <w:r>
        <w:rPr>
          <w:rFonts w:ascii="Arial" w:cs="Arial" w:eastAsia="Arial" w:hAnsi="Arial"/>
          <w:sz w:val="18"/>
          <w:szCs w:val="18"/>
          <w:color w:val="auto"/>
        </w:rPr>
        <w:t>” has the meaning set forth in Section 2.2 (Sublicenses).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1.122 </w:t>
      </w:r>
      <w:r>
        <w:rPr>
          <w:rFonts w:ascii="Arial" w:cs="Arial" w:eastAsia="Arial" w:hAnsi="Arial"/>
          <w:sz w:val="18"/>
          <w:szCs w:val="18"/>
          <w:color w:val="auto"/>
        </w:rPr>
        <w:t>“</w:t>
      </w:r>
      <w:r>
        <w:rPr>
          <w:rFonts w:ascii="Arial" w:cs="Arial" w:eastAsia="Arial" w:hAnsi="Arial"/>
          <w:sz w:val="18"/>
          <w:szCs w:val="18"/>
          <w:b w:val="1"/>
          <w:bCs w:val="1"/>
          <w:color w:val="auto"/>
        </w:rPr>
        <w:t>Sublicense Consideration</w:t>
      </w:r>
      <w:r>
        <w:rPr>
          <w:rFonts w:ascii="Arial" w:cs="Arial" w:eastAsia="Arial" w:hAnsi="Arial"/>
          <w:sz w:val="18"/>
          <w:szCs w:val="18"/>
          <w:color w:val="auto"/>
        </w:rPr>
        <w:t>” has the meaning set forth in Section 3.3 (Sublicensing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1.123 </w:t>
      </w:r>
      <w:r>
        <w:rPr>
          <w:rFonts w:ascii="Arial" w:cs="Arial" w:eastAsia="Arial" w:hAnsi="Arial"/>
          <w:sz w:val="18"/>
          <w:szCs w:val="18"/>
          <w:color w:val="auto"/>
        </w:rPr>
        <w:t>“</w:t>
      </w:r>
      <w:r>
        <w:rPr>
          <w:rFonts w:ascii="Arial" w:cs="Arial" w:eastAsia="Arial" w:hAnsi="Arial"/>
          <w:sz w:val="18"/>
          <w:szCs w:val="18"/>
          <w:b w:val="1"/>
          <w:bCs w:val="1"/>
          <w:color w:val="auto"/>
        </w:rPr>
        <w:t>Sublicense Income</w:t>
      </w:r>
      <w:r>
        <w:rPr>
          <w:rFonts w:ascii="Arial" w:cs="Arial" w:eastAsia="Arial" w:hAnsi="Arial"/>
          <w:sz w:val="18"/>
          <w:szCs w:val="18"/>
          <w:color w:val="auto"/>
        </w:rPr>
        <w:t>” has the meaning set forth in Section 3.3 (Sublicensing Income).</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Section 1.124 </w:t>
      </w:r>
      <w:r>
        <w:rPr>
          <w:rFonts w:ascii="Arial" w:cs="Arial" w:eastAsia="Arial" w:hAnsi="Arial"/>
          <w:sz w:val="18"/>
          <w:szCs w:val="18"/>
          <w:color w:val="auto"/>
        </w:rPr>
        <w:t>“</w:t>
      </w:r>
      <w:r>
        <w:rPr>
          <w:rFonts w:ascii="Arial" w:cs="Arial" w:eastAsia="Arial" w:hAnsi="Arial"/>
          <w:sz w:val="18"/>
          <w:szCs w:val="18"/>
          <w:b w:val="1"/>
          <w:bCs w:val="1"/>
          <w:color w:val="auto"/>
        </w:rPr>
        <w:t>Sublicensee(s)</w:t>
      </w:r>
      <w:r>
        <w:rPr>
          <w:rFonts w:ascii="Arial" w:cs="Arial" w:eastAsia="Arial" w:hAnsi="Arial"/>
          <w:sz w:val="18"/>
          <w:szCs w:val="18"/>
          <w:color w:val="auto"/>
        </w:rPr>
        <w:t>” means any Person other than an Affiliate of RBNC to which RBNC has granted a sublicense under Section 2.2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Section 1.125 </w:t>
      </w:r>
      <w:r>
        <w:rPr>
          <w:rFonts w:ascii="Arial" w:cs="Arial" w:eastAsia="Arial" w:hAnsi="Arial"/>
          <w:sz w:val="18"/>
          <w:szCs w:val="18"/>
          <w:color w:val="auto"/>
        </w:rPr>
        <w:t>“</w:t>
      </w:r>
      <w:r>
        <w:rPr>
          <w:rFonts w:ascii="Arial" w:cs="Arial" w:eastAsia="Arial" w:hAnsi="Arial"/>
          <w:sz w:val="18"/>
          <w:szCs w:val="18"/>
          <w:b w:val="1"/>
          <w:bCs w:val="1"/>
          <w:color w:val="auto"/>
        </w:rPr>
        <w:t>Successful Phase II Clinical Trial Report</w:t>
      </w:r>
      <w:r>
        <w:rPr>
          <w:rFonts w:ascii="Arial" w:cs="Arial" w:eastAsia="Arial" w:hAnsi="Arial"/>
          <w:sz w:val="18"/>
          <w:szCs w:val="18"/>
          <w:color w:val="auto"/>
        </w:rPr>
        <w:t>” means, with respect to a Phase II Clinical Trial in which [***], the final study report</w:t>
      </w:r>
      <w:r>
        <w:rPr>
          <w:rFonts w:ascii="Arial" w:cs="Arial" w:eastAsia="Arial" w:hAnsi="Arial"/>
          <w:sz w:val="18"/>
          <w:szCs w:val="18"/>
          <w:b w:val="1"/>
          <w:bCs w:val="1"/>
          <w:color w:val="auto"/>
        </w:rPr>
        <w:t xml:space="preserve"> </w:t>
      </w:r>
      <w:r>
        <w:rPr>
          <w:rFonts w:ascii="Arial" w:cs="Arial" w:eastAsia="Arial" w:hAnsi="Arial"/>
          <w:sz w:val="18"/>
          <w:szCs w:val="18"/>
          <w:color w:val="auto"/>
        </w:rPr>
        <w:t>from such Phase II Clinical Trial.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1.126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9.1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1.127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entire world.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1.128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 Person other than (a) AMGEN or any of its Affiliates and (b) RBNC or any of its Affiliates.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1.129 </w:t>
      </w:r>
      <w:r>
        <w:rPr>
          <w:rFonts w:ascii="Arial" w:cs="Arial" w:eastAsia="Arial" w:hAnsi="Arial"/>
          <w:sz w:val="18"/>
          <w:szCs w:val="18"/>
          <w:color w:val="auto"/>
        </w:rPr>
        <w:t>“</w:t>
      </w:r>
      <w:r>
        <w:rPr>
          <w:rFonts w:ascii="Arial" w:cs="Arial" w:eastAsia="Arial" w:hAnsi="Arial"/>
          <w:sz w:val="18"/>
          <w:szCs w:val="18"/>
          <w:b w:val="1"/>
          <w:bCs w:val="1"/>
          <w:color w:val="auto"/>
        </w:rPr>
        <w:t>Third Party Acquirer</w:t>
      </w:r>
      <w:r>
        <w:rPr>
          <w:rFonts w:ascii="Arial" w:cs="Arial" w:eastAsia="Arial" w:hAnsi="Arial"/>
          <w:sz w:val="18"/>
          <w:szCs w:val="18"/>
          <w:color w:val="auto"/>
        </w:rPr>
        <w:t>” has the meaning set forth in Section 10.9 (Sale Transaction or AMGEN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1.130 </w:t>
      </w: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has the meaning set forth in the Recitals 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1.131 </w:t>
      </w:r>
      <w:r>
        <w:rPr>
          <w:rFonts w:ascii="Arial" w:cs="Arial" w:eastAsia="Arial" w:hAnsi="Arial"/>
          <w:sz w:val="18"/>
          <w:szCs w:val="18"/>
          <w:color w:val="auto"/>
        </w:rPr>
        <w:t>“</w:t>
      </w:r>
      <w:r>
        <w:rPr>
          <w:rFonts w:ascii="Arial" w:cs="Arial" w:eastAsia="Arial" w:hAnsi="Arial"/>
          <w:sz w:val="18"/>
          <w:szCs w:val="18"/>
          <w:b w:val="1"/>
          <w:bCs w:val="1"/>
          <w:color w:val="auto"/>
        </w:rPr>
        <w:t>Transaction Notice</w:t>
      </w:r>
      <w:r>
        <w:rPr>
          <w:rFonts w:ascii="Arial" w:cs="Arial" w:eastAsia="Arial" w:hAnsi="Arial"/>
          <w:sz w:val="18"/>
          <w:szCs w:val="18"/>
          <w:color w:val="auto"/>
        </w:rPr>
        <w:t>” has the meaning set forth in Section 2.4.1 (Exclusive Right of First Negotiation).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1.132 </w:t>
      </w:r>
      <w:r>
        <w:rPr>
          <w:rFonts w:ascii="Arial" w:cs="Arial" w:eastAsia="Arial" w:hAnsi="Arial"/>
          <w:sz w:val="18"/>
          <w:szCs w:val="18"/>
          <w:color w:val="auto"/>
        </w:rPr>
        <w:t>“</w:t>
      </w:r>
      <w:r>
        <w:rPr>
          <w:rFonts w:ascii="Arial" w:cs="Arial" w:eastAsia="Arial" w:hAnsi="Arial"/>
          <w:sz w:val="18"/>
          <w:szCs w:val="18"/>
          <w:b w:val="1"/>
          <w:bCs w:val="1"/>
          <w:color w:val="auto"/>
        </w:rPr>
        <w:t>Transfer Support</w:t>
      </w:r>
      <w:r>
        <w:rPr>
          <w:rFonts w:ascii="Arial" w:cs="Arial" w:eastAsia="Arial" w:hAnsi="Arial"/>
          <w:sz w:val="18"/>
          <w:szCs w:val="18"/>
          <w:color w:val="auto"/>
        </w:rPr>
        <w:t>” has the meaning set forth in Section 2.5.3 (Technology Transfer Support).</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Section 1.133 </w:t>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including its territories and possessions (including the District of</w:t>
      </w:r>
      <w:r>
        <w:rPr>
          <w:rFonts w:ascii="Arial" w:cs="Arial" w:eastAsia="Arial" w:hAnsi="Arial"/>
          <w:sz w:val="18"/>
          <w:szCs w:val="18"/>
          <w:b w:val="1"/>
          <w:bCs w:val="1"/>
          <w:color w:val="auto"/>
        </w:rPr>
        <w:t xml:space="preserve"> </w:t>
      </w:r>
      <w:r>
        <w:rPr>
          <w:rFonts w:ascii="Arial" w:cs="Arial" w:eastAsia="Arial" w:hAnsi="Arial"/>
          <w:sz w:val="18"/>
          <w:szCs w:val="18"/>
          <w:color w:val="auto"/>
        </w:rPr>
        <w:t>Columbia and Puerto Rico).</w:t>
      </w:r>
    </w:p>
    <w:p>
      <w:pPr>
        <w:spacing w:after="0" w:line="54"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Section 1.134 </w:t>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claim of any issued and unexpired patent or patent application within the Program Patents,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Patents or Joint Patents and that has not been dedicated to the public, disclaimed, abandoned or held invalid or unenforceable by a final decision of a court or governmental agency of competent jurisdiction, which decision can no longer be appealed or was not appealed within the time allowed; </w:t>
      </w:r>
      <w:r>
        <w:rPr>
          <w:rFonts w:ascii="Arial" w:cs="Arial" w:eastAsia="Arial" w:hAnsi="Arial"/>
          <w:sz w:val="16"/>
          <w:szCs w:val="16"/>
          <w:b w:val="1"/>
          <w:bCs w:val="1"/>
          <w:i w:val="1"/>
          <w:iCs w:val="1"/>
          <w:color w:val="auto"/>
        </w:rPr>
        <w:t xml:space="preserve">provided, however, </w:t>
      </w:r>
      <w:r>
        <w:rPr>
          <w:rFonts w:ascii="Arial" w:cs="Arial" w:eastAsia="Arial" w:hAnsi="Arial"/>
          <w:sz w:val="16"/>
          <w:szCs w:val="16"/>
          <w:color w:val="auto"/>
        </w:rPr>
        <w:t>that if a claim of a pending patent application within the Program Patents, Licensed Patents or Joint Patents shall not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issued within [***] after the earliest filing date from which such claim takes priority, such claim shall not constitute a Valid Claim for the purposes of this Agreement unless and until a Patent Right issues with such claim (from and after which time the same would be deemed a Valid Claim).</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1.135 </w:t>
      </w: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has the meaning set forth in Section 3.10.3 (VAT).</w:t>
      </w:r>
    </w:p>
    <w:p>
      <w:pPr>
        <w:spacing w:after="0" w:line="16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0" w:right="45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 LICENSE GRANT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2.1 Grant. </w:t>
      </w:r>
      <w:r>
        <w:rPr>
          <w:rFonts w:ascii="Arial" w:cs="Arial" w:eastAsia="Arial" w:hAnsi="Arial"/>
          <w:sz w:val="18"/>
          <w:szCs w:val="18"/>
          <w:color w:val="auto"/>
        </w:rPr>
        <w:t>Subject to the terms and conditions of this Agreement, AMGEN shall grant and hereby grants to RBNC:</w:t>
      </w:r>
    </w:p>
    <w:p>
      <w:pPr>
        <w:spacing w:after="0" w:line="121" w:lineRule="exact"/>
        <w:rPr>
          <w:sz w:val="20"/>
          <w:szCs w:val="20"/>
          <w:color w:val="auto"/>
        </w:rPr>
      </w:pPr>
    </w:p>
    <w:p>
      <w:pPr>
        <w:ind w:left="1420" w:firstLine="8"/>
        <w:spacing w:after="0" w:line="263" w:lineRule="auto"/>
        <w:tabs>
          <w:tab w:leader="none" w:pos="166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 exclusive, (even as to AMGEN, but subject to Section 2.3), royalty-bearing, sublicensable (but only in accordance with Section 2.2 (Sublicenses)) license under AMGEN’s rights in and to the (i) Licensed Patents and Joint Patents and (ii) the Exclusively Licensed Know-How; and</w:t>
      </w:r>
    </w:p>
    <w:p>
      <w:pPr>
        <w:spacing w:after="0" w:line="75" w:lineRule="exact"/>
        <w:rPr>
          <w:rFonts w:ascii="Arial" w:cs="Arial" w:eastAsia="Arial" w:hAnsi="Arial"/>
          <w:sz w:val="18"/>
          <w:szCs w:val="18"/>
          <w:color w:val="auto"/>
        </w:rPr>
      </w:pPr>
    </w:p>
    <w:p>
      <w:pPr>
        <w:ind w:left="1420" w:right="60" w:firstLine="8"/>
        <w:spacing w:after="0" w:line="277" w:lineRule="auto"/>
        <w:tabs>
          <w:tab w:leader="none" w:pos="167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non-exclusive, royalty-bearing, sublicensable (but only in accordance with Section 2.2 (Sublicenses)) license under AMGEN’s rights in and to the Licensed Know-How (other than the Exclusively Licensed Know-How);</w:t>
      </w:r>
    </w:p>
    <w:p>
      <w:pPr>
        <w:spacing w:after="0" w:line="62" w:lineRule="exact"/>
        <w:rPr>
          <w:sz w:val="20"/>
          <w:szCs w:val="20"/>
          <w:color w:val="auto"/>
        </w:rPr>
      </w:pPr>
    </w:p>
    <w:p>
      <w:pPr>
        <w:ind w:left="440" w:right="300"/>
        <w:spacing w:after="0" w:line="286" w:lineRule="auto"/>
        <w:rPr>
          <w:sz w:val="20"/>
          <w:szCs w:val="20"/>
          <w:color w:val="auto"/>
        </w:rPr>
      </w:pPr>
      <w:r>
        <w:rPr>
          <w:rFonts w:ascii="Arial" w:cs="Arial" w:eastAsia="Arial" w:hAnsi="Arial"/>
          <w:sz w:val="17"/>
          <w:szCs w:val="17"/>
          <w:color w:val="auto"/>
        </w:rPr>
        <w:t>in each case (a) and (b), solely to discover and Exploit Licensed Compounds, Program Compounds and Products in the Licensed Field in the Territory during the Term. For the avoidance of doubt, RBNC and its Affiliates may only use the Licensed Know-How to discover and Exploit Licensed Compounds, Program Compounds and Products in the Licensed Field in the Territory.</w:t>
      </w:r>
    </w:p>
    <w:p>
      <w:pPr>
        <w:spacing w:after="0" w:line="57" w:lineRule="exact"/>
        <w:rPr>
          <w:sz w:val="20"/>
          <w:szCs w:val="20"/>
          <w:color w:val="auto"/>
        </w:rPr>
      </w:pPr>
    </w:p>
    <w:p>
      <w:pPr>
        <w:ind w:left="440" w:right="180"/>
        <w:spacing w:after="0" w:line="275" w:lineRule="auto"/>
        <w:rPr>
          <w:sz w:val="20"/>
          <w:szCs w:val="20"/>
          <w:color w:val="auto"/>
        </w:rPr>
      </w:pPr>
      <w:r>
        <w:rPr>
          <w:rFonts w:ascii="Arial" w:cs="Arial" w:eastAsia="Arial" w:hAnsi="Arial"/>
          <w:sz w:val="17"/>
          <w:szCs w:val="17"/>
          <w:color w:val="auto"/>
        </w:rPr>
        <w:t>The rights licensed to RBNC pursuant to this Section 2.1 shall be sublicensable only in connection with the rights of RBNC with respect to Licensed Compounds, Program Compounds and Products and not with respect to any other products or services. Neither AMGEN nor any of its Affiliates will enter into any agreement or otherwise license, grant, assign, transfer, convey, or otherwise encumber or dispose any right, title, or interest in or to any of the Licensed Patents, Joint Patents or Licensed Know-How, which agreement, license, grant, assignment, transfer, conveyance, encumbrance, or disposition would conflict with the rights granted to RBNC hereunder.</w:t>
      </w:r>
    </w:p>
    <w:p>
      <w:pPr>
        <w:spacing w:after="0" w:line="64" w:lineRule="exact"/>
        <w:rPr>
          <w:sz w:val="20"/>
          <w:szCs w:val="20"/>
          <w:color w:val="auto"/>
        </w:rPr>
      </w:pPr>
    </w:p>
    <w:p>
      <w:pPr>
        <w:ind w:left="440" w:right="100"/>
        <w:spacing w:after="0" w:line="287" w:lineRule="auto"/>
        <w:rPr>
          <w:sz w:val="20"/>
          <w:szCs w:val="20"/>
          <w:color w:val="auto"/>
        </w:rPr>
      </w:pPr>
      <w:r>
        <w:rPr>
          <w:rFonts w:ascii="Arial" w:cs="Arial" w:eastAsia="Arial" w:hAnsi="Arial"/>
          <w:sz w:val="16"/>
          <w:szCs w:val="16"/>
          <w:b w:val="1"/>
          <w:bCs w:val="1"/>
          <w:color w:val="auto"/>
        </w:rPr>
        <w:t xml:space="preserve">Section 2.2 Sublicenses. </w:t>
      </w:r>
      <w:r>
        <w:rPr>
          <w:rFonts w:ascii="Arial" w:cs="Arial" w:eastAsia="Arial" w:hAnsi="Arial"/>
          <w:sz w:val="16"/>
          <w:szCs w:val="16"/>
          <w:color w:val="auto"/>
        </w:rPr>
        <w:t>RBNC shall be entitled, without the prior consent of AMGEN, to grant one or more sublicenses of the rights granted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AMGEN under Section 2.1 to RBNC, by a written agreement to one or more Sublicensees (including through multiple tiers of sublicenses),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as a condition precedent to and requirement of any such sublicense: (a) any such permitted sublicense shall be in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consistent with and subject to the terms and conditions of this Agreement (each a “</w:t>
      </w:r>
      <w:r>
        <w:rPr>
          <w:rFonts w:ascii="Arial" w:cs="Arial" w:eastAsia="Arial" w:hAnsi="Arial"/>
          <w:sz w:val="16"/>
          <w:szCs w:val="16"/>
          <w:b w:val="1"/>
          <w:bCs w:val="1"/>
          <w:color w:val="auto"/>
        </w:rPr>
        <w:t>Sublicense Agreement</w:t>
      </w:r>
      <w:r>
        <w:rPr>
          <w:rFonts w:ascii="Arial" w:cs="Arial" w:eastAsia="Arial" w:hAnsi="Arial"/>
          <w:sz w:val="16"/>
          <w:szCs w:val="16"/>
          <w:color w:val="auto"/>
        </w:rPr>
        <w:t>”); and (b) RBNC will continue to be responsible for full performance of RBNC’s obligations under this Agreement; and (c) RBNC shall pay Sublicense Consideration, if any, in accordance with Section 3.3 (Sublicensing Income); and (d) in all other respects, RBNC will be responsible for all actions of such Sublicensee as if such Sublicensee were RBNC hereunder, including, for clarity, payment of royalties under Section 3.2. Notwithstanding the foregoing, with respect to the sublicensing of Significant Territorial Rights, RBNC shall have no right to grant any such sublicenses to Exploit the Products prior to the earlier of [***], without AMGEN’s prior written consent, except that RBNC may grant sublicenses to contractors acting in support of RBNC’s efforts to Exploit the Products as described in Section 5.1 (Responsibility). [***] during the term of this Agreement, RBNC will provide AMGEN a list of all Sublicense Agreements (excluding agreements with contractors acting in support of RBNC’s efforts to Exploit the Products) then in effect together with a summary of any Sublicense Income received by RBNC pursuant to each such Sublicense Agreement.</w:t>
      </w:r>
    </w:p>
    <w:p>
      <w:pPr>
        <w:spacing w:after="0" w:line="60" w:lineRule="exact"/>
        <w:rPr>
          <w:sz w:val="20"/>
          <w:szCs w:val="20"/>
          <w:color w:val="auto"/>
        </w:rPr>
      </w:pPr>
    </w:p>
    <w:p>
      <w:pPr>
        <w:ind w:left="440" w:right="120"/>
        <w:spacing w:after="0" w:line="281" w:lineRule="auto"/>
        <w:rPr>
          <w:sz w:val="20"/>
          <w:szCs w:val="20"/>
          <w:color w:val="auto"/>
        </w:rPr>
      </w:pPr>
      <w:r>
        <w:rPr>
          <w:rFonts w:ascii="Arial" w:cs="Arial" w:eastAsia="Arial" w:hAnsi="Arial"/>
          <w:sz w:val="17"/>
          <w:szCs w:val="17"/>
          <w:b w:val="1"/>
          <w:bCs w:val="1"/>
          <w:color w:val="auto"/>
        </w:rPr>
        <w:t>Section 2.3 Retained Rights and Limitations</w:t>
      </w:r>
      <w:r>
        <w:rPr>
          <w:rFonts w:ascii="Arial" w:cs="Arial" w:eastAsia="Arial" w:hAnsi="Arial"/>
          <w:sz w:val="17"/>
          <w:szCs w:val="17"/>
          <w:color w:val="auto"/>
        </w:rPr>
        <w:t>. Notwithstanding the exclusive license granted to RBNC in this Article 2 (License Grant),</w:t>
      </w:r>
      <w:r>
        <w:rPr>
          <w:rFonts w:ascii="Arial" w:cs="Arial" w:eastAsia="Arial" w:hAnsi="Arial"/>
          <w:sz w:val="17"/>
          <w:szCs w:val="17"/>
          <w:b w:val="1"/>
          <w:bCs w:val="1"/>
          <w:color w:val="auto"/>
        </w:rPr>
        <w:t xml:space="preserve"> </w:t>
      </w:r>
      <w:r>
        <w:rPr>
          <w:rFonts w:ascii="Arial" w:cs="Arial" w:eastAsia="Arial" w:hAnsi="Arial"/>
          <w:sz w:val="17"/>
          <w:szCs w:val="17"/>
          <w:color w:val="auto"/>
        </w:rPr>
        <w:t>AMGEN retains a research-only right under AMGEN’s rights in and to the Licensed Patents, Joint Patents and Exclusively Licensed Know-How solely for AMGEN’s internal research use; provided, however, that neither AMGEN nor any of its Affiliates manufacture, clinically develop, interact with any Regulatory Authority with respect to, sell or otherwise commercialize, any Licensed Compound.</w:t>
      </w:r>
    </w:p>
    <w:p>
      <w:pPr>
        <w:spacing w:after="0" w:line="1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2.4 Exclusive Right of First Negotiation</w:t>
      </w:r>
      <w:r>
        <w:rPr>
          <w:rFonts w:ascii="Arial" w:cs="Arial" w:eastAsia="Arial" w:hAnsi="Arial"/>
          <w:sz w:val="18"/>
          <w:szCs w:val="18"/>
          <w:color w:val="auto"/>
        </w:rPr>
        <w:t>.</w:t>
      </w:r>
    </w:p>
    <w:p>
      <w:pPr>
        <w:spacing w:after="0" w:line="117" w:lineRule="exact"/>
        <w:rPr>
          <w:sz w:val="20"/>
          <w:szCs w:val="20"/>
          <w:color w:val="auto"/>
        </w:rPr>
      </w:pPr>
    </w:p>
    <w:p>
      <w:pPr>
        <w:ind w:left="540" w:right="20" w:firstLine="401"/>
        <w:spacing w:after="0" w:line="286" w:lineRule="auto"/>
        <w:rPr>
          <w:sz w:val="20"/>
          <w:szCs w:val="20"/>
          <w:color w:val="auto"/>
        </w:rPr>
      </w:pPr>
      <w:r>
        <w:rPr>
          <w:rFonts w:ascii="Arial" w:cs="Arial" w:eastAsia="Arial" w:hAnsi="Arial"/>
          <w:sz w:val="16"/>
          <w:szCs w:val="16"/>
          <w:b w:val="1"/>
          <w:bCs w:val="1"/>
          <w:color w:val="auto"/>
        </w:rPr>
        <w:t xml:space="preserve">2.4.1 </w:t>
      </w:r>
      <w:r>
        <w:rPr>
          <w:rFonts w:ascii="Arial" w:cs="Arial" w:eastAsia="Arial" w:hAnsi="Arial"/>
          <w:sz w:val="16"/>
          <w:szCs w:val="16"/>
          <w:color w:val="auto"/>
        </w:rPr>
        <w:t>If during the period starting on the Effective Date and ending on the date that is [***] days after the date on which RBNC first</w:t>
      </w:r>
      <w:r>
        <w:rPr>
          <w:rFonts w:ascii="Arial" w:cs="Arial" w:eastAsia="Arial" w:hAnsi="Arial"/>
          <w:sz w:val="16"/>
          <w:szCs w:val="16"/>
          <w:b w:val="1"/>
          <w:bCs w:val="1"/>
          <w:color w:val="auto"/>
        </w:rPr>
        <w:t xml:space="preserve"> </w:t>
      </w:r>
      <w:r>
        <w:rPr>
          <w:rFonts w:ascii="Arial" w:cs="Arial" w:eastAsia="Arial" w:hAnsi="Arial"/>
          <w:sz w:val="16"/>
          <w:szCs w:val="16"/>
          <w:color w:val="auto"/>
        </w:rPr>
        <w:t>delivers to AMGEN a [***] Phase II Clinical Trial Report for any Product (the “</w:t>
      </w:r>
      <w:r>
        <w:rPr>
          <w:rFonts w:ascii="Arial" w:cs="Arial" w:eastAsia="Arial" w:hAnsi="Arial"/>
          <w:sz w:val="16"/>
          <w:szCs w:val="16"/>
          <w:b w:val="1"/>
          <w:bCs w:val="1"/>
          <w:color w:val="auto"/>
        </w:rPr>
        <w:t>ROFN Period</w:t>
      </w:r>
      <w:r>
        <w:rPr>
          <w:rFonts w:ascii="Arial" w:cs="Arial" w:eastAsia="Arial" w:hAnsi="Arial"/>
          <w:sz w:val="16"/>
          <w:szCs w:val="16"/>
          <w:color w:val="auto"/>
        </w:rPr>
        <w:t>”), RBNC (or any assignee or surviving party) elects to (i) sell, transfer, sublicense or divest [***], or (ii) [***] (but excluding a transaction that involves RBNC’s Change of Control) (each, a “</w:t>
      </w:r>
      <w:r>
        <w:rPr>
          <w:rFonts w:ascii="Arial" w:cs="Arial" w:eastAsia="Arial" w:hAnsi="Arial"/>
          <w:sz w:val="16"/>
          <w:szCs w:val="16"/>
          <w:b w:val="1"/>
          <w:bCs w:val="1"/>
          <w:color w:val="auto"/>
        </w:rPr>
        <w:t>Proposed ROFN Transaction</w:t>
      </w:r>
      <w:r>
        <w:rPr>
          <w:rFonts w:ascii="Arial" w:cs="Arial" w:eastAsia="Arial" w:hAnsi="Arial"/>
          <w:sz w:val="16"/>
          <w:szCs w:val="16"/>
          <w:color w:val="auto"/>
        </w:rPr>
        <w:t>”), then within [***] days of such election or receipt RBNC will provide AMGEN with a confidential written notice of the Proposed ROFN Transaction summarizing [***] (the “</w:t>
      </w:r>
      <w:r>
        <w:rPr>
          <w:rFonts w:ascii="Arial" w:cs="Arial" w:eastAsia="Arial" w:hAnsi="Arial"/>
          <w:sz w:val="16"/>
          <w:szCs w:val="16"/>
          <w:b w:val="1"/>
          <w:bCs w:val="1"/>
          <w:color w:val="auto"/>
        </w:rPr>
        <w:t>Transaction Notice</w:t>
      </w:r>
      <w:r>
        <w:rPr>
          <w:rFonts w:ascii="Arial" w:cs="Arial" w:eastAsia="Arial" w:hAnsi="Arial"/>
          <w:sz w:val="16"/>
          <w:szCs w:val="16"/>
          <w:color w:val="auto"/>
        </w:rPr>
        <w:t>”). If subsection (ii) applies,</w:t>
      </w:r>
    </w:p>
    <w:p>
      <w:pPr>
        <w:spacing w:after="0" w:line="2" w:lineRule="exact"/>
        <w:rPr>
          <w:sz w:val="20"/>
          <w:szCs w:val="20"/>
          <w:color w:val="auto"/>
        </w:rPr>
      </w:pPr>
    </w:p>
    <w:p>
      <w:pPr>
        <w:ind w:left="540" w:right="220" w:firstLine="7"/>
        <w:spacing w:after="0" w:line="273" w:lineRule="auto"/>
        <w:tabs>
          <w:tab w:leader="none" w:pos="97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unless Amgen declines the opportunity to negotiate with RBNC pursuant to this Section 2.4 or fails to provide an Amgen Election Notice for such Proposed ROFN Transaction in response to the relevant Transaction Notice, or Amgen and RBNC do not enter into an agreement with respect to such Proposed ROFN Transaction prior to expiration of the Negotiation Exclusivity Period for such Proposed ROFN Transaction after Amgen provides a timely Transaction Notice for such Proposed ROFN Transaction.</w:t>
      </w:r>
    </w:p>
    <w:p>
      <w:pPr>
        <w:spacing w:after="0" w:line="64" w:lineRule="exact"/>
        <w:rPr>
          <w:sz w:val="20"/>
          <w:szCs w:val="20"/>
          <w:color w:val="auto"/>
        </w:rPr>
      </w:pPr>
    </w:p>
    <w:p>
      <w:pPr>
        <w:ind w:left="540" w:right="80" w:firstLine="401"/>
        <w:spacing w:after="0" w:line="274" w:lineRule="auto"/>
        <w:rPr>
          <w:sz w:val="20"/>
          <w:szCs w:val="20"/>
          <w:color w:val="auto"/>
        </w:rPr>
      </w:pPr>
      <w:r>
        <w:rPr>
          <w:rFonts w:ascii="Arial" w:cs="Arial" w:eastAsia="Arial" w:hAnsi="Arial"/>
          <w:sz w:val="17"/>
          <w:szCs w:val="17"/>
          <w:b w:val="1"/>
          <w:bCs w:val="1"/>
          <w:color w:val="auto"/>
        </w:rPr>
        <w:t xml:space="preserve">2.4.2 </w:t>
      </w:r>
      <w:r>
        <w:rPr>
          <w:rFonts w:ascii="Arial" w:cs="Arial" w:eastAsia="Arial" w:hAnsi="Arial"/>
          <w:sz w:val="17"/>
          <w:szCs w:val="17"/>
          <w:color w:val="auto"/>
        </w:rPr>
        <w:t>If AMGEN desires to negotiate an arrangement pursuant to which it would enter into an agreement with RBNC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Proposed ROFN Transaction, AMGEN must notify RBNC thereof (the “</w:t>
      </w:r>
      <w:r>
        <w:rPr>
          <w:rFonts w:ascii="Arial" w:cs="Arial" w:eastAsia="Arial" w:hAnsi="Arial"/>
          <w:sz w:val="17"/>
          <w:szCs w:val="17"/>
          <w:b w:val="1"/>
          <w:bCs w:val="1"/>
          <w:color w:val="auto"/>
        </w:rPr>
        <w:t>AMGEN Election Notice</w:t>
      </w:r>
      <w:r>
        <w:rPr>
          <w:rFonts w:ascii="Arial" w:cs="Arial" w:eastAsia="Arial" w:hAnsi="Arial"/>
          <w:sz w:val="17"/>
          <w:szCs w:val="17"/>
          <w:color w:val="auto"/>
        </w:rPr>
        <w:t>”) within [***] days of AMGEN’s receipt of the Transaction Notice (“</w:t>
      </w:r>
      <w:r>
        <w:rPr>
          <w:rFonts w:ascii="Arial" w:cs="Arial" w:eastAsia="Arial" w:hAnsi="Arial"/>
          <w:sz w:val="17"/>
          <w:szCs w:val="17"/>
          <w:b w:val="1"/>
          <w:bCs w:val="1"/>
          <w:color w:val="auto"/>
        </w:rPr>
        <w:t>Notice Period</w:t>
      </w:r>
      <w:r>
        <w:rPr>
          <w:rFonts w:ascii="Arial" w:cs="Arial" w:eastAsia="Arial" w:hAnsi="Arial"/>
          <w:sz w:val="17"/>
          <w:szCs w:val="17"/>
          <w:color w:val="auto"/>
        </w:rPr>
        <w:t>”). For [***] days following AMGEN’s timely delivery of the AMGEN Election Notice or such longer time as the Parties may mutually agree in writing (the “</w:t>
      </w:r>
      <w:r>
        <w:rPr>
          <w:rFonts w:ascii="Arial" w:cs="Arial" w:eastAsia="Arial" w:hAnsi="Arial"/>
          <w:sz w:val="17"/>
          <w:szCs w:val="17"/>
          <w:b w:val="1"/>
          <w:bCs w:val="1"/>
          <w:color w:val="auto"/>
        </w:rPr>
        <w:t>Negotiation Exclusivity Period</w:t>
      </w:r>
      <w:r>
        <w:rPr>
          <w:rFonts w:ascii="Arial" w:cs="Arial" w:eastAsia="Arial" w:hAnsi="Arial"/>
          <w:sz w:val="17"/>
          <w:szCs w:val="17"/>
          <w:color w:val="auto"/>
        </w:rPr>
        <w:t>”), AMGEN will have an exclusive right to negotiate such a Proposed ROFN Transaction. During the Negotiation Exclusivity Period, RBNC shall negotiate exclusively with AMGEN in good faith to reach agreement for such Proposed ROFN Transaction between the Parties.</w:t>
      </w:r>
    </w:p>
    <w:p>
      <w:pPr>
        <w:spacing w:after="0" w:line="65" w:lineRule="exact"/>
        <w:rPr>
          <w:sz w:val="20"/>
          <w:szCs w:val="20"/>
          <w:color w:val="auto"/>
        </w:rPr>
      </w:pPr>
    </w:p>
    <w:p>
      <w:pPr>
        <w:ind w:left="540" w:firstLine="401"/>
        <w:spacing w:after="0" w:line="255" w:lineRule="auto"/>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On a Proposed ROFN Transaction-by-Proposed ROFN Transaction basis, AMGEN’s rights under Sections 2.4.1 and 2.4.2 will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(and RBNC will have no further obligations to AMGEN under Sections 2.4.1 and 2.4.2), and for clarity RBNC will be free to offer, negotiate and execute an agreement with respect to such Proposed ROFN Transaction with any Third Party (a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 upon the earlier of: (a) AMGEN declining the opportunity to negotiate or failing to respond to the Transaction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Notice Period (a “</w:t>
      </w:r>
      <w:r>
        <w:rPr>
          <w:rFonts w:ascii="Arial" w:cs="Arial" w:eastAsia="Arial" w:hAnsi="Arial"/>
          <w:sz w:val="18"/>
          <w:szCs w:val="18"/>
          <w:b w:val="1"/>
          <w:bCs w:val="1"/>
          <w:color w:val="auto"/>
        </w:rPr>
        <w:t>Failure to Indicate Interest</w:t>
      </w:r>
      <w:r>
        <w:rPr>
          <w:rFonts w:ascii="Arial" w:cs="Arial" w:eastAsia="Arial" w:hAnsi="Arial"/>
          <w:sz w:val="18"/>
          <w:szCs w:val="18"/>
          <w:color w:val="auto"/>
        </w:rPr>
        <w:t>”), and (b) if AMGEN provides a timely AMGEN Election Notice, the expiration of the Negotiation Exclusivity Period without the Parties consummating such Proposed ROFN Transaction prior thereto (a “</w:t>
      </w:r>
      <w:r>
        <w:rPr>
          <w:rFonts w:ascii="Arial" w:cs="Arial" w:eastAsia="Arial" w:hAnsi="Arial"/>
          <w:sz w:val="18"/>
          <w:szCs w:val="18"/>
          <w:b w:val="1"/>
          <w:bCs w:val="1"/>
          <w:color w:val="auto"/>
        </w:rPr>
        <w:t>Failure to</w:t>
      </w:r>
      <w:r>
        <w:rPr>
          <w:rFonts w:ascii="Arial" w:cs="Arial" w:eastAsia="Arial" w:hAnsi="Arial"/>
          <w:sz w:val="18"/>
          <w:szCs w:val="18"/>
          <w:color w:val="auto"/>
        </w:rPr>
        <w:t xml:space="preserve"> </w:t>
      </w:r>
      <w:r>
        <w:rPr>
          <w:rFonts w:ascii="Arial" w:cs="Arial" w:eastAsia="Arial" w:hAnsi="Arial"/>
          <w:sz w:val="18"/>
          <w:szCs w:val="18"/>
          <w:b w:val="1"/>
          <w:bCs w:val="1"/>
          <w:color w:val="auto"/>
        </w:rPr>
        <w:t>Conclude License</w:t>
      </w:r>
      <w:r>
        <w:rPr>
          <w:rFonts w:ascii="Arial" w:cs="Arial" w:eastAsia="Arial" w:hAnsi="Arial"/>
          <w:sz w:val="18"/>
          <w:szCs w:val="18"/>
          <w:color w:val="auto"/>
        </w:rPr>
        <w:t>”); [***]. If [***].</w:t>
      </w:r>
    </w:p>
    <w:p>
      <w:pPr>
        <w:spacing w:after="0" w:line="81" w:lineRule="exact"/>
        <w:rPr>
          <w:sz w:val="20"/>
          <w:szCs w:val="20"/>
          <w:color w:val="auto"/>
        </w:rPr>
      </w:pPr>
    </w:p>
    <w:p>
      <w:pPr>
        <w:ind w:left="540" w:right="260" w:firstLine="401"/>
        <w:spacing w:after="0" w:line="282" w:lineRule="auto"/>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color w:val="auto"/>
        </w:rPr>
        <w:t>Amgen’s rights and RBNC’s obligations under Sections 2.4.1-2.4.3 will expire in their entirety with respect to any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ROFN Transaction upon the expiration of the ROFN Period for such Proposed ROFN Transaction, [***].</w:t>
      </w:r>
    </w:p>
    <w:p>
      <w:pPr>
        <w:spacing w:after="0" w:line="9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0" w:right="459" w:bottom="1440" w:gutter="0" w:footer="0" w:header="0"/>
        </w:sectPr>
      </w:pPr>
    </w:p>
    <w:bookmarkStart w:id="427" w:name="page428"/>
    <w:bookmarkEnd w:id="427"/>
    <w:p>
      <w:pPr>
        <w:jc w:val="both"/>
        <w:ind w:left="540" w:right="520" w:firstLine="40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2.4.5 </w:t>
      </w:r>
      <w:r>
        <w:rPr>
          <w:rFonts w:ascii="Arial" w:cs="Arial" w:eastAsia="Arial" w:hAnsi="Arial"/>
          <w:sz w:val="18"/>
          <w:szCs w:val="18"/>
          <w:color w:val="auto"/>
        </w:rPr>
        <w:t>For the sake of clarity, the foregoing provision shall not apply to the grant of a sublicense to a contract manufacturer or a</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research organization or other Third Party contractor solely for the purpose of manufacturing, developing or researching a Licensed Compound, Program Compound or Product for RBNC.</w:t>
      </w:r>
    </w:p>
    <w:p>
      <w:pPr>
        <w:spacing w:after="0" w:line="68" w:lineRule="exact"/>
        <w:rPr>
          <w:sz w:val="20"/>
          <w:szCs w:val="20"/>
          <w:color w:val="auto"/>
        </w:rPr>
      </w:pPr>
    </w:p>
    <w:p>
      <w:pPr>
        <w:ind w:left="540" w:firstLine="401"/>
        <w:spacing w:after="0" w:line="314" w:lineRule="auto"/>
        <w:rPr>
          <w:sz w:val="20"/>
          <w:szCs w:val="20"/>
          <w:color w:val="auto"/>
        </w:rPr>
      </w:pPr>
      <w:r>
        <w:rPr>
          <w:rFonts w:ascii="Arial" w:cs="Arial" w:eastAsia="Arial" w:hAnsi="Arial"/>
          <w:sz w:val="16"/>
          <w:szCs w:val="16"/>
          <w:b w:val="1"/>
          <w:bCs w:val="1"/>
          <w:color w:val="auto"/>
        </w:rPr>
        <w:t xml:space="preserve">2.4.6 </w:t>
      </w:r>
      <w:r>
        <w:rPr>
          <w:rFonts w:ascii="Arial" w:cs="Arial" w:eastAsia="Arial" w:hAnsi="Arial"/>
          <w:sz w:val="16"/>
          <w:szCs w:val="16"/>
          <w:color w:val="auto"/>
        </w:rPr>
        <w:t>If RBNC undergoes a Change of Control (but excluding any Change of Control resulting from an IPO) during the ROFN</w:t>
      </w:r>
      <w:r>
        <w:rPr>
          <w:rFonts w:ascii="Arial" w:cs="Arial" w:eastAsia="Arial" w:hAnsi="Arial"/>
          <w:sz w:val="16"/>
          <w:szCs w:val="16"/>
          <w:b w:val="1"/>
          <w:bCs w:val="1"/>
          <w:color w:val="auto"/>
        </w:rPr>
        <w:t xml:space="preserve"> </w:t>
      </w:r>
      <w:r>
        <w:rPr>
          <w:rFonts w:ascii="Arial" w:cs="Arial" w:eastAsia="Arial" w:hAnsi="Arial"/>
          <w:sz w:val="16"/>
          <w:szCs w:val="16"/>
          <w:color w:val="auto"/>
        </w:rPr>
        <w:t>Period, then RBNC shall notify AMGEN in writing thereof, and notwithstanding anything to the contrary in this Agreement, AMGEN will not have any rights, and RBNC will not have any obligations to AMGEN, under this Section 2.4 following the closing of such transaction.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Transfer of Licensed Know-How and Licensed Materials</w:t>
      </w:r>
      <w:r>
        <w:rPr>
          <w:rFonts w:ascii="Arial" w:cs="Arial" w:eastAsia="Arial" w:hAnsi="Arial"/>
          <w:sz w:val="18"/>
          <w:szCs w:val="18"/>
          <w:color w:val="auto"/>
        </w:rPr>
        <w:t>.</w:t>
      </w:r>
    </w:p>
    <w:p>
      <w:pPr>
        <w:spacing w:after="0" w:line="117" w:lineRule="exact"/>
        <w:rPr>
          <w:sz w:val="20"/>
          <w:szCs w:val="20"/>
          <w:color w:val="auto"/>
        </w:rPr>
      </w:pPr>
    </w:p>
    <w:p>
      <w:pPr>
        <w:ind w:left="540" w:right="20" w:firstLine="401"/>
        <w:spacing w:after="0" w:line="270" w:lineRule="auto"/>
        <w:rPr>
          <w:sz w:val="20"/>
          <w:szCs w:val="20"/>
          <w:color w:val="auto"/>
        </w:rPr>
      </w:pPr>
      <w:r>
        <w:rPr>
          <w:rFonts w:ascii="Arial" w:cs="Arial" w:eastAsia="Arial" w:hAnsi="Arial"/>
          <w:sz w:val="17"/>
          <w:szCs w:val="17"/>
          <w:b w:val="1"/>
          <w:bCs w:val="1"/>
          <w:color w:val="auto"/>
        </w:rPr>
        <w:t>2.5.1 Licensed Know-How and Licensed Materials</w:t>
      </w:r>
      <w:r>
        <w:rPr>
          <w:rFonts w:ascii="Arial" w:cs="Arial" w:eastAsia="Arial" w:hAnsi="Arial"/>
          <w:sz w:val="17"/>
          <w:szCs w:val="17"/>
          <w:color w:val="auto"/>
        </w:rPr>
        <w:t>. AMGEN shall transfer to RBNC the Licensed Know-How and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 listed on Exhibit A, in accordance with a schedule to be mutually agreed by the Parties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the Parties will use reasonable efforts to ensure such transfer is completed within [***] after the Effective Date). The Parties acknowledge that that the transfer of documents, materials and information hereunder shall be limited to those listed or described on Exhibit A. Accordingly, AMGEN shall not have any obligation to transfer to RBNC any Licensed Know-How or Licensed Materials other than those set forth on Exhibit A. AMGEN will provide notice to RBNC when AMGEN has completed the transfer of all Licensed Know-How and Licensed Materials listed in Exhibit A. Within [***] days of receipt of such notice RBNC will provide written notice to AMGEN if RBNC is then aware of any remaining Licensed Know-How or Licensed Materials that have not been transferred. In the event that RBNC is unable to accept any Licensed Materials in such [***] transfer period, [***]. AMGEN shall not have any obligation to deliver the Licensed Know-How and Licensed Materials to more than a single location or facility.</w:t>
      </w:r>
    </w:p>
    <w:p>
      <w:pPr>
        <w:spacing w:after="0" w:line="69" w:lineRule="exact"/>
        <w:rPr>
          <w:sz w:val="20"/>
          <w:szCs w:val="20"/>
          <w:color w:val="auto"/>
        </w:rPr>
      </w:pPr>
    </w:p>
    <w:p>
      <w:pPr>
        <w:ind w:left="540" w:right="40" w:firstLine="401"/>
        <w:spacing w:after="0" w:line="291" w:lineRule="auto"/>
        <w:rPr>
          <w:sz w:val="20"/>
          <w:szCs w:val="20"/>
          <w:color w:val="auto"/>
        </w:rPr>
      </w:pPr>
      <w:r>
        <w:rPr>
          <w:rFonts w:ascii="Arial" w:cs="Arial" w:eastAsia="Arial" w:hAnsi="Arial"/>
          <w:sz w:val="16"/>
          <w:szCs w:val="16"/>
          <w:b w:val="1"/>
          <w:bCs w:val="1"/>
          <w:color w:val="auto"/>
        </w:rPr>
        <w:t>2.5.2 Transfer Support</w:t>
      </w:r>
      <w:r>
        <w:rPr>
          <w:rFonts w:ascii="Arial" w:cs="Arial" w:eastAsia="Arial" w:hAnsi="Arial"/>
          <w:sz w:val="16"/>
          <w:szCs w:val="16"/>
          <w:color w:val="auto"/>
        </w:rPr>
        <w:t>. Notwithstanding the foregoing, if during the Term either Party identifies any Know-How or materials that</w:t>
      </w:r>
      <w:r>
        <w:rPr>
          <w:rFonts w:ascii="Arial" w:cs="Arial" w:eastAsia="Arial" w:hAnsi="Arial"/>
          <w:sz w:val="16"/>
          <w:szCs w:val="16"/>
          <w:b w:val="1"/>
          <w:bCs w:val="1"/>
          <w:color w:val="auto"/>
        </w:rPr>
        <w:t xml:space="preserve"> </w:t>
      </w:r>
      <w:r>
        <w:rPr>
          <w:rFonts w:ascii="Arial" w:cs="Arial" w:eastAsia="Arial" w:hAnsi="Arial"/>
          <w:sz w:val="16"/>
          <w:szCs w:val="16"/>
          <w:color w:val="auto"/>
        </w:rPr>
        <w:t>was not listed on Exhibit A but is reasonably necessary for the Exploitation of the Licensed Compounds, such Party shall notify the other Party in writing identifying such Know-How or material, and AMGEN shall [***] and make a determination whether to transfer to RBNC such Know-How or Material within [***] days after the receipt of notice. If AMGEN determines in good faith that such Know-How or material are reasonably necessary for the Exploitation of the Licensed Compounds and AMGEN Controls such Know-How or material to allow such transfer, then AMGEN will [***], provided any time required beyond the [***] of Transfer Support contemplated in Section 2.5.3 will be at [***]. Such Know-How or material will thereafter be considered “Licensed Know-How” under this Agreement. Any dispute with respect to the application of this Section 2.5.2 may be submitted for resolution pursuant to Section 10.4).</w:t>
      </w:r>
    </w:p>
    <w:p>
      <w:pPr>
        <w:spacing w:after="0" w:line="51" w:lineRule="exact"/>
        <w:rPr>
          <w:sz w:val="20"/>
          <w:szCs w:val="20"/>
          <w:color w:val="auto"/>
        </w:rPr>
      </w:pPr>
    </w:p>
    <w:p>
      <w:pPr>
        <w:ind w:left="540" w:right="400" w:firstLine="401"/>
        <w:spacing w:after="0" w:line="303" w:lineRule="auto"/>
        <w:rPr>
          <w:sz w:val="20"/>
          <w:szCs w:val="20"/>
          <w:color w:val="auto"/>
        </w:rPr>
      </w:pPr>
      <w:r>
        <w:rPr>
          <w:rFonts w:ascii="Arial" w:cs="Arial" w:eastAsia="Arial" w:hAnsi="Arial"/>
          <w:sz w:val="16"/>
          <w:szCs w:val="16"/>
          <w:b w:val="1"/>
          <w:bCs w:val="1"/>
          <w:color w:val="auto"/>
        </w:rPr>
        <w:t>2.5.3 Technology Transfer Support</w:t>
      </w:r>
      <w:r>
        <w:rPr>
          <w:rFonts w:ascii="Arial" w:cs="Arial" w:eastAsia="Arial" w:hAnsi="Arial"/>
          <w:sz w:val="16"/>
          <w:szCs w:val="16"/>
          <w:color w:val="auto"/>
        </w:rPr>
        <w:t>. Upon written request by RBNC, AMGEN shall provide up to a total of [***] of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w:t>
      </w:r>
      <w:r>
        <w:rPr>
          <w:rFonts w:ascii="Arial" w:cs="Arial" w:eastAsia="Arial" w:hAnsi="Arial"/>
          <w:sz w:val="16"/>
          <w:szCs w:val="16"/>
          <w:b w:val="1"/>
          <w:bCs w:val="1"/>
          <w:color w:val="auto"/>
        </w:rPr>
        <w:t>Transfer Support</w:t>
      </w:r>
      <w:r>
        <w:rPr>
          <w:rFonts w:ascii="Arial" w:cs="Arial" w:eastAsia="Arial" w:hAnsi="Arial"/>
          <w:sz w:val="16"/>
          <w:szCs w:val="16"/>
          <w:color w:val="auto"/>
        </w:rPr>
        <w:t>”) to RBNC (and its Affiliates and designees) in connection with the transfer set forth in Section 2.5.1, including by providing RBNC (and its Affiliates and designees) with reasonable access by teleconference, as reasonably requested by RBNC, to personnel of AMGEN and its Affiliates familiar with the Licensed Know-How or Licensed Materials (only to the extent</w:t>
      </w:r>
    </w:p>
    <w:p>
      <w:pPr>
        <w:spacing w:after="0" w:line="8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0" w:right="459" w:bottom="1440" w:gutter="0" w:footer="0" w:header="0"/>
        </w:sectPr>
      </w:pPr>
    </w:p>
    <w:bookmarkStart w:id="428" w:name="page429"/>
    <w:bookmarkEnd w:id="428"/>
    <w:p>
      <w:pPr>
        <w:ind w:left="54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such personnel are still employed by Amgen and its Affiliates at the time such access is granted by Amgen) to assist RBNC (and its Affiliates and designees) with the transfer and receipt of the Licensed Know-How and/or Licensed Materials, [***]. In the event that RBNC requests support from AMGEN beyond or in addition to the [***] of transfer support contemplated above, [***], which such support would be provided at the FTE Rate.</w:t>
      </w:r>
    </w:p>
    <w:p>
      <w:pPr>
        <w:spacing w:after="0" w:line="75" w:lineRule="exact"/>
        <w:rPr>
          <w:sz w:val="20"/>
          <w:szCs w:val="20"/>
          <w:color w:val="auto"/>
        </w:rPr>
      </w:pPr>
    </w:p>
    <w:p>
      <w:pPr>
        <w:ind w:left="540" w:right="120" w:firstLine="401"/>
        <w:spacing w:after="0" w:line="303" w:lineRule="auto"/>
        <w:rPr>
          <w:sz w:val="20"/>
          <w:szCs w:val="20"/>
          <w:color w:val="auto"/>
        </w:rPr>
      </w:pPr>
      <w:r>
        <w:rPr>
          <w:rFonts w:ascii="Arial" w:cs="Arial" w:eastAsia="Arial" w:hAnsi="Arial"/>
          <w:sz w:val="16"/>
          <w:szCs w:val="16"/>
          <w:b w:val="1"/>
          <w:bCs w:val="1"/>
          <w:color w:val="auto"/>
        </w:rPr>
        <w:t xml:space="preserve">2.5.4 Experimental Materials. </w:t>
      </w:r>
      <w:r>
        <w:rPr>
          <w:rFonts w:ascii="Arial" w:cs="Arial" w:eastAsia="Arial" w:hAnsi="Arial"/>
          <w:sz w:val="16"/>
          <w:szCs w:val="16"/>
          <w:color w:val="auto"/>
        </w:rPr>
        <w:t>RBNC acknowledges that any Licensed Materials transferred by AMGEN to RBNC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are experimental in nature and may have unknown characteristics (including hazardous and toxicological properties) and therefore agrees to use prudence and reasonable care in the use, handling, storage, transportation and disposition and containment of any such materials. Accordingly, no such materials shall be used in any human application, including any clinical trial.</w:t>
      </w:r>
    </w:p>
    <w:p>
      <w:pPr>
        <w:spacing w:after="0" w:line="43"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Section 2.6 No Other Rights. </w:t>
      </w:r>
      <w:r>
        <w:rPr>
          <w:rFonts w:ascii="Arial" w:cs="Arial" w:eastAsia="Arial" w:hAnsi="Arial"/>
          <w:sz w:val="17"/>
          <w:szCs w:val="17"/>
          <w:color w:val="auto"/>
        </w:rPr>
        <w:t>The Parties acknowledge that the rights and licenses granted under this Article 2 (License Grant) and elsewhere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are limited to the scope expressly granted. Accordingly, except for the rights expressly granted under this Agreement, no right, title, or interest of any nature whatsoever is granted whether by implication, estoppel, reliance, or otherwise, by either Party to the other Party. All rights that are not specifically granted herein are reserved to the Party that Controls such rights.</w:t>
      </w:r>
    </w:p>
    <w:p>
      <w:pPr>
        <w:spacing w:after="0" w:line="38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ARTICLE 3. MILESTONES, ROYALTIES AND PAYMENTS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Section 3.1 Milestone Payments. </w:t>
      </w:r>
      <w:r>
        <w:rPr>
          <w:rFonts w:ascii="Arial" w:cs="Arial" w:eastAsia="Arial" w:hAnsi="Arial"/>
          <w:sz w:val="17"/>
          <w:szCs w:val="17"/>
          <w:color w:val="auto"/>
        </w:rPr>
        <w:t>As partial consideration for the rights granted to RBNC hereunder, RBNC shall pay AMGEN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non-creditable, non-refundable milestone payments on a Product-by-Product basis (described in the table below under the column “Milestone Payment”). Each such payment is a “</w:t>
      </w:r>
      <w:r>
        <w:rPr>
          <w:rFonts w:ascii="Arial" w:cs="Arial" w:eastAsia="Arial" w:hAnsi="Arial"/>
          <w:sz w:val="17"/>
          <w:szCs w:val="17"/>
          <w:b w:val="1"/>
          <w:bCs w:val="1"/>
          <w:color w:val="auto"/>
        </w:rPr>
        <w:t>Milestone Payment</w:t>
      </w:r>
      <w:r>
        <w:rPr>
          <w:rFonts w:ascii="Arial" w:cs="Arial" w:eastAsia="Arial" w:hAnsi="Arial"/>
          <w:sz w:val="17"/>
          <w:szCs w:val="17"/>
          <w:color w:val="auto"/>
        </w:rPr>
        <w:t>” and each such commercial milestone event, a “</w:t>
      </w:r>
      <w:r>
        <w:rPr>
          <w:rFonts w:ascii="Arial" w:cs="Arial" w:eastAsia="Arial" w:hAnsi="Arial"/>
          <w:sz w:val="17"/>
          <w:szCs w:val="17"/>
          <w:b w:val="1"/>
          <w:bCs w:val="1"/>
          <w:color w:val="auto"/>
        </w:rPr>
        <w:t>Milestone</w:t>
      </w:r>
      <w:r>
        <w:rPr>
          <w:rFonts w:ascii="Arial" w:cs="Arial" w:eastAsia="Arial" w:hAnsi="Arial"/>
          <w:sz w:val="17"/>
          <w:szCs w:val="17"/>
          <w:color w:val="auto"/>
        </w:rPr>
        <w:t>”. Each Milestone Payment shall be payable when the relevant Milestone is first achieved by RBNC or its Affiliates or its Sublicensees for such Product. RBNC shall include written notice of achievement of each Milestone within [***] days following the end of the Calendar Quarter in which such Milestone is achieved in the quarterly report provided to AMGEN under Section 3.5. RBNC shall make the corresponding Milestone Payment to AMGEN coincident with payment of royalties for such Calendar Quarter pursuant to Section 3.2.1.</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w w:val="93"/>
              </w:rPr>
              <w:t>Commercial</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22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6"/>
              </w:rPr>
              <w:t>Milestone</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Milestone</w:t>
            </w:r>
          </w:p>
        </w:tc>
      </w:tr>
      <w:tr>
        <w:trPr>
          <w:trHeight w:val="167"/>
        </w:trPr>
        <w:tc>
          <w:tcPr>
            <w:tcW w:w="22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Event</w:t>
            </w: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Payment</w:t>
            </w: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w:t>
            </w:r>
          </w:p>
        </w:tc>
        <w:tc>
          <w:tcPr>
            <w:tcW w:w="4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w:t>
            </w:r>
          </w:p>
        </w:tc>
        <w:tc>
          <w:tcPr>
            <w:tcW w:w="5460" w:type="dxa"/>
            <w:vAlign w:val="bottom"/>
            <w:gridSpan w:val="3"/>
          </w:tcPr>
          <w:p>
            <w:pPr>
              <w:ind w:left="45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5460" w:type="dxa"/>
            <w:vAlign w:val="bottom"/>
            <w:gridSpan w:val="3"/>
            <w:shd w:val="clear" w:color="auto" w:fill="CCEEFF"/>
          </w:tcPr>
          <w:p>
            <w:pPr>
              <w:ind w:left="45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4</w:t>
            </w:r>
          </w:p>
        </w:tc>
        <w:tc>
          <w:tcPr>
            <w:tcW w:w="5460" w:type="dxa"/>
            <w:vAlign w:val="bottom"/>
            <w:gridSpan w:val="3"/>
          </w:tcPr>
          <w:p>
            <w:pPr>
              <w:ind w:left="45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5460" w:type="dxa"/>
            <w:vAlign w:val="bottom"/>
            <w:gridSpan w:val="3"/>
            <w:shd w:val="clear" w:color="auto" w:fill="CCEEFF"/>
          </w:tcPr>
          <w:p>
            <w:pPr>
              <w:ind w:left="45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0"/>
        </w:trPr>
        <w:tc>
          <w:tcPr>
            <w:tcW w:w="2280" w:type="dxa"/>
            <w:vAlign w:val="bottom"/>
          </w:tcPr>
          <w:p>
            <w:pPr>
              <w:spacing w:after="0"/>
              <w:rPr>
                <w:sz w:val="24"/>
                <w:szCs w:val="24"/>
                <w:color w:val="auto"/>
              </w:rPr>
            </w:pPr>
          </w:p>
        </w:tc>
        <w:tc>
          <w:tcPr>
            <w:tcW w:w="4220" w:type="dxa"/>
            <w:vAlign w:val="bottom"/>
          </w:tcPr>
          <w:p>
            <w:pPr>
              <w:jc w:val="right"/>
              <w:ind w:right="1950"/>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00"/>
          </w:cols>
          <w:pgMar w:left="880" w:top="274" w:right="519"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3.2 Royalties</w:t>
      </w:r>
      <w:r>
        <w:rPr>
          <w:rFonts w:ascii="Arial" w:cs="Arial" w:eastAsia="Arial" w:hAnsi="Arial"/>
          <w:sz w:val="18"/>
          <w:szCs w:val="18"/>
          <w:color w:val="auto"/>
        </w:rPr>
        <w:t>.</w:t>
      </w:r>
    </w:p>
    <w:p>
      <w:pPr>
        <w:spacing w:after="0" w:line="117" w:lineRule="exact"/>
        <w:rPr>
          <w:sz w:val="20"/>
          <w:szCs w:val="20"/>
          <w:color w:val="auto"/>
        </w:rPr>
      </w:pPr>
    </w:p>
    <w:p>
      <w:pPr>
        <w:ind w:right="360" w:firstLine="423"/>
        <w:spacing w:after="0" w:line="282" w:lineRule="auto"/>
        <w:rPr>
          <w:sz w:val="20"/>
          <w:szCs w:val="20"/>
          <w:color w:val="auto"/>
        </w:rPr>
      </w:pPr>
      <w:r>
        <w:rPr>
          <w:rFonts w:ascii="Arial" w:cs="Arial" w:eastAsia="Arial" w:hAnsi="Arial"/>
          <w:sz w:val="18"/>
          <w:szCs w:val="18"/>
          <w:b w:val="1"/>
          <w:bCs w:val="1"/>
          <w:color w:val="auto"/>
        </w:rPr>
        <w:t xml:space="preserve">3.2.1 Royalty Rate; Royalty Term. </w:t>
      </w:r>
      <w:r>
        <w:rPr>
          <w:rFonts w:ascii="Arial" w:cs="Arial" w:eastAsia="Arial" w:hAnsi="Arial"/>
          <w:sz w:val="18"/>
          <w:szCs w:val="18"/>
          <w:color w:val="auto"/>
        </w:rPr>
        <w:t>On a Product-by-Product basis, RBNC shall pay to AMGEN the following royalties on annual Net</w:t>
      </w:r>
      <w:r>
        <w:rPr>
          <w:rFonts w:ascii="Arial" w:cs="Arial" w:eastAsia="Arial" w:hAnsi="Arial"/>
          <w:sz w:val="18"/>
          <w:szCs w:val="18"/>
          <w:b w:val="1"/>
          <w:bCs w:val="1"/>
          <w:color w:val="auto"/>
        </w:rPr>
        <w:t xml:space="preserve"> </w:t>
      </w:r>
      <w:r>
        <w:rPr>
          <w:rFonts w:ascii="Arial" w:cs="Arial" w:eastAsia="Arial" w:hAnsi="Arial"/>
          <w:sz w:val="18"/>
          <w:szCs w:val="18"/>
          <w:color w:val="auto"/>
        </w:rPr>
        <w:t>Sales in the Territory of each Product sold by a Selling Party during the Royalty Term applicable to such Product:</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 of the Net Sales of such Product in the Territory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Royalties will be payable on a quarterly basis within [***] days after the end of the Calendar Quarter during which the applicable Net Sales occurred. RBNC’s obligation to pay royalties with respect to each Product in a particular country shall commence upon the First Commercial Sale of such Product in such country and shall expire on a country-by-country and Product-by-Product basis on the later of (a) the date on which the Exploitation of such Product is no longer Covered by a Valid Claim of a Program Patent, Licensed Patent or Joint Patent that claims the composition of matter of the GCase Directed Compound included in such Product in such country, or (b) the tenth (10</w:t>
      </w:r>
      <w:r>
        <w:rPr>
          <w:rFonts w:ascii="Arial" w:cs="Arial" w:eastAsia="Arial" w:hAnsi="Arial"/>
          <w:sz w:val="15"/>
          <w:szCs w:val="15"/>
          <w:color w:val="auto"/>
        </w:rPr>
        <w:t>th</w:t>
      </w:r>
      <w:r>
        <w:rPr>
          <w:rFonts w:ascii="Arial" w:cs="Arial" w:eastAsia="Arial" w:hAnsi="Arial"/>
          <w:sz w:val="18"/>
          <w:szCs w:val="18"/>
          <w:color w:val="auto"/>
        </w:rPr>
        <w:t>) anniversary of the First Commercial Sale of such Product in such country (the “</w:t>
      </w:r>
      <w:r>
        <w:rPr>
          <w:rFonts w:ascii="Arial" w:cs="Arial" w:eastAsia="Arial" w:hAnsi="Arial"/>
          <w:sz w:val="18"/>
          <w:szCs w:val="18"/>
          <w:b w:val="1"/>
          <w:bCs w:val="1"/>
          <w:color w:val="auto"/>
        </w:rPr>
        <w:t>Royalty Term</w:t>
      </w:r>
      <w:r>
        <w:rPr>
          <w:rFonts w:ascii="Arial" w:cs="Arial" w:eastAsia="Arial" w:hAnsi="Arial"/>
          <w:sz w:val="18"/>
          <w:szCs w:val="18"/>
          <w:color w:val="auto"/>
        </w:rPr>
        <w:t>”).</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3.2.2 Royalty Reductions.</w:t>
      </w:r>
    </w:p>
    <w:p>
      <w:pPr>
        <w:spacing w:after="0" w:line="117" w:lineRule="exact"/>
        <w:rPr>
          <w:sz w:val="20"/>
          <w:szCs w:val="20"/>
          <w:color w:val="auto"/>
        </w:rPr>
      </w:pPr>
    </w:p>
    <w:p>
      <w:pPr>
        <w:ind w:left="980" w:right="40" w:firstLine="8"/>
        <w:spacing w:after="0" w:line="258" w:lineRule="auto"/>
        <w:tabs>
          <w:tab w:leader="none" w:pos="1225"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Patent Expiry</w:t>
      </w:r>
      <w:r>
        <w:rPr>
          <w:rFonts w:ascii="Arial" w:cs="Arial" w:eastAsia="Arial" w:hAnsi="Arial"/>
          <w:sz w:val="18"/>
          <w:szCs w:val="18"/>
          <w:color w:val="auto"/>
        </w:rPr>
        <w:t>. On a country-by-country basis, in the event that the Exploitation of a Product is not Covered by a Valid Claim of</w:t>
      </w:r>
      <w:r>
        <w:rPr>
          <w:rFonts w:ascii="Arial" w:cs="Arial" w:eastAsia="Arial" w:hAnsi="Arial"/>
          <w:sz w:val="18"/>
          <w:szCs w:val="18"/>
          <w:b w:val="1"/>
          <w:bCs w:val="1"/>
          <w:color w:val="auto"/>
        </w:rPr>
        <w:t xml:space="preserve"> </w:t>
      </w:r>
      <w:r>
        <w:rPr>
          <w:rFonts w:ascii="Arial" w:cs="Arial" w:eastAsia="Arial" w:hAnsi="Arial"/>
          <w:sz w:val="18"/>
          <w:szCs w:val="18"/>
          <w:color w:val="auto"/>
        </w:rPr>
        <w:t>a [***] of the GCase Directed Compound in such country, then the royalty rate set forth in Section 3.2.1 (Royalty Rate; Royalty Term) with respect to Net Sales for such Product in such country shall be reduced by [***] (e.g., the royalty rate would be reduced to [***]), effective as of the date such Product is no longer Covered by a Valid Claim of a [***] of the GCase Directed Compound, in such country.</w:t>
      </w:r>
    </w:p>
    <w:p>
      <w:pPr>
        <w:spacing w:after="0" w:line="75" w:lineRule="exact"/>
        <w:rPr>
          <w:rFonts w:ascii="Arial" w:cs="Arial" w:eastAsia="Arial" w:hAnsi="Arial"/>
          <w:sz w:val="18"/>
          <w:szCs w:val="18"/>
          <w:color w:val="auto"/>
        </w:rPr>
      </w:pPr>
    </w:p>
    <w:p>
      <w:pPr>
        <w:ind w:left="980" w:firstLine="8"/>
        <w:spacing w:after="0" w:line="291" w:lineRule="auto"/>
        <w:tabs>
          <w:tab w:leader="none" w:pos="1235" w:val="left"/>
        </w:tabs>
        <w:numPr>
          <w:ilvl w:val="0"/>
          <w:numId w:val="245"/>
        </w:numPr>
        <w:rPr>
          <w:rFonts w:ascii="Arial" w:cs="Arial" w:eastAsia="Arial" w:hAnsi="Arial"/>
          <w:sz w:val="16"/>
          <w:szCs w:val="16"/>
          <w:color w:val="auto"/>
        </w:rPr>
      </w:pPr>
      <w:r>
        <w:rPr>
          <w:rFonts w:ascii="Arial" w:cs="Arial" w:eastAsia="Arial" w:hAnsi="Arial"/>
          <w:sz w:val="16"/>
          <w:szCs w:val="16"/>
          <w:b w:val="1"/>
          <w:bCs w:val="1"/>
          <w:color w:val="auto"/>
        </w:rPr>
        <w:t>Generic Entry</w:t>
      </w:r>
      <w:r>
        <w:rPr>
          <w:rFonts w:ascii="Arial" w:cs="Arial" w:eastAsia="Arial" w:hAnsi="Arial"/>
          <w:sz w:val="16"/>
          <w:szCs w:val="16"/>
          <w:color w:val="auto"/>
        </w:rPr>
        <w:t>. On a country-by-country basis, in the event that one or more Generic Products to a Product is launched in any</w:t>
      </w:r>
      <w:r>
        <w:rPr>
          <w:rFonts w:ascii="Arial" w:cs="Arial" w:eastAsia="Arial" w:hAnsi="Arial"/>
          <w:sz w:val="16"/>
          <w:szCs w:val="16"/>
          <w:b w:val="1"/>
          <w:bCs w:val="1"/>
          <w:color w:val="auto"/>
        </w:rPr>
        <w:t xml:space="preserve"> </w:t>
      </w:r>
      <w:r>
        <w:rPr>
          <w:rFonts w:ascii="Arial" w:cs="Arial" w:eastAsia="Arial" w:hAnsi="Arial"/>
          <w:sz w:val="16"/>
          <w:szCs w:val="16"/>
          <w:color w:val="auto"/>
        </w:rPr>
        <w:t>country in the Territory during the Royalty Term for such Product in such country, and the average quarterly Net Sales of such Product in such country during any subsequent [***] Calendar Quarters decrease by more than [***] of the average quarterly Net Sales of such Product in such country during the [***] Calendar Quarters immediately preceding the Calendar Quarter in which the first Generic Product is launched in such country, the royalty rate provided in Section 3.2.1 for such Product shall be reduced in such country by [***] (e.g., to [***]) for each Calendar Quarter in the remainder of such Royalty Term. For the purposes of this Section 3.2.2(b), the term “launched” shall refer to both the listing of a wholesale acquisition cost (WAC) price for the Generic Product on the applicable pricing compendium and the conduct of sales with respect to such Generic Product.</w:t>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3.2.3 Third Party Royalties</w:t>
      </w:r>
      <w:r>
        <w:rPr>
          <w:rFonts w:ascii="Arial" w:cs="Arial" w:eastAsia="Arial" w:hAnsi="Arial"/>
          <w:sz w:val="16"/>
          <w:szCs w:val="16"/>
          <w:color w:val="auto"/>
        </w:rPr>
        <w:t>. If RBNC, its Affiliates or any Sublicensee is required by (a) an order by a court of competent jurisdiction,</w:t>
      </w:r>
    </w:p>
    <w:p>
      <w:pPr>
        <w:spacing w:after="0" w:line="50" w:lineRule="exact"/>
        <w:rPr>
          <w:sz w:val="20"/>
          <w:szCs w:val="20"/>
          <w:color w:val="auto"/>
        </w:rPr>
      </w:pPr>
    </w:p>
    <w:p>
      <w:pPr>
        <w:ind w:left="540" w:right="40" w:firstLine="7"/>
        <w:spacing w:after="0" w:line="253" w:lineRule="auto"/>
        <w:tabs>
          <w:tab w:leader="none" w:pos="79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settlement agreement, (c) license or contract, or (d) other legally binding commitment to make royalty payments to a Third Party, in each case in exchange for a license or other right under Patent Rights held by such Third Party and such license or other rights are necessary for the Exploitation of any Licensed Compound in a given country, then RBNC shall be entitled to deduct from royalties due to AMGEN under this Agreement with respect to Net Sales of all Products containing such Licensed Compound in a given Calendar Quarter in each such country an</w:t>
      </w:r>
    </w:p>
    <w:p>
      <w:pPr>
        <w:spacing w:after="0" w:line="1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0" w:right="479" w:bottom="1440" w:gutter="0" w:footer="0" w:header="0"/>
        </w:sectPr>
      </w:pPr>
    </w:p>
    <w:bookmarkStart w:id="430" w:name="page431"/>
    <w:bookmarkEnd w:id="430"/>
    <w:p>
      <w:pPr>
        <w:ind w:left="544"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equal to [***] of the royalties actually paid to such Third Party in such Calendar Quarter as consideration for such license under such Patent Rights, up to a maximum amount of [***] of the royalties due to AMGEN in each affected country in such Calendar Quarter,</w:t>
      </w:r>
    </w:p>
    <w:p>
      <w:pPr>
        <w:spacing w:after="0" w:line="12" w:lineRule="exact"/>
        <w:rPr>
          <w:sz w:val="20"/>
          <w:szCs w:val="20"/>
          <w:color w:val="auto"/>
        </w:rPr>
      </w:pPr>
    </w:p>
    <w:p>
      <w:pPr>
        <w:jc w:val="both"/>
        <w:ind w:left="4" w:right="100" w:firstLine="423"/>
        <w:spacing w:after="0" w:line="314" w:lineRule="auto"/>
        <w:rPr>
          <w:sz w:val="20"/>
          <w:szCs w:val="20"/>
          <w:color w:val="auto"/>
        </w:rPr>
      </w:pPr>
      <w:r>
        <w:rPr>
          <w:rFonts w:ascii="Arial" w:cs="Arial" w:eastAsia="Arial" w:hAnsi="Arial"/>
          <w:sz w:val="16"/>
          <w:szCs w:val="16"/>
          <w:b w:val="1"/>
          <w:bCs w:val="1"/>
          <w:color w:val="auto"/>
        </w:rPr>
        <w:t xml:space="preserve">3.2.4 Maximum Reduction. </w:t>
      </w:r>
      <w:r>
        <w:rPr>
          <w:rFonts w:ascii="Arial" w:cs="Arial" w:eastAsia="Arial" w:hAnsi="Arial"/>
          <w:sz w:val="16"/>
          <w:szCs w:val="16"/>
          <w:color w:val="auto"/>
        </w:rPr>
        <w:t>Notwithstanding anything to the contrary, the reductions with respect to any Product in any Calendar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applicable Royalty Term in any country pursuant to Section 3.2.2 (Royalty Reductions) and Section 3.2.3 (Third Party Royalties) shall not reduce the royalty rate provided in Section 3.2.1 by more than [***] in the aggregate (i.e., the royalty rate shall be no lower than [***]).</w:t>
      </w:r>
    </w:p>
    <w:p>
      <w:pPr>
        <w:spacing w:after="0" w:line="34" w:lineRule="exact"/>
        <w:rPr>
          <w:sz w:val="20"/>
          <w:szCs w:val="20"/>
          <w:color w:val="auto"/>
        </w:rPr>
      </w:pPr>
    </w:p>
    <w:p>
      <w:pPr>
        <w:ind w:left="4" w:right="20" w:firstLine="423"/>
        <w:spacing w:after="0" w:line="266" w:lineRule="auto"/>
        <w:rPr>
          <w:sz w:val="20"/>
          <w:szCs w:val="20"/>
          <w:color w:val="auto"/>
        </w:rPr>
      </w:pPr>
      <w:r>
        <w:rPr>
          <w:rFonts w:ascii="Arial" w:cs="Arial" w:eastAsia="Arial" w:hAnsi="Arial"/>
          <w:sz w:val="18"/>
          <w:szCs w:val="18"/>
          <w:b w:val="1"/>
          <w:bCs w:val="1"/>
          <w:color w:val="auto"/>
        </w:rPr>
        <w:t xml:space="preserve">3.2.5 Mutual Convenience of the Parties. </w:t>
      </w:r>
      <w:r>
        <w:rPr>
          <w:rFonts w:ascii="Arial" w:cs="Arial" w:eastAsia="Arial" w:hAnsi="Arial"/>
          <w:sz w:val="18"/>
          <w:szCs w:val="18"/>
          <w:color w:val="auto"/>
        </w:rPr>
        <w:t>The royalty and other payment obligations set forth hereunder have been agreed to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reflecting and advancing their mutual convenience, including the ease of calculating and paying royalties and other amounts to AMGEN.</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Section 3.3 Sublicensing Income</w:t>
      </w:r>
      <w:r>
        <w:rPr>
          <w:rFonts w:ascii="Arial" w:cs="Arial" w:eastAsia="Arial" w:hAnsi="Arial"/>
          <w:sz w:val="17"/>
          <w:szCs w:val="17"/>
          <w:color w:val="auto"/>
        </w:rPr>
        <w:t>. Without limiting the payment obligations set forth in Section 3.1 (Milestone Payments) and Section 3.2</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color w:val="auto"/>
        </w:rPr>
        <w:t>(Royalties), in the event that RBNC enters into a Sublicense Agreement prior to the second anniversary of the Effective Date, then RBNC shall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promptly notify AMGEN in writing and RBNC shall pay to AMGEN [***] of (a) any amounts paid to RBNC by such Sublicensee under such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Sublicense Agreement in consideration for the rights licensed to Sublicensee with respect to RBNC’s GCase program, whether in the form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cash, up-front fees (including any fees paid in installments), milestone payments and other sales-based payments or otherwise and (b) the fair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market value of any other consideration received by RBNC under such Sublicense Agreement in consideration for the rights licensed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Sublicensee with respect to RBNC’s GCase program ((a) and (b) collectively, “</w:t>
      </w:r>
      <w:r>
        <w:rPr>
          <w:rFonts w:ascii="Arial" w:cs="Arial" w:eastAsia="Arial" w:hAnsi="Arial"/>
          <w:sz w:val="17"/>
          <w:szCs w:val="17"/>
          <w:b w:val="1"/>
          <w:bCs w:val="1"/>
          <w:color w:val="auto"/>
        </w:rPr>
        <w:t>Sublicense Income”</w:t>
      </w:r>
      <w:r>
        <w:rPr>
          <w:rFonts w:ascii="Arial" w:cs="Arial" w:eastAsia="Arial" w:hAnsi="Arial"/>
          <w:sz w:val="17"/>
          <w:szCs w:val="17"/>
          <w:color w:val="auto"/>
        </w:rPr>
        <w:t xml:space="preserve"> and such amounts payable to Amgen,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Sublicense Consideration</w:t>
      </w:r>
      <w:r>
        <w:rPr>
          <w:rFonts w:ascii="Arial" w:cs="Arial" w:eastAsia="Arial" w:hAnsi="Arial"/>
          <w:sz w:val="16"/>
          <w:szCs w:val="16"/>
          <w:color w:val="auto"/>
        </w:rPr>
        <w:t>”), but in all cases excluding (i) royalties paid to RBNC by any Sublicensee with respect to “net sales” of Products;</w:t>
      </w:r>
    </w:p>
    <w:p>
      <w:pPr>
        <w:spacing w:after="0" w:line="32" w:lineRule="exact"/>
        <w:rPr>
          <w:sz w:val="20"/>
          <w:szCs w:val="20"/>
          <w:color w:val="auto"/>
        </w:rPr>
      </w:pPr>
    </w:p>
    <w:p>
      <w:pPr>
        <w:ind w:left="4" w:hanging="4"/>
        <w:spacing w:after="0" w:line="281" w:lineRule="auto"/>
        <w:tabs>
          <w:tab w:leader="none" w:pos="26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any payments by a Sublicensee to RBNC that are attributed to the fair market value of the provision of goods and services by RBNC to such Sublicensee (including research and development funding); (iii) payments for equity or debt securities of or by RBNC (but solely to the extent that such payment is at a price equal to or less than one hundred percent (100%) of the fair market value of such securities at the date of purchase); and</w:t>
      </w:r>
    </w:p>
    <w:p>
      <w:pPr>
        <w:spacing w:after="0" w:line="1" w:lineRule="exact"/>
        <w:rPr>
          <w:rFonts w:ascii="Arial" w:cs="Arial" w:eastAsia="Arial" w:hAnsi="Arial"/>
          <w:sz w:val="16"/>
          <w:szCs w:val="16"/>
          <w:color w:val="auto"/>
        </w:rPr>
      </w:pPr>
    </w:p>
    <w:p>
      <w:pPr>
        <w:ind w:left="4" w:right="20" w:hanging="4"/>
        <w:spacing w:after="0" w:line="270" w:lineRule="auto"/>
        <w:tabs>
          <w:tab w:leader="none" w:pos="308" w:val="left"/>
        </w:tabs>
        <w:numPr>
          <w:ilvl w:val="0"/>
          <w:numId w:val="248"/>
        </w:numPr>
        <w:rPr>
          <w:rFonts w:ascii="Arial" w:cs="Arial" w:eastAsia="Arial" w:hAnsi="Arial"/>
          <w:sz w:val="17"/>
          <w:szCs w:val="17"/>
          <w:color w:val="auto"/>
        </w:rPr>
      </w:pPr>
      <w:r>
        <w:rPr>
          <w:rFonts w:ascii="Arial" w:cs="Arial" w:eastAsia="Arial" w:hAnsi="Arial"/>
          <w:sz w:val="17"/>
          <w:szCs w:val="17"/>
          <w:color w:val="auto"/>
        </w:rPr>
        <w:t>payment for or reimbursement of patent prosecution, filing and maintenance costs actually incurred by RBNC. The Milestone Payments listed in Section 3.1 (Milestone Payments) that are paid to AMGEN for a Product under this Agreement shall be deductible from Sublicense Income that constitutes [***] owed to RBNC under a Sublicense for such Product in the calculation of Sublicense Consideration payable in accordance with this Section 3.3. RBNC shall not attempt to reduce compensation rightly due to AMGEN under this Section 3.3 (Sublicensing Income) by shifting compensation otherwise payable to RBNC from a Third Party with respect to the Product to another product or service for which no amounts are payable under this Section 3.3 (Sublicensing Income).</w:t>
      </w:r>
    </w:p>
    <w:p>
      <w:pPr>
        <w:spacing w:after="0" w:line="111"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4"/>
          </w:cols>
          <w:pgMar w:left="876" w:top="274" w:right="459" w:bottom="1440" w:gutter="0" w:footer="0" w:header="0"/>
        </w:sectPr>
      </w:pPr>
    </w:p>
    <w:bookmarkStart w:id="431" w:name="page432"/>
    <w:bookmarkEnd w:id="431"/>
    <w:p>
      <w:pPr>
        <w:ind w:right="14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3.4 Method of Payment . </w:t>
      </w:r>
      <w:r>
        <w:rPr>
          <w:rFonts w:ascii="Arial" w:cs="Arial" w:eastAsia="Arial" w:hAnsi="Arial"/>
          <w:sz w:val="16"/>
          <w:szCs w:val="16"/>
          <w:color w:val="auto"/>
        </w:rPr>
        <w:t>Unless otherwise agreed by the Parties, all payments due from RBNC to AMGEN under this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paid in United States Dollars by wire transfer or electronic funds transfer of immediately available funds to the following account:</w:t>
      </w:r>
    </w:p>
    <w:p>
      <w:pPr>
        <w:spacing w:after="0" w:line="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Beneficiary Name: [***]</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Beneficiary Account #: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Bank Name: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Swift Code: [***]</w:t>
      </w:r>
    </w:p>
    <w:p>
      <w:pPr>
        <w:spacing w:after="0" w:line="99"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Section 3.5 Royalty Reports . </w:t>
      </w:r>
      <w:r>
        <w:rPr>
          <w:rFonts w:ascii="Arial" w:cs="Arial" w:eastAsia="Arial" w:hAnsi="Arial"/>
          <w:sz w:val="17"/>
          <w:szCs w:val="17"/>
          <w:color w:val="auto"/>
        </w:rPr>
        <w:t>After the First Commercial Sale of the first Product and until expiration of the last Royalty Term, RBNC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prepare and deliver to AMGEN royalty reports of the sale of the Products by the Selling Parties for each Calendar Quarter within [***] days of the end of each such Calendar Quarter specifying in the aggregate and on a Product-by-Product and country-by-country basis: (a) total gross amounts for each Product sold or otherwise disposed of by a Selling Party; (b) amounts deducted by category in accordance with the definition of “Net Sales” in Article 1 (Definitions) from gross amounts to calculate Net Sales; (c) Net Sales; and (d) royalties payable.</w:t>
      </w:r>
    </w:p>
    <w:p>
      <w:pPr>
        <w:spacing w:after="0" w:line="6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Section 3.6 Clarification of Products. </w:t>
      </w:r>
      <w:r>
        <w:rPr>
          <w:rFonts w:ascii="Arial" w:cs="Arial" w:eastAsia="Arial" w:hAnsi="Arial"/>
          <w:sz w:val="18"/>
          <w:szCs w:val="18"/>
          <w:color w:val="auto"/>
        </w:rPr>
        <w:t>For purposes of this Article 3, one Product shall be deemed different from another Product if a new IND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filed to conduct a clinical trial of such other Product.</w:t>
      </w:r>
    </w:p>
    <w:p>
      <w:pPr>
        <w:spacing w:after="0" w:line="5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Section 3.7 Currency Conversion. </w:t>
      </w:r>
      <w:r>
        <w:rPr>
          <w:rFonts w:ascii="Arial" w:cs="Arial" w:eastAsia="Arial" w:hAnsi="Arial"/>
          <w:sz w:val="17"/>
          <w:szCs w:val="17"/>
          <w:color w:val="auto"/>
        </w:rPr>
        <w:t>With respect to Net Sales invoiced in U.S. Dollars, such Net Sales invoiced shall be expressed in U.S. Dollars.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Net Sales invoiced in a currency other than U.S. Dollars, such Net Sales invoiced shall be converted into the U.S. Dollar equivalent using a rate of exchange which corresponds to the rate used by the Selling Party in recording such receipt, for the respective reporting period, related to recording such Net Sales in its books and records that are maintained in accordance with Accounting Standards. If a Selling Party is not required to perform such currency conversion for its Accounting Standards reporting with respect to the applicable period, then for such period such Selling Party shall convert its amounts received incurred into U.S. Dollars using a rate of exchange which corresponds to the noon buying rate as published in the Wall Street Journal, Eastern U.S. Edition on the second to last business day of the Calendar Quarter (or such other publication as agreed-upon by the Parties). Any royalty amount shall be calculated based upon the U.S. Dollar equivalent calculated in accordance with the foregoing.</w:t>
      </w:r>
    </w:p>
    <w:p>
      <w:pPr>
        <w:spacing w:after="0" w:line="6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 xml:space="preserve">Section 3.8 Late Payments. </w:t>
      </w:r>
      <w:r>
        <w:rPr>
          <w:rFonts w:ascii="Arial" w:cs="Arial" w:eastAsia="Arial" w:hAnsi="Arial"/>
          <w:sz w:val="17"/>
          <w:szCs w:val="17"/>
          <w:color w:val="auto"/>
        </w:rPr>
        <w:t>In the event that any payment due hereunder is not made when due, the payment shall accrue interest beginning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day following the due date thereof, calculated at the annual rate of the sum of (a) [***] plus (b) the prime rate effective for the date that payment was due, as published by the Wall Street Journal, Eastern U.S. Edition, the interest being compounded on the last day of each Calendar Quarter;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in no event shall said annual interest rate exceed the maximum rate permitted by Law. Each such payment when made shall be accompanied by all interest so accrued. Said interest and the payment and acceptance thereof shall not negate or waive the right of any Party to seek any other remedy, legal or equitable, to which it may be entitled because of the delinquency of any payment including, but not limited to termination of this Agreement as set forth in Article 10 (Term &amp; Termination). The Parties will use good faith efforts to reconcile any disputed amounts of payments due hereunder as soon as practicable.</w:t>
      </w:r>
    </w:p>
    <w:p>
      <w:pPr>
        <w:spacing w:after="0" w:line="10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0" w:right="459" w:bottom="1440" w:gutter="0" w:footer="0" w:header="0"/>
        </w:sectPr>
      </w:pPr>
    </w:p>
    <w:bookmarkStart w:id="432" w:name="page433"/>
    <w:bookmarkEnd w:id="432"/>
    <w:p>
      <w:pPr>
        <w:ind w:left="44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3.9 Records and Audits. </w:t>
      </w:r>
      <w:r>
        <w:rPr>
          <w:rFonts w:ascii="Arial" w:cs="Arial" w:eastAsia="Arial" w:hAnsi="Arial"/>
          <w:sz w:val="17"/>
          <w:szCs w:val="17"/>
          <w:color w:val="auto"/>
        </w:rPr>
        <w:t>RBNC will keep complete and accurate records of the underlying revenue and expense data relating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calculations of Net Sales generated in the then current Calendar Year and payments required under this Agreement, and during the preceding [***] Calendar Years. AMGEN will have the right, [***] at its own expense, to have a nationally recognized, independent, certified public accounting firm, selected by it and subject to RBNC’s prior written consent (which shall not be unreasonably withheld), review any such records of RBNC and its Affiliates and Sublicensees (the “</w:t>
      </w:r>
      <w:r>
        <w:rPr>
          <w:rFonts w:ascii="Arial" w:cs="Arial" w:eastAsia="Arial" w:hAnsi="Arial"/>
          <w:sz w:val="17"/>
          <w:szCs w:val="17"/>
          <w:b w:val="1"/>
          <w:bCs w:val="1"/>
          <w:color w:val="auto"/>
        </w:rPr>
        <w:t>Audited Party</w:t>
      </w:r>
      <w:r>
        <w:rPr>
          <w:rFonts w:ascii="Arial" w:cs="Arial" w:eastAsia="Arial" w:hAnsi="Arial"/>
          <w:sz w:val="17"/>
          <w:szCs w:val="17"/>
          <w:color w:val="auto"/>
        </w:rPr>
        <w:t>”) in the location(s) where such records are maintained by the Audited Party upon reasonable written notice (which shall be no less than [***] days’ prior written notice) and during regular business hours and under obligations of strict confidence, for the sole purpose of verifying the basis and accuracy of payments made under Section 3.2 (Royalties) within the [***] month period preceding the date of the request for review. No Calendar Year will be subject to audit under this Section 3.9 more than once. RBNC will receive a copy of each such report concurrently with receipt by AMGEN. Should such inspection lead to the discovery of a discrepancy to AMGEN’s detriment, RBNC will, within [***] days after receipt of such report from the accounting firm, pay any undisputed amount of the discrepancy together with interest at the rate set forth in Section 3.8 (Late Payments). AMGEN will pay the full cost of the review unless the underpayment of amounts due to AMGEN is [***] of the amount due for the entire period being examined, in which case RBNC will pay the cost charged by such accounting firm for such review. Should the audit lead to the discovery of a discrepancy to RBNC’s detriment, RBNC may credit the amount of the discrepancy, without interest, against future payments payable to AMGEN under this Agreement, and if there are no such payments payable, then AMGEN shall pay to RBNC the amount of the discrepancy, without interest, within [***] days of AMGEN’s receipt of the report.</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3.10 Taxes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 xml:space="preserve">3.10.1 </w:t>
      </w:r>
      <w:r>
        <w:rPr>
          <w:rFonts w:ascii="Arial" w:cs="Arial" w:eastAsia="Arial" w:hAnsi="Arial"/>
          <w:sz w:val="16"/>
          <w:szCs w:val="16"/>
          <w:b w:val="1"/>
          <w:bCs w:val="1"/>
          <w:color w:val="auto"/>
        </w:rPr>
        <w:t>Sales Tax.</w:t>
      </w:r>
      <w:r>
        <w:rPr>
          <w:rFonts w:ascii="Arial" w:cs="Arial" w:eastAsia="Arial" w:hAnsi="Arial"/>
          <w:sz w:val="16"/>
          <w:szCs w:val="16"/>
          <w:color w:val="auto"/>
        </w:rPr>
        <w:t xml:space="preserve"> RBNC is responsible for the payment of any state or local, sales or use, or similar fees or taxes arising as a result of the transfer of Licensed Materials by AMGEN to RBNC pursuant to Section 2.5 (Transfer of Licensed Know-How and Licensed Materials), and RBNC will remit such fees or taxes to the appropriate tax collector. The Parties shall cooperate in accordance with Law to minimize any such taxes imposed or required to be paid in connection with this Agreement, and if any such taxes are owed, provide reasonable assistance to obtain a refund or credit of the taxes paid.</w:t>
      </w:r>
    </w:p>
    <w:p>
      <w:pPr>
        <w:spacing w:after="0" w:line="15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3.10.2 </w:t>
      </w:r>
      <w:r>
        <w:rPr>
          <w:rFonts w:ascii="Arial" w:cs="Arial" w:eastAsia="Arial" w:hAnsi="Arial"/>
          <w:sz w:val="16"/>
          <w:szCs w:val="16"/>
          <w:b w:val="1"/>
          <w:bCs w:val="1"/>
          <w:color w:val="auto"/>
        </w:rPr>
        <w:t>Withholding.</w:t>
      </w:r>
      <w:r>
        <w:rPr>
          <w:rFonts w:ascii="Arial" w:cs="Arial" w:eastAsia="Arial" w:hAnsi="Arial"/>
          <w:sz w:val="16"/>
          <w:szCs w:val="16"/>
          <w:color w:val="auto"/>
        </w:rPr>
        <w:t xml:space="preserve"> RBNC shall be entitled to deduct and withhold from any amounts payable under this Agreement such taxes as are required to be deducted or withheld therefrom under any provision of Law. In the event that any Law requires RBNC to withhold taxes with respect to any payment to be made by RBNC pursuant to this Agreement, RBNC will use commercially reasonable efforts to notify AMGEN of such withholding requirement prior to making the payment to AMGEN and cooperate with AMGEN, including by providing standard documentation as may be required by a tax authority, as may be reasonably necessary in AMGEN’s efforts to claim an exemption from or reduction of such taxes. RBNC will, in accordance with such Law withhold taxes from the amount due, remit such taxes to the appropriate tax authority, and furnish AMGEN with proof of payment of such taxes within [***] days following the payment. If any such taxes are paid to a tax authority, RBNC shall use commercially reasonable efforts to provide reasonable assistance to AMGEN to obtain a refund of such taxes withheld, or obtain a credit with respect to such taxes paid. Any such amounts deducted and withheld shall be treated for all purposes of this Agreement as having been paid to the party in respect of whom such deduction and withholding was made. On or prior to the Effective Date, AMGEN will provide RBNC with a completed and duly executed IRS Form W-9.</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433" w:name="page434"/>
    <w:bookmarkEnd w:id="433"/>
    <w:p>
      <w:pPr>
        <w:ind w:right="120" w:firstLine="4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3.10.3 </w:t>
      </w:r>
      <w:r>
        <w:rPr>
          <w:rFonts w:ascii="Arial" w:cs="Arial" w:eastAsia="Arial" w:hAnsi="Arial"/>
          <w:sz w:val="17"/>
          <w:szCs w:val="17"/>
          <w:b w:val="1"/>
          <w:bCs w:val="1"/>
          <w:color w:val="auto"/>
        </w:rPr>
        <w:t>VAT.</w:t>
      </w:r>
      <w:r>
        <w:rPr>
          <w:rFonts w:ascii="Arial" w:cs="Arial" w:eastAsia="Arial" w:hAnsi="Arial"/>
          <w:sz w:val="17"/>
          <w:szCs w:val="17"/>
          <w:color w:val="auto"/>
        </w:rPr>
        <w:t xml:space="preserve"> All payments due to AMGEN from RBNC pursuant to this Agreement shall be paid exclusive of any value-added tax (“</w:t>
      </w:r>
      <w:r>
        <w:rPr>
          <w:rFonts w:ascii="Arial" w:cs="Arial" w:eastAsia="Arial" w:hAnsi="Arial"/>
          <w:sz w:val="17"/>
          <w:szCs w:val="17"/>
          <w:b w:val="1"/>
          <w:bCs w:val="1"/>
          <w:color w:val="auto"/>
        </w:rPr>
        <w:t>VAT</w:t>
      </w:r>
      <w:r>
        <w:rPr>
          <w:rFonts w:ascii="Arial" w:cs="Arial" w:eastAsia="Arial" w:hAnsi="Arial"/>
          <w:sz w:val="17"/>
          <w:szCs w:val="17"/>
          <w:color w:val="auto"/>
        </w:rPr>
        <w:t>”) (which, if applicable, shall be payable by RBNC upon receipt of a valid VAT invoice). If AMGEN determines that it is required to report any such tax, RBNC shall promptly provide AMGEN with applicable receipts and other documentation necessary or appropriate for such report. For clarity, this Section 3.10.3 (VAT) is not intended to limit RBNC’s right to deduct value-added taxes in determining Net Sales.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3.10.4 </w:t>
      </w:r>
      <w:r>
        <w:rPr>
          <w:rFonts w:ascii="Arial" w:cs="Arial" w:eastAsia="Arial" w:hAnsi="Arial"/>
          <w:sz w:val="18"/>
          <w:szCs w:val="18"/>
          <w:b w:val="1"/>
          <w:bCs w:val="1"/>
          <w:color w:val="auto"/>
        </w:rPr>
        <w:t>Tax Treatment of Payments.</w:t>
      </w:r>
    </w:p>
    <w:p>
      <w:pPr>
        <w:spacing w:after="0" w:line="121" w:lineRule="exact"/>
        <w:rPr>
          <w:sz w:val="20"/>
          <w:szCs w:val="20"/>
          <w:color w:val="auto"/>
        </w:rPr>
      </w:pPr>
    </w:p>
    <w:p>
      <w:pPr>
        <w:ind w:left="1420" w:right="260" w:firstLine="8"/>
        <w:spacing w:after="0" w:line="263" w:lineRule="auto"/>
        <w:tabs>
          <w:tab w:leader="none" w:pos="166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AMGEN and RBNC intend to treat the payment of any Sublicense Consideration, Milestone Payments and any royalties pursuant to this Article 3 as consideration for the licenses granted hereunder to RBNC for U.S. federal income tax purposes (and applicable state, local or non-U.S. Tax purposes).</w:t>
      </w:r>
    </w:p>
    <w:p>
      <w:pPr>
        <w:spacing w:after="0" w:line="75" w:lineRule="exact"/>
        <w:rPr>
          <w:rFonts w:ascii="Arial" w:cs="Arial" w:eastAsia="Arial" w:hAnsi="Arial"/>
          <w:sz w:val="18"/>
          <w:szCs w:val="18"/>
          <w:color w:val="auto"/>
        </w:rPr>
      </w:pPr>
    </w:p>
    <w:p>
      <w:pPr>
        <w:jc w:val="both"/>
        <w:ind w:left="1420" w:right="20" w:firstLine="8"/>
        <w:spacing w:after="0" w:line="279" w:lineRule="auto"/>
        <w:tabs>
          <w:tab w:leader="none" w:pos="1675"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AMGEN and RBNC shall file all Tax returns, reports, schedules, information statements and other documents consistently with the understandings set forth in this Section 3.10.4, and shall take no contrary position on any such Tax return, or in any audit, claim, investigation or proceeding in respect of Taxes unless otherwise required pursuant to a final determination within the meaning of Section 1313 of the Code, or any analogous provision of applicable state, local or non-U.S. law.</w:t>
      </w:r>
    </w:p>
    <w:p>
      <w:pPr>
        <w:spacing w:after="0" w:line="275" w:lineRule="exact"/>
        <w:rPr>
          <w:sz w:val="20"/>
          <w:szCs w:val="20"/>
          <w:color w:val="auto"/>
        </w:rPr>
      </w:pPr>
    </w:p>
    <w:p>
      <w:pPr>
        <w:ind w:left="440" w:right="4640" w:hanging="439"/>
        <w:spacing w:after="0" w:line="375" w:lineRule="auto"/>
        <w:rPr>
          <w:sz w:val="20"/>
          <w:szCs w:val="20"/>
          <w:color w:val="auto"/>
        </w:rPr>
      </w:pPr>
      <w:r>
        <w:rPr>
          <w:rFonts w:ascii="Arial" w:cs="Arial" w:eastAsia="Arial" w:hAnsi="Arial"/>
          <w:sz w:val="18"/>
          <w:szCs w:val="18"/>
          <w:b w:val="1"/>
          <w:bCs w:val="1"/>
          <w:color w:val="auto"/>
        </w:rPr>
        <w:t>ARTICLE 4. PATENT PROSECUTION, MAINTENANCE, &amp; INFRINGEMENT Section 4.1 Intellectual Property Ownership .</w:t>
      </w:r>
    </w:p>
    <w:p>
      <w:pPr>
        <w:spacing w:after="0" w:line="1" w:lineRule="exact"/>
        <w:rPr>
          <w:sz w:val="20"/>
          <w:szCs w:val="20"/>
          <w:color w:val="auto"/>
        </w:rPr>
      </w:pPr>
    </w:p>
    <w:p>
      <w:pPr>
        <w:ind w:left="980" w:firstLine="401"/>
        <w:spacing w:after="0" w:line="269" w:lineRule="auto"/>
        <w:rPr>
          <w:sz w:val="20"/>
          <w:szCs w:val="20"/>
          <w:color w:val="auto"/>
        </w:rPr>
      </w:pPr>
      <w:r>
        <w:rPr>
          <w:rFonts w:ascii="Arial" w:cs="Arial" w:eastAsia="Arial" w:hAnsi="Arial"/>
          <w:sz w:val="17"/>
          <w:szCs w:val="17"/>
          <w:b w:val="1"/>
          <w:bCs w:val="1"/>
          <w:color w:val="auto"/>
        </w:rPr>
        <w:t xml:space="preserve">4.1.1 </w:t>
      </w:r>
      <w:r>
        <w:rPr>
          <w:rFonts w:ascii="Arial" w:cs="Arial" w:eastAsia="Arial" w:hAnsi="Arial"/>
          <w:sz w:val="17"/>
          <w:szCs w:val="17"/>
          <w:color w:val="auto"/>
        </w:rPr>
        <w:t>Except to the extent set forth in Section 4.1.2: (i) each Party shall retain and own all right, title, and interest in and to all</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discoveries, Know-How, trade secrets, proprietary rights and other intellectual property rights (collectively “</w:t>
      </w:r>
      <w:r>
        <w:rPr>
          <w:rFonts w:ascii="Arial" w:cs="Arial" w:eastAsia="Arial" w:hAnsi="Arial"/>
          <w:sz w:val="17"/>
          <w:szCs w:val="17"/>
          <w:b w:val="1"/>
          <w:bCs w:val="1"/>
          <w:color w:val="auto"/>
        </w:rPr>
        <w:t>Inventions</w:t>
      </w:r>
      <w:r>
        <w:rPr>
          <w:rFonts w:ascii="Arial" w:cs="Arial" w:eastAsia="Arial" w:hAnsi="Arial"/>
          <w:sz w:val="17"/>
          <w:szCs w:val="17"/>
          <w:color w:val="auto"/>
        </w:rPr>
        <w:t>”) conceived or created solely by or on behalf of such Party in the course of activities conducted pursuant to this Agreement (“</w:t>
      </w:r>
      <w:r>
        <w:rPr>
          <w:rFonts w:ascii="Arial" w:cs="Arial" w:eastAsia="Arial" w:hAnsi="Arial"/>
          <w:sz w:val="17"/>
          <w:szCs w:val="17"/>
          <w:b w:val="1"/>
          <w:bCs w:val="1"/>
          <w:color w:val="auto"/>
        </w:rPr>
        <w:t>Sole</w:t>
      </w:r>
      <w:r>
        <w:rPr>
          <w:rFonts w:ascii="Arial" w:cs="Arial" w:eastAsia="Arial" w:hAnsi="Arial"/>
          <w:sz w:val="17"/>
          <w:szCs w:val="17"/>
          <w:color w:val="auto"/>
        </w:rPr>
        <w:t xml:space="preserve"> </w:t>
      </w:r>
      <w:r>
        <w:rPr>
          <w:rFonts w:ascii="Arial" w:cs="Arial" w:eastAsia="Arial" w:hAnsi="Arial"/>
          <w:sz w:val="17"/>
          <w:szCs w:val="17"/>
          <w:b w:val="1"/>
          <w:bCs w:val="1"/>
          <w:color w:val="auto"/>
        </w:rPr>
        <w:t>Inventions</w:t>
      </w:r>
      <w:r>
        <w:rPr>
          <w:rFonts w:ascii="Arial" w:cs="Arial" w:eastAsia="Arial" w:hAnsi="Arial"/>
          <w:sz w:val="17"/>
          <w:szCs w:val="17"/>
          <w:color w:val="auto"/>
        </w:rPr>
        <w:t>”); and (ii) the Parties shall jointly own all right, title, and interest in and to Inventions conceived or created jointly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in the course of activities conducted pursuant to this Agreement (“</w:t>
      </w:r>
      <w:r>
        <w:rPr>
          <w:rFonts w:ascii="Arial" w:cs="Arial" w:eastAsia="Arial" w:hAnsi="Arial"/>
          <w:sz w:val="17"/>
          <w:szCs w:val="17"/>
          <w:b w:val="1"/>
          <w:bCs w:val="1"/>
          <w:color w:val="auto"/>
        </w:rPr>
        <w:t>Joint Inventions</w:t>
      </w:r>
      <w:r>
        <w:rPr>
          <w:rFonts w:ascii="Arial" w:cs="Arial" w:eastAsia="Arial" w:hAnsi="Arial"/>
          <w:sz w:val="17"/>
          <w:szCs w:val="17"/>
          <w:color w:val="auto"/>
        </w:rPr>
        <w:t>”), including all Patent Rights claiming such Joint Inventions (“</w:t>
      </w:r>
      <w:r>
        <w:rPr>
          <w:rFonts w:ascii="Arial" w:cs="Arial" w:eastAsia="Arial" w:hAnsi="Arial"/>
          <w:sz w:val="17"/>
          <w:szCs w:val="17"/>
          <w:b w:val="1"/>
          <w:bCs w:val="1"/>
          <w:color w:val="auto"/>
        </w:rPr>
        <w:t>Joint Patents</w:t>
      </w:r>
      <w:r>
        <w:rPr>
          <w:rFonts w:ascii="Arial" w:cs="Arial" w:eastAsia="Arial" w:hAnsi="Arial"/>
          <w:sz w:val="17"/>
          <w:szCs w:val="17"/>
          <w:color w:val="auto"/>
        </w:rPr>
        <w:t>”). Subject to the provisions of this Agreement, neither Party shall have any duty to account or obtain the consent of the other Party (such consent deemed given hereunder) in order to exploit, license or assign its respective rights in Joint Inventions and Joint Patents. With respect to Joint Inventions and Joint Patents, to the extent necessary to effect the foregoing in a country other than the United States, each Party hereby grants to the other Party a non-exclusive, irrevocable, perpetual, fully-paid (except as expressly stated in this Agreement), worldwide license, with the right to grant sublicenses, under the granting Party’s interest in Joint Inventions and Joint Patents, for any and all purposes. Inventorship and authorship of any Invention or work of authorship conceived or created by either Party or jointly by the Parties pursuant to this Agreement, shall follow the rules of the U.S. Patent and Trademark Office and the Laws of the U.S., respectively (without reference to any conflict of law principles).</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0" w:right="519" w:bottom="1440" w:gutter="0" w:footer="0" w:header="0"/>
        </w:sectPr>
      </w:pPr>
    </w:p>
    <w:bookmarkStart w:id="434" w:name="page435"/>
    <w:bookmarkEnd w:id="434"/>
    <w:p>
      <w:pPr>
        <w:ind w:left="540" w:firstLine="401"/>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4.1.2 </w:t>
      </w:r>
      <w:r>
        <w:rPr>
          <w:rFonts w:ascii="Arial" w:cs="Arial" w:eastAsia="Arial" w:hAnsi="Arial"/>
          <w:sz w:val="16"/>
          <w:szCs w:val="16"/>
          <w:color w:val="auto"/>
        </w:rPr>
        <w:t>Notwithstanding anything to the contrary in Section 4.1.1, all right, title, and interest in and to Sole Inventions and Joint</w:t>
      </w:r>
      <w:r>
        <w:rPr>
          <w:rFonts w:ascii="Arial" w:cs="Arial" w:eastAsia="Arial" w:hAnsi="Arial"/>
          <w:sz w:val="16"/>
          <w:szCs w:val="16"/>
          <w:b w:val="1"/>
          <w:bCs w:val="1"/>
          <w:color w:val="auto"/>
        </w:rPr>
        <w:t xml:space="preserve"> </w:t>
      </w:r>
      <w:r>
        <w:rPr>
          <w:rFonts w:ascii="Arial" w:cs="Arial" w:eastAsia="Arial" w:hAnsi="Arial"/>
          <w:sz w:val="16"/>
          <w:szCs w:val="16"/>
          <w:color w:val="auto"/>
        </w:rPr>
        <w:t>Inventions exclusively related to Program Compounds (collectively, “</w:t>
      </w:r>
      <w:r>
        <w:rPr>
          <w:rFonts w:ascii="Arial" w:cs="Arial" w:eastAsia="Arial" w:hAnsi="Arial"/>
          <w:sz w:val="16"/>
          <w:szCs w:val="16"/>
          <w:b w:val="1"/>
          <w:bCs w:val="1"/>
          <w:color w:val="auto"/>
        </w:rPr>
        <w:t>Program Compound Inventions</w:t>
      </w:r>
      <w:r>
        <w:rPr>
          <w:rFonts w:ascii="Arial" w:cs="Arial" w:eastAsia="Arial" w:hAnsi="Arial"/>
          <w:sz w:val="16"/>
          <w:szCs w:val="16"/>
          <w:color w:val="auto"/>
        </w:rPr>
        <w:t>”) (and any associated Patent Rights) shall be owned exclusively by RBNC regardless of inventorship. AMGEN shall and hereby does assign to RBNC all of AMGEN’s right, title and interest in and to any such Program Compound Inventions developed solely by or on behalf of AMGEN or jointly by the Parties pursuant to this Agreement, including all Patent Rights claiming such Program Compound Inventions. AMGEN shall, at its sole expense, take (and cause its Affiliates and its and their employees, contractors and agents to take) such further actions reasonably requested by RBNC to evidence such assignment, including the execution of any assignments or other legal documentation, and to assist RBNC in obtaining patent and other intellectual property rights protection for such Program Compound Inventions. AMGEN shall obligate its Affiliates to assign all such Program Compound Inventions to RBNC so that RBNC shall promptly obtain such assignment. AMGEN shall promptly disclose to RBNC any Program Compound Inventions and Program Patents that arise during the Term.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Cross-Licenses</w:t>
      </w:r>
      <w:r>
        <w:rPr>
          <w:rFonts w:ascii="Arial" w:cs="Arial" w:eastAsia="Arial" w:hAnsi="Arial"/>
          <w:sz w:val="18"/>
          <w:szCs w:val="18"/>
          <w:color w:val="auto"/>
        </w:rPr>
        <w:t>.</w:t>
      </w:r>
    </w:p>
    <w:p>
      <w:pPr>
        <w:spacing w:after="0" w:line="117" w:lineRule="exact"/>
        <w:rPr>
          <w:sz w:val="20"/>
          <w:szCs w:val="20"/>
          <w:color w:val="auto"/>
        </w:rPr>
      </w:pPr>
    </w:p>
    <w:p>
      <w:pPr>
        <w:ind w:left="540" w:right="540" w:firstLine="401"/>
        <w:spacing w:after="0" w:line="281" w:lineRule="auto"/>
        <w:rPr>
          <w:sz w:val="20"/>
          <w:szCs w:val="20"/>
          <w:color w:val="auto"/>
        </w:rPr>
      </w:pPr>
      <w:r>
        <w:rPr>
          <w:rFonts w:ascii="Arial" w:cs="Arial" w:eastAsia="Arial" w:hAnsi="Arial"/>
          <w:sz w:val="17"/>
          <w:szCs w:val="17"/>
          <w:b w:val="1"/>
          <w:bCs w:val="1"/>
          <w:color w:val="auto"/>
        </w:rPr>
        <w:t xml:space="preserve">4.2.1 </w:t>
      </w:r>
      <w:r>
        <w:rPr>
          <w:rFonts w:ascii="Arial" w:cs="Arial" w:eastAsia="Arial" w:hAnsi="Arial"/>
          <w:sz w:val="17"/>
          <w:szCs w:val="17"/>
          <w:color w:val="auto"/>
        </w:rPr>
        <w:t>Subject to the terms and conditions of this Agreement, AMGEN shall grant and hereby grants to RBNC a non-exclusive,</w:t>
      </w:r>
      <w:r>
        <w:rPr>
          <w:rFonts w:ascii="Arial" w:cs="Arial" w:eastAsia="Arial" w:hAnsi="Arial"/>
          <w:sz w:val="17"/>
          <w:szCs w:val="17"/>
          <w:b w:val="1"/>
          <w:bCs w:val="1"/>
          <w:color w:val="auto"/>
        </w:rPr>
        <w:t xml:space="preserve"> </w:t>
      </w:r>
      <w:r>
        <w:rPr>
          <w:rFonts w:ascii="Arial" w:cs="Arial" w:eastAsia="Arial" w:hAnsi="Arial"/>
          <w:sz w:val="17"/>
          <w:szCs w:val="17"/>
          <w:color w:val="auto"/>
        </w:rPr>
        <w:t>royalty-free, fully paid up, sublicensable (but only in accordance with Section 2.2 (Sublicenses)) license under any Patent Rights Controlled by AMGEN during the Term Covering the Licensed Compounds and/or Program Compounds solely to Exploit Licensed Compounds, Program Compounds and Products in the Licensed Field in the Territory during the Term.</w:t>
      </w:r>
    </w:p>
    <w:p>
      <w:pPr>
        <w:spacing w:after="0" w:line="57" w:lineRule="exact"/>
        <w:rPr>
          <w:sz w:val="20"/>
          <w:szCs w:val="20"/>
          <w:color w:val="auto"/>
        </w:rPr>
      </w:pPr>
    </w:p>
    <w:p>
      <w:pPr>
        <w:ind w:left="540" w:right="60" w:firstLine="401"/>
        <w:spacing w:after="0" w:line="289" w:lineRule="auto"/>
        <w:rPr>
          <w:sz w:val="20"/>
          <w:szCs w:val="20"/>
          <w:color w:val="auto"/>
        </w:rPr>
      </w:pPr>
      <w:r>
        <w:rPr>
          <w:rFonts w:ascii="Arial" w:cs="Arial" w:eastAsia="Arial" w:hAnsi="Arial"/>
          <w:sz w:val="17"/>
          <w:szCs w:val="17"/>
          <w:b w:val="1"/>
          <w:bCs w:val="1"/>
          <w:color w:val="auto"/>
        </w:rPr>
        <w:t xml:space="preserve">4.2.2 </w:t>
      </w:r>
      <w:r>
        <w:rPr>
          <w:rFonts w:ascii="Arial" w:cs="Arial" w:eastAsia="Arial" w:hAnsi="Arial"/>
          <w:sz w:val="17"/>
          <w:szCs w:val="17"/>
          <w:color w:val="auto"/>
        </w:rPr>
        <w:t>Subject to the terms and conditions of this Agreement, including Section 2.3 (Retained Rights and Limitations) and Section 5.6</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(Exclusivity), RBNC shall grant and hereby grants to AMGEN a non-exclusive, royalty-free, fully paid up, sublicensable in connection with the Exploitation of compounds and products, perpetual, irrevocable license under any [***], solely to [***].</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Prosecution and Maintenance.</w:t>
      </w:r>
    </w:p>
    <w:p>
      <w:pPr>
        <w:spacing w:after="0" w:line="117" w:lineRule="exact"/>
        <w:rPr>
          <w:sz w:val="20"/>
          <w:szCs w:val="20"/>
          <w:color w:val="auto"/>
        </w:rPr>
      </w:pPr>
    </w:p>
    <w:p>
      <w:pPr>
        <w:ind w:right="60" w:firstLine="423"/>
        <w:spacing w:after="0" w:line="255" w:lineRule="auto"/>
        <w:rPr>
          <w:sz w:val="20"/>
          <w:szCs w:val="20"/>
          <w:color w:val="auto"/>
        </w:rPr>
      </w:pPr>
      <w:r>
        <w:rPr>
          <w:rFonts w:ascii="Arial" w:cs="Arial" w:eastAsia="Arial" w:hAnsi="Arial"/>
          <w:sz w:val="18"/>
          <w:szCs w:val="18"/>
          <w:b w:val="1"/>
          <w:bCs w:val="1"/>
          <w:color w:val="auto"/>
        </w:rPr>
        <w:t xml:space="preserve">4.3.1 </w:t>
      </w:r>
      <w:r>
        <w:rPr>
          <w:rFonts w:ascii="Arial" w:cs="Arial" w:eastAsia="Arial" w:hAnsi="Arial"/>
          <w:sz w:val="18"/>
          <w:szCs w:val="18"/>
          <w:color w:val="auto"/>
        </w:rPr>
        <w:t>RBNC shall have the first right, but not the obligation, to file, prosecute and maintain all Patent Rights in the Program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Licensed Patents and Joint Patents, and Patent Rights claiming any Licensed Know-How or Sole Inventions conceived or created by or on behalf of AMGEN relating directly to the composition of a Licensed Compound, at RBNC’s sole expense using outside counsel reasonably acceptable to AMGEN. AMGEN shall reasonably cooperate with RBNC’s requests for data, affidavits, and other information and assistance to support prosecution and maintenance of the Patent Rights in the Program Patents, Licensed Patents and Joint Patents;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xml:space="preserve"> that RBNC shall reimburse AMGEN for its reasonable, documented out-of-pocket expenses with respect to such cooperation. RBNC shall promptly upon receipt forward to AMGEN</w:t>
      </w:r>
    </w:p>
    <w:p>
      <w:pPr>
        <w:spacing w:after="0" w:line="1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0"/>
          </w:cols>
          <w:pgMar w:left="880" w:top="270" w:right="439" w:bottom="1440" w:gutter="0" w:footer="0" w:header="0"/>
        </w:sectPr>
      </w:pPr>
    </w:p>
    <w:bookmarkStart w:id="435" w:name="page436"/>
    <w:bookmarkEnd w:id="435"/>
    <w:p>
      <w:pPr>
        <w:ind w:left="4"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copies of any significant office actions, communications, and correspondence relating to the Program Patents, Licensed Patents and Joint Patents. AMGEN shall have the right to comment on and to discuss prosecution and maintenance activities with RBNC, and RBNC shall consider the same in good faith and shall provide AMGEN with copies of all such proposed filings and correspondence relating to the Program Patents, Licensed Patents and Joint Patents to give AMGEN the opportunity to review and comment.</w:t>
      </w:r>
    </w:p>
    <w:p>
      <w:pPr>
        <w:spacing w:after="0" w:line="59" w:lineRule="exact"/>
        <w:rPr>
          <w:sz w:val="20"/>
          <w:szCs w:val="20"/>
          <w:color w:val="auto"/>
        </w:rPr>
      </w:pPr>
    </w:p>
    <w:p>
      <w:pPr>
        <w:ind w:left="4" w:right="280" w:firstLine="423"/>
        <w:spacing w:after="0" w:line="293" w:lineRule="auto"/>
        <w:rPr>
          <w:sz w:val="20"/>
          <w:szCs w:val="20"/>
          <w:color w:val="auto"/>
        </w:rPr>
      </w:pPr>
      <w:r>
        <w:rPr>
          <w:rFonts w:ascii="Arial" w:cs="Arial" w:eastAsia="Arial" w:hAnsi="Arial"/>
          <w:sz w:val="16"/>
          <w:szCs w:val="16"/>
          <w:b w:val="1"/>
          <w:bCs w:val="1"/>
          <w:color w:val="auto"/>
        </w:rPr>
        <w:t xml:space="preserve">4.3.2 </w:t>
      </w:r>
      <w:r>
        <w:rPr>
          <w:rFonts w:ascii="Arial" w:cs="Arial" w:eastAsia="Arial" w:hAnsi="Arial"/>
          <w:sz w:val="16"/>
          <w:szCs w:val="16"/>
          <w:color w:val="auto"/>
        </w:rPr>
        <w:t>Notwithstanding the foregoing, if RBNC, its Affiliate or Sublicensee declines to file, prosecute or maintain any Patent Rights under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4.3.1 in (1) Program Patents that claim the composition of matter of Licensed Compounds or derivatives thereof Directed to GCase,</w:t>
      </w:r>
    </w:p>
    <w:p>
      <w:pPr>
        <w:spacing w:after="0" w:line="1" w:lineRule="exact"/>
        <w:rPr>
          <w:sz w:val="20"/>
          <w:szCs w:val="20"/>
          <w:color w:val="auto"/>
        </w:rPr>
      </w:pPr>
    </w:p>
    <w:p>
      <w:pPr>
        <w:ind w:left="4" w:right="80" w:hanging="4"/>
        <w:spacing w:after="0" w:line="253" w:lineRule="auto"/>
        <w:tabs>
          <w:tab w:leader="none" w:pos="25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Licensed Patents, (3) Joint Patents , or Patent Rights claiming any Licensed Know-How or Sole Inventions conceived or created by or on behalf of AMGEN to the extent relating directly to the composition of a Licensed Compound, or elects to allow any such Patent Rights to lapse in any country, or elects to abandon any such Patent Rights before all appeals within the respective patent office have been exhausted (each, an “</w:t>
      </w:r>
      <w:r>
        <w:rPr>
          <w:rFonts w:ascii="Arial" w:cs="Arial" w:eastAsia="Arial" w:hAnsi="Arial"/>
          <w:sz w:val="18"/>
          <w:szCs w:val="18"/>
          <w:b w:val="1"/>
          <w:bCs w:val="1"/>
          <w:color w:val="auto"/>
        </w:rPr>
        <w:t>Abandoned Patent Right</w:t>
      </w:r>
      <w:r>
        <w:rPr>
          <w:rFonts w:ascii="Arial" w:cs="Arial" w:eastAsia="Arial" w:hAnsi="Arial"/>
          <w:sz w:val="18"/>
          <w:szCs w:val="18"/>
          <w:color w:val="auto"/>
        </w:rPr>
        <w:t>”), then:</w:t>
      </w:r>
    </w:p>
    <w:p>
      <w:pPr>
        <w:spacing w:after="0" w:line="84" w:lineRule="exact"/>
        <w:rPr>
          <w:rFonts w:ascii="Arial" w:cs="Arial" w:eastAsia="Arial" w:hAnsi="Arial"/>
          <w:sz w:val="18"/>
          <w:szCs w:val="18"/>
          <w:color w:val="auto"/>
        </w:rPr>
      </w:pPr>
    </w:p>
    <w:p>
      <w:pPr>
        <w:ind w:left="984" w:right="100" w:firstLine="8"/>
        <w:spacing w:after="0" w:line="259" w:lineRule="auto"/>
        <w:tabs>
          <w:tab w:leader="none" w:pos="122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RBNC shall provide AMGEN with reasonable notice of such decision so as to permit AMGEN to decide whether to file, prosecute or maintain such Abandoned Patent Rights and to take any necessary action (which notice shall, in any event, be given no later than [***] days prior to the next deadline for any action that may be taken with respect to such Abandoned Patent Right with the U.S. Patent &amp; Trademark Office or any foreign patent office)</w:t>
      </w:r>
      <w:r>
        <w:rPr>
          <w:rFonts w:ascii="Arial" w:cs="Arial" w:eastAsia="Arial" w:hAnsi="Arial"/>
          <w:sz w:val="18"/>
          <w:szCs w:val="18"/>
          <w:b w:val="1"/>
          <w:bCs w:val="1"/>
          <w:i w:val="1"/>
          <w:iCs w:val="1"/>
          <w:color w:val="auto"/>
        </w:rPr>
        <w:t>.</w:t>
      </w:r>
    </w:p>
    <w:p>
      <w:pPr>
        <w:spacing w:after="0" w:line="78" w:lineRule="exact"/>
        <w:rPr>
          <w:rFonts w:ascii="Arial" w:cs="Arial" w:eastAsia="Arial" w:hAnsi="Arial"/>
          <w:sz w:val="18"/>
          <w:szCs w:val="18"/>
          <w:color w:val="auto"/>
        </w:rPr>
      </w:pPr>
    </w:p>
    <w:p>
      <w:pPr>
        <w:ind w:left="984" w:right="260" w:firstLine="8"/>
        <w:spacing w:after="0" w:line="277" w:lineRule="auto"/>
        <w:tabs>
          <w:tab w:leader="none" w:pos="123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AMGEN, at AMGEN’s expense, may assume control of the filing, prosecution and/or maintenance of such Abandoned Patent Rights.</w:t>
      </w:r>
    </w:p>
    <w:p>
      <w:pPr>
        <w:spacing w:after="0" w:line="62" w:lineRule="exact"/>
        <w:rPr>
          <w:rFonts w:ascii="Arial" w:cs="Arial" w:eastAsia="Arial" w:hAnsi="Arial"/>
          <w:sz w:val="18"/>
          <w:szCs w:val="18"/>
          <w:color w:val="auto"/>
        </w:rPr>
      </w:pPr>
    </w:p>
    <w:p>
      <w:pPr>
        <w:ind w:left="984" w:firstLine="8"/>
        <w:spacing w:after="0" w:line="277" w:lineRule="auto"/>
        <w:tabs>
          <w:tab w:leader="none" w:pos="122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AMGEN shall have the right to transfer the responsibility for such filing, prosecution and maintenance of such Abandoned Patent Rights to patent counsel (outside or internal) selected by AMGEN.</w:t>
      </w:r>
    </w:p>
    <w:p>
      <w:pPr>
        <w:spacing w:after="0" w:line="62" w:lineRule="exact"/>
        <w:rPr>
          <w:rFonts w:ascii="Arial" w:cs="Arial" w:eastAsia="Arial" w:hAnsi="Arial"/>
          <w:sz w:val="18"/>
          <w:szCs w:val="18"/>
          <w:color w:val="auto"/>
        </w:rPr>
      </w:pPr>
    </w:p>
    <w:p>
      <w:pPr>
        <w:ind w:left="984" w:right="120" w:firstLine="8"/>
        <w:spacing w:after="0" w:line="263" w:lineRule="auto"/>
        <w:tabs>
          <w:tab w:leader="none" w:pos="123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RBNC shall assist and cooperate with AMGEN’s reasonable requests to support prosecution and maintenance of such Abandoned Patent Rights;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xml:space="preserve"> that AMGEN shall reimburse RBNC for its reasonable expenses with respect to such cooperation (including RBNC’s employee’s time at the FTE Rate).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4.4 Enforcement.</w:t>
      </w:r>
    </w:p>
    <w:p>
      <w:pPr>
        <w:spacing w:after="0" w:line="117" w:lineRule="exact"/>
        <w:rPr>
          <w:sz w:val="20"/>
          <w:szCs w:val="20"/>
          <w:color w:val="auto"/>
        </w:rPr>
      </w:pPr>
    </w:p>
    <w:p>
      <w:pPr>
        <w:ind w:left="4" w:right="300" w:firstLine="423"/>
        <w:spacing w:after="0" w:line="294" w:lineRule="auto"/>
        <w:rPr>
          <w:sz w:val="20"/>
          <w:szCs w:val="20"/>
          <w:color w:val="auto"/>
        </w:rPr>
      </w:pPr>
      <w:r>
        <w:rPr>
          <w:rFonts w:ascii="Arial" w:cs="Arial" w:eastAsia="Arial" w:hAnsi="Arial"/>
          <w:sz w:val="16"/>
          <w:szCs w:val="16"/>
          <w:b w:val="1"/>
          <w:bCs w:val="1"/>
          <w:color w:val="auto"/>
        </w:rPr>
        <w:t xml:space="preserve">4.4.1 RBNC Enforcement. </w:t>
      </w:r>
      <w:r>
        <w:rPr>
          <w:rFonts w:ascii="Arial" w:cs="Arial" w:eastAsia="Arial" w:hAnsi="Arial"/>
          <w:sz w:val="16"/>
          <w:szCs w:val="16"/>
          <w:color w:val="auto"/>
        </w:rPr>
        <w:t>Each Party will notify the other promptly in writing when any Infringement of a Licensed Patent,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Patent or Joint Patent by a Third Party is uncovered or reasonably suspected in connection with compounds or products that are Directed to GCase. RBNC shall have the first right to enforce any patent within the Licensed Patents, Program Patents or Joint Patents against any such Infringement or alleged Infringement thereof, and shall at all times keep AMGEN informed as to the status thereof. RBNC may, at its own expense, institute suit against any such infringer or alleged infringer and control and defend and settle such suit in a manner consistent with the terms and provisions hereof and recover any damages, awards or settlements resulting therefrom,</w:t>
      </w:r>
    </w:p>
    <w:p>
      <w:pPr>
        <w:spacing w:after="0" w:line="96"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84"/>
          </w:cols>
          <w:pgMar w:left="876" w:top="274" w:right="439" w:bottom="1440" w:gutter="0" w:footer="0" w:header="0"/>
        </w:sectPr>
      </w:pPr>
    </w:p>
    <w:bookmarkStart w:id="436" w:name="page437"/>
    <w:bookmarkEnd w:id="43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Section 4.6 (Recovery). AMGEN shall reasonably cooperate in any such litigation (including joining or being named a necessary party thereto) at RBNC’s expense. RBNC shall not enter into any settlement of any claim described in this Section 4.4.1 (RBNC Enforcement) that admits to the invalidity or unenforceability of the Licensed Patents, Program Patents or Joint Patents, incurs any financial liability on the part of AMGEN or requires an admission of liability, wrongdoing or fault on the part of AMGEN, without AMGEN’s prior written consent, in each case, such consent not to be unreasonably withheld.</w:t>
      </w:r>
    </w:p>
    <w:p>
      <w:pPr>
        <w:spacing w:after="0" w:line="76" w:lineRule="exact"/>
        <w:rPr>
          <w:sz w:val="20"/>
          <w:szCs w:val="20"/>
          <w:color w:val="auto"/>
        </w:rPr>
      </w:pPr>
    </w:p>
    <w:p>
      <w:pPr>
        <w:ind w:firstLine="423"/>
        <w:spacing w:after="0" w:line="289" w:lineRule="auto"/>
        <w:rPr>
          <w:sz w:val="20"/>
          <w:szCs w:val="20"/>
          <w:color w:val="auto"/>
        </w:rPr>
      </w:pPr>
      <w:r>
        <w:rPr>
          <w:rFonts w:ascii="Arial" w:cs="Arial" w:eastAsia="Arial" w:hAnsi="Arial"/>
          <w:sz w:val="16"/>
          <w:szCs w:val="16"/>
          <w:b w:val="1"/>
          <w:bCs w:val="1"/>
          <w:color w:val="auto"/>
        </w:rPr>
        <w:t xml:space="preserve">4.4.2 AMGEN Enforcement. </w:t>
      </w:r>
      <w:r>
        <w:rPr>
          <w:rFonts w:ascii="Arial" w:cs="Arial" w:eastAsia="Arial" w:hAnsi="Arial"/>
          <w:sz w:val="16"/>
          <w:szCs w:val="16"/>
          <w:color w:val="auto"/>
        </w:rPr>
        <w:t>If RBNC (directly or through an Affiliate or Sublicensee) elects not to enforce any patent within the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Patents, Program Patents or Joint Patents, then it shall so notify AMGEN in writing within [***] months of receiving notice that such an Infringement exists (or such shorter period as may be necessary to prevent exhaustion of a statute of limitations (or laches) applicable to such Infringement), and AMGEN may, in its sole judgement, and at its own expense, take steps to enforce any such patent, and control, settle, and defend such suit in a manner consistent with the terms and provisions hereof, and recover any damages, awards or settlements resulting therefrom, subject to Section 4.6 (Recovery). RBNC shall reasonably cooperate in any such litigation (including joining or being named a necessary party thereto) at AMGEN’s expense. AMGEN shall not enter into any settlement of any claim described in this Section 4.4.2 (AMGEN Enforcement) that admits to the invalidity or unenforceability of the Licensed Patents, Program Patents or Joint Patents, incurs any financial liability on the part of RBNC or requires an admission of liability, wrongdoing or fault on the part of RBNC without RBNC’s prior written consent.</w:t>
      </w:r>
    </w:p>
    <w:p>
      <w:pPr>
        <w:spacing w:after="0" w:line="58" w:lineRule="exact"/>
        <w:rPr>
          <w:sz w:val="20"/>
          <w:szCs w:val="20"/>
          <w:color w:val="auto"/>
        </w:rPr>
      </w:pPr>
    </w:p>
    <w:p>
      <w:pPr>
        <w:ind w:right="140" w:firstLine="423"/>
        <w:spacing w:after="0" w:line="266" w:lineRule="auto"/>
        <w:rPr>
          <w:sz w:val="20"/>
          <w:szCs w:val="20"/>
          <w:color w:val="auto"/>
        </w:rPr>
      </w:pPr>
      <w:r>
        <w:rPr>
          <w:rFonts w:ascii="Arial" w:cs="Arial" w:eastAsia="Arial" w:hAnsi="Arial"/>
          <w:sz w:val="18"/>
          <w:szCs w:val="18"/>
          <w:b w:val="1"/>
          <w:bCs w:val="1"/>
          <w:color w:val="auto"/>
        </w:rPr>
        <w:t xml:space="preserve">4.4.3 Progress Reports. </w:t>
      </w:r>
      <w:r>
        <w:rPr>
          <w:rFonts w:ascii="Arial" w:cs="Arial" w:eastAsia="Arial" w:hAnsi="Arial"/>
          <w:sz w:val="18"/>
          <w:szCs w:val="18"/>
          <w:color w:val="auto"/>
        </w:rPr>
        <w:t>The Party initiating or defending any such enforcement action (the “</w:t>
      </w:r>
      <w:r>
        <w:rPr>
          <w:rFonts w:ascii="Arial" w:cs="Arial" w:eastAsia="Arial" w:hAnsi="Arial"/>
          <w:sz w:val="18"/>
          <w:szCs w:val="18"/>
          <w:b w:val="1"/>
          <w:bCs w:val="1"/>
          <w:color w:val="auto"/>
        </w:rPr>
        <w:t>Enforcing Party</w:t>
      </w:r>
      <w:r>
        <w:rPr>
          <w:rFonts w:ascii="Arial" w:cs="Arial" w:eastAsia="Arial" w:hAnsi="Arial"/>
          <w:sz w:val="18"/>
          <w:szCs w:val="18"/>
          <w:color w:val="auto"/>
        </w:rPr>
        <w:t>”) shall keep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informed of the progress of any such enforcement action, and such other Party shall have the individual right to participate with counsel of its own choice at its own expense.</w:t>
      </w:r>
    </w:p>
    <w:p>
      <w:pPr>
        <w:spacing w:after="0" w:line="6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Section 4.5 Defense of Third Party Claims</w:t>
      </w:r>
      <w:r>
        <w:rPr>
          <w:rFonts w:ascii="Arial" w:cs="Arial" w:eastAsia="Arial" w:hAnsi="Arial"/>
          <w:sz w:val="17"/>
          <w:szCs w:val="17"/>
          <w:color w:val="auto"/>
        </w:rPr>
        <w:t>. If either (a) any Product Exploited by or under authority of RBNC becomes the subject of a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Party’s claim or assertion of Infringement of a patent relating to the manufacture, use, sale, offer for sale or importation of such Product in the Licensed Field in the Territory, or (b) a declaratory judgment action is brought naming either Party as a defendant and alleging invalidity or unenforceability of any of the Licensed Patents, Program Patents or Joint Patents, the Party first having notice of the claim or assertion shall promptly notify the other Party, and the Parties shall promptly confer to consider the claim or assertion and the appropriate course of action. Subject to Article 7 (Indemnification), unless the Parties otherwise agree in writing, (i) with respect to claims or assertions in Section 4.5(a), each Party shall have the right to defend itself against a suit that names it as a defendant at its expense, and (ii) with respect to actions in Section 4.5(b) alleging invalidity or unenforceability of any Licensed Patent, Program Patent or Joint Patent, RBNC shall have the first right, but not the obligation, directly or through an Affiliate or Sublicensee, to defend and control the defense of any such action at its expense, and if RBNC elects not to or fails to defend or control the defense of such action, then AMGEN may conduct and control the defense of such action at its expense. Neither Party shall enter into any settlement of any claim described in this Section 4.5 that admits to the invalidity or unenforceability of the Licensed</w:t>
      </w:r>
    </w:p>
    <w:p>
      <w:pPr>
        <w:spacing w:after="0" w:line="11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40"/>
          </w:cols>
          <w:pgMar w:left="880" w:top="274" w:right="479" w:bottom="1440" w:gutter="0" w:footer="0" w:header="0"/>
        </w:sectPr>
      </w:pPr>
    </w:p>
    <w:bookmarkStart w:id="437" w:name="page438"/>
    <w:bookmarkEnd w:id="437"/>
    <w:p>
      <w:pPr>
        <w:ind w:left="440"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Patents, Program Patents or Joint Patents, incurs any financial liability on the part of the other Party, requires an admission of liability, wrongdoing or fault on the part of the other Party, without the other Party’s prior written consent, in each case such consent not to be unreasonably withheld. In any event, the other Party shall reasonably assist the Party defending a claim, assertion or action in accordance with this Section 4.5 (the “</w:t>
      </w:r>
      <w:r>
        <w:rPr>
          <w:rFonts w:ascii="Arial" w:cs="Arial" w:eastAsia="Arial" w:hAnsi="Arial"/>
          <w:sz w:val="17"/>
          <w:szCs w:val="17"/>
          <w:b w:val="1"/>
          <w:bCs w:val="1"/>
          <w:color w:val="auto"/>
        </w:rPr>
        <w:t>Defending Party</w:t>
      </w:r>
      <w:r>
        <w:rPr>
          <w:rFonts w:ascii="Arial" w:cs="Arial" w:eastAsia="Arial" w:hAnsi="Arial"/>
          <w:sz w:val="17"/>
          <w:szCs w:val="17"/>
          <w:color w:val="auto"/>
        </w:rPr>
        <w:t>”) and cooperate in any such litigation at the Defending Party’s request and expense.</w:t>
      </w:r>
    </w:p>
    <w:p>
      <w:pPr>
        <w:spacing w:after="0" w:line="59" w:lineRule="exact"/>
        <w:rPr>
          <w:sz w:val="20"/>
          <w:szCs w:val="20"/>
          <w:color w:val="auto"/>
        </w:rPr>
      </w:pPr>
    </w:p>
    <w:p>
      <w:pPr>
        <w:ind w:left="440"/>
        <w:spacing w:after="0" w:line="281" w:lineRule="auto"/>
        <w:rPr>
          <w:sz w:val="20"/>
          <w:szCs w:val="20"/>
          <w:color w:val="auto"/>
        </w:rPr>
      </w:pPr>
      <w:r>
        <w:rPr>
          <w:rFonts w:ascii="Arial" w:cs="Arial" w:eastAsia="Arial" w:hAnsi="Arial"/>
          <w:sz w:val="17"/>
          <w:szCs w:val="17"/>
          <w:b w:val="1"/>
          <w:bCs w:val="1"/>
          <w:color w:val="auto"/>
        </w:rPr>
        <w:t>Section 4.6 Recovery</w:t>
      </w:r>
      <w:r>
        <w:rPr>
          <w:rFonts w:ascii="Arial" w:cs="Arial" w:eastAsia="Arial" w:hAnsi="Arial"/>
          <w:sz w:val="17"/>
          <w:szCs w:val="17"/>
          <w:color w:val="auto"/>
        </w:rPr>
        <w:t>. Except as otherwise provided, the costs and expenses of the Party bringing suit under Section 4.4 (Enforcement)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borne by such Party, and any damages, settlements or other monetary awards recovered shall be shared as follows: (a) the amount of such recovery actually received by the Party controlling such action shall first be applied on a pro-rata basis to the out-of-pocket costs of each Party in connection with such action; and then (b) the remainder of the recovery shall be shared as follows:</w:t>
      </w:r>
    </w:p>
    <w:p>
      <w:pPr>
        <w:spacing w:after="0" w:line="61" w:lineRule="exact"/>
        <w:rPr>
          <w:sz w:val="20"/>
          <w:szCs w:val="20"/>
          <w:color w:val="auto"/>
        </w:rPr>
      </w:pPr>
    </w:p>
    <w:p>
      <w:pPr>
        <w:ind w:left="1640" w:hanging="212"/>
        <w:spacing w:after="0"/>
        <w:tabs>
          <w:tab w:leader="none" w:pos="16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RBNC is the Enforcing Party, [***]; and</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AMGEN is the Enforcing Party, [***].</w:t>
      </w:r>
    </w:p>
    <w:p>
      <w:pPr>
        <w:spacing w:after="0" w:line="113" w:lineRule="exact"/>
        <w:rPr>
          <w:sz w:val="20"/>
          <w:szCs w:val="20"/>
          <w:color w:val="auto"/>
        </w:rPr>
      </w:pPr>
    </w:p>
    <w:p>
      <w:pPr>
        <w:ind w:left="440" w:right="120"/>
        <w:spacing w:after="0" w:line="303" w:lineRule="auto"/>
        <w:rPr>
          <w:sz w:val="20"/>
          <w:szCs w:val="20"/>
          <w:color w:val="auto"/>
        </w:rPr>
      </w:pPr>
      <w:r>
        <w:rPr>
          <w:rFonts w:ascii="Arial" w:cs="Arial" w:eastAsia="Arial" w:hAnsi="Arial"/>
          <w:sz w:val="16"/>
          <w:szCs w:val="16"/>
          <w:b w:val="1"/>
          <w:bCs w:val="1"/>
          <w:color w:val="auto"/>
        </w:rPr>
        <w:t xml:space="preserve">Section 4.7 Patent Term Extensions and Filings for Regulatory Exclusivity Periods. </w:t>
      </w:r>
      <w:r>
        <w:rPr>
          <w:rFonts w:ascii="Arial" w:cs="Arial" w:eastAsia="Arial" w:hAnsi="Arial"/>
          <w:sz w:val="16"/>
          <w:szCs w:val="16"/>
          <w:color w:val="auto"/>
        </w:rPr>
        <w:t>RBNC will advise AMGEN when it is considering any</w:t>
      </w:r>
      <w:r>
        <w:rPr>
          <w:rFonts w:ascii="Arial" w:cs="Arial" w:eastAsia="Arial" w:hAnsi="Arial"/>
          <w:sz w:val="16"/>
          <w:szCs w:val="16"/>
          <w:b w:val="1"/>
          <w:bCs w:val="1"/>
          <w:color w:val="auto"/>
        </w:rPr>
        <w:t xml:space="preserve"> </w:t>
      </w:r>
      <w:r>
        <w:rPr>
          <w:rFonts w:ascii="Arial" w:cs="Arial" w:eastAsia="Arial" w:hAnsi="Arial"/>
          <w:sz w:val="16"/>
          <w:szCs w:val="16"/>
          <w:color w:val="auto"/>
        </w:rPr>
        <w:t>patent term extension or supplementary protection certificates or their equivalent for the Licensed Patents, Program Patents or Joint Patents. With respect to any patent listings required for any Regulatory Exclusivity for the Products, the Parties will discuss in good faith which Licensed Patents, Joint Patents or Program Patents, if any, to list; provided, the decision as to which Patents are listed resides with RBNC.</w:t>
      </w:r>
    </w:p>
    <w:p>
      <w:pPr>
        <w:spacing w:after="0" w:line="43" w:lineRule="exact"/>
        <w:rPr>
          <w:sz w:val="20"/>
          <w:szCs w:val="20"/>
          <w:color w:val="auto"/>
        </w:rPr>
      </w:pPr>
    </w:p>
    <w:p>
      <w:pPr>
        <w:ind w:left="440" w:right="140"/>
        <w:spacing w:after="0" w:line="347" w:lineRule="auto"/>
        <w:rPr>
          <w:sz w:val="20"/>
          <w:szCs w:val="20"/>
          <w:color w:val="auto"/>
        </w:rPr>
      </w:pPr>
      <w:r>
        <w:rPr>
          <w:rFonts w:ascii="Arial" w:cs="Arial" w:eastAsia="Arial" w:hAnsi="Arial"/>
          <w:sz w:val="16"/>
          <w:szCs w:val="16"/>
          <w:b w:val="1"/>
          <w:bCs w:val="1"/>
          <w:color w:val="auto"/>
        </w:rPr>
        <w:t xml:space="preserve">Section 4.8 Patent Marking. </w:t>
      </w:r>
      <w:r>
        <w:rPr>
          <w:rFonts w:ascii="Arial" w:cs="Arial" w:eastAsia="Arial" w:hAnsi="Arial"/>
          <w:sz w:val="16"/>
          <w:szCs w:val="16"/>
          <w:color w:val="auto"/>
        </w:rPr>
        <w:t>RBNC will mark, and will cause all other Selling Parties to mark, the Products with all Joint Patents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applicable Law, which marking obligation will continue for as long as (and only for as long as) required under applicable Law.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OBLIGATIONS OF THE PARTIES</w:t>
      </w:r>
    </w:p>
    <w:p>
      <w:pPr>
        <w:spacing w:after="0" w:line="117" w:lineRule="exact"/>
        <w:rPr>
          <w:sz w:val="20"/>
          <w:szCs w:val="20"/>
          <w:color w:val="auto"/>
        </w:rPr>
      </w:pPr>
    </w:p>
    <w:p>
      <w:pPr>
        <w:ind w:left="440" w:right="20"/>
        <w:spacing w:after="0" w:line="256" w:lineRule="auto"/>
        <w:rPr>
          <w:sz w:val="20"/>
          <w:szCs w:val="20"/>
          <w:color w:val="auto"/>
        </w:rPr>
      </w:pPr>
      <w:r>
        <w:rPr>
          <w:rFonts w:ascii="Arial" w:cs="Arial" w:eastAsia="Arial" w:hAnsi="Arial"/>
          <w:sz w:val="18"/>
          <w:szCs w:val="18"/>
          <w:b w:val="1"/>
          <w:bCs w:val="1"/>
          <w:color w:val="auto"/>
        </w:rPr>
        <w:t xml:space="preserve">Section 5.1 Responsibility. </w:t>
      </w:r>
      <w:r>
        <w:rPr>
          <w:rFonts w:ascii="Arial" w:cs="Arial" w:eastAsia="Arial" w:hAnsi="Arial"/>
          <w:sz w:val="18"/>
          <w:szCs w:val="18"/>
          <w:color w:val="auto"/>
        </w:rPr>
        <w:t>Following the Effective Date and at all times during the Term (except as expressly stated otherwise herein), RBNC</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solely responsible for, and shall bear all costs associated with, the Exploitation of the Licensed Compounds, Program Compounds and Products in the Licensed Field in the Territory, including regulatory, manufacturing, distribution, marketing and sales activities. Subject to the express written terms of this Agreement, all decisions concerning the development, marketing and sales of Products in the Licensed Field in the Territory including the clinical and regulatory strategy, design, sale, price and promotion of Products covered under this Agreement shall be within the sole discretion of RBNC.</w:t>
      </w:r>
    </w:p>
    <w:p>
      <w:pPr>
        <w:spacing w:after="0" w:line="79" w:lineRule="exact"/>
        <w:rPr>
          <w:sz w:val="20"/>
          <w:szCs w:val="20"/>
          <w:color w:val="auto"/>
        </w:rPr>
      </w:pPr>
    </w:p>
    <w:p>
      <w:pPr>
        <w:ind w:left="440" w:right="140"/>
        <w:spacing w:after="0" w:line="266" w:lineRule="auto"/>
        <w:rPr>
          <w:sz w:val="20"/>
          <w:szCs w:val="20"/>
          <w:color w:val="auto"/>
        </w:rPr>
      </w:pPr>
      <w:r>
        <w:rPr>
          <w:rFonts w:ascii="Arial" w:cs="Arial" w:eastAsia="Arial" w:hAnsi="Arial"/>
          <w:sz w:val="18"/>
          <w:szCs w:val="18"/>
          <w:b w:val="1"/>
          <w:bCs w:val="1"/>
          <w:color w:val="auto"/>
        </w:rPr>
        <w:t xml:space="preserve">Section 5.2 Diligence. </w:t>
      </w:r>
      <w:r>
        <w:rPr>
          <w:rFonts w:ascii="Arial" w:cs="Arial" w:eastAsia="Arial" w:hAnsi="Arial"/>
          <w:sz w:val="18"/>
          <w:szCs w:val="18"/>
          <w:color w:val="auto"/>
        </w:rPr>
        <w:t>RBNC shall (directly and/or through one or more Affiliates and/or Sublicensees) use Commercially Reasonable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develop, manufacture, obtain Marketing Approval and commercialize at least one (1) Product. RBNC shall notify AMGEN immediately upon obtaining Marketing Approval for a Product in each country.</w:t>
      </w:r>
    </w:p>
    <w:p>
      <w:pPr>
        <w:spacing w:after="0" w:line="68" w:lineRule="exact"/>
        <w:rPr>
          <w:sz w:val="20"/>
          <w:szCs w:val="20"/>
          <w:color w:val="auto"/>
        </w:rPr>
      </w:pPr>
    </w:p>
    <w:p>
      <w:pPr>
        <w:ind w:left="440" w:right="340"/>
        <w:spacing w:after="0" w:line="347" w:lineRule="auto"/>
        <w:rPr>
          <w:sz w:val="20"/>
          <w:szCs w:val="20"/>
          <w:color w:val="auto"/>
        </w:rPr>
      </w:pPr>
      <w:r>
        <w:rPr>
          <w:rFonts w:ascii="Arial" w:cs="Arial" w:eastAsia="Arial" w:hAnsi="Arial"/>
          <w:sz w:val="16"/>
          <w:szCs w:val="16"/>
          <w:b w:val="1"/>
          <w:bCs w:val="1"/>
          <w:color w:val="auto"/>
        </w:rPr>
        <w:t xml:space="preserve">Section 5.3 Reports. </w:t>
      </w:r>
      <w:r>
        <w:rPr>
          <w:rFonts w:ascii="Arial" w:cs="Arial" w:eastAsia="Arial" w:hAnsi="Arial"/>
          <w:sz w:val="16"/>
          <w:szCs w:val="16"/>
          <w:color w:val="auto"/>
        </w:rPr>
        <w:t>Within [***] days of the beginning of each Calendar Year, with respect to each Product until the first commercial sale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Product, RBNC shall submit to AMGEN a [***] providing the status of RBNC’s and its Affiliates’ and Sublicensees’ activities related</w:t>
      </w:r>
    </w:p>
    <w:p>
      <w:pPr>
        <w:spacing w:after="0" w:line="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438" w:name="page439"/>
    <w:bookmarkEnd w:id="43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research and development of and Marketing Approval for such Products during the [***], and plans for future activities related to the research and development of and Marketing Approval for such Products [***], in each case in relation to the last updated development plan including any updates to the clinical plans. In addition, with respect to each Phase II Clinical Trial completed for any Product during the ROFN Period, as promptly as practicable following completion of such Clinical Trial, RBNC shall prepare and deliver to Amgen the Clinical Trial Report with respect to such Phase II Clinical Trial.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Distracting Programs.</w:t>
      </w:r>
    </w:p>
    <w:p>
      <w:pPr>
        <w:spacing w:after="0" w:line="117" w:lineRule="exact"/>
        <w:rPr>
          <w:sz w:val="20"/>
          <w:szCs w:val="20"/>
          <w:color w:val="auto"/>
        </w:rPr>
      </w:pPr>
    </w:p>
    <w:p>
      <w:pPr>
        <w:ind w:right="80" w:firstLine="423"/>
        <w:spacing w:after="0" w:line="286" w:lineRule="auto"/>
        <w:rPr>
          <w:sz w:val="20"/>
          <w:szCs w:val="20"/>
          <w:color w:val="auto"/>
        </w:rPr>
      </w:pPr>
      <w:r>
        <w:rPr>
          <w:rFonts w:ascii="Arial" w:cs="Arial" w:eastAsia="Arial" w:hAnsi="Arial"/>
          <w:sz w:val="16"/>
          <w:szCs w:val="16"/>
          <w:b w:val="1"/>
          <w:bCs w:val="1"/>
          <w:color w:val="auto"/>
        </w:rPr>
        <w:t>5.4.1 Distracting Programs</w:t>
      </w:r>
      <w:r>
        <w:rPr>
          <w:rFonts w:ascii="Arial" w:cs="Arial" w:eastAsia="Arial" w:hAnsi="Arial"/>
          <w:sz w:val="16"/>
          <w:szCs w:val="16"/>
          <w:color w:val="auto"/>
        </w:rPr>
        <w:t>. Except as set forth in Section 5.4.2 (RBNC Election), Section 5.4.3 (Post-Effective Date Affiliates)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5.4.4 (Termination or Divestiture), during the Term until the [***] anniversary of the First Commercial Sale of the first Product in the United States, RBNC shall not (and shall ensure its Affiliates and Sublicensees do not) (a) directly, or indirectly with or through a Third Party, conduct or participate in any Distracting Program, or (b) enable a Third Party, by granting a license, sublicense or other rights to such Third Party, to conduct or participate in any Distracting Program. For clarity, any failure of any RBNC Affiliate or Sublicensee to comply with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Section 5.4.1 shall be deemed a breach by RBNC.</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5.4.2 RBNC Election</w:t>
      </w:r>
      <w:r>
        <w:rPr>
          <w:rFonts w:ascii="Arial" w:cs="Arial" w:eastAsia="Arial" w:hAnsi="Arial"/>
          <w:sz w:val="18"/>
          <w:szCs w:val="18"/>
          <w:color w:val="auto"/>
        </w:rPr>
        <w:t>.</w:t>
      </w:r>
    </w:p>
    <w:p>
      <w:pPr>
        <w:spacing w:after="0" w:line="117" w:lineRule="exact"/>
        <w:rPr>
          <w:sz w:val="20"/>
          <w:szCs w:val="20"/>
          <w:color w:val="auto"/>
        </w:rPr>
      </w:pPr>
    </w:p>
    <w:p>
      <w:pPr>
        <w:ind w:left="980" w:right="40" w:firstLine="8"/>
        <w:spacing w:after="0" w:line="261" w:lineRule="auto"/>
        <w:tabs>
          <w:tab w:leader="none" w:pos="1225"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Distracting Program</w:t>
      </w:r>
      <w:r>
        <w:rPr>
          <w:rFonts w:ascii="Arial" w:cs="Arial" w:eastAsia="Arial" w:hAnsi="Arial"/>
          <w:sz w:val="18"/>
          <w:szCs w:val="18"/>
          <w:color w:val="auto"/>
        </w:rPr>
        <w:t>. In the event that RBNC or its Affiliate or its Sublicensee gains rights to a Distracting Program, then</w:t>
      </w:r>
      <w:r>
        <w:rPr>
          <w:rFonts w:ascii="Arial" w:cs="Arial" w:eastAsia="Arial" w:hAnsi="Arial"/>
          <w:sz w:val="18"/>
          <w:szCs w:val="18"/>
          <w:b w:val="1"/>
          <w:bCs w:val="1"/>
          <w:color w:val="auto"/>
        </w:rPr>
        <w:t xml:space="preserve"> </w:t>
      </w:r>
      <w:r>
        <w:rPr>
          <w:rFonts w:ascii="Arial" w:cs="Arial" w:eastAsia="Arial" w:hAnsi="Arial"/>
          <w:sz w:val="18"/>
          <w:szCs w:val="18"/>
          <w:color w:val="auto"/>
        </w:rPr>
        <w:t>RBNC shall provide prompt written notice (in all events within [***] days of gaining such rights) to AMGEN and include in such notice whether RBNC elects to treat all Distracting Product(s) that are the subject of such Distracting Program as “Product(s)” under this Agreement.</w:t>
      </w:r>
    </w:p>
    <w:p>
      <w:pPr>
        <w:spacing w:after="0" w:line="71" w:lineRule="exact"/>
        <w:rPr>
          <w:rFonts w:ascii="Arial" w:cs="Arial" w:eastAsia="Arial" w:hAnsi="Arial"/>
          <w:sz w:val="18"/>
          <w:szCs w:val="18"/>
          <w:color w:val="auto"/>
        </w:rPr>
      </w:pPr>
    </w:p>
    <w:p>
      <w:pPr>
        <w:ind w:left="980" w:right="40" w:firstLine="8"/>
        <w:spacing w:after="0" w:line="298" w:lineRule="auto"/>
        <w:tabs>
          <w:tab w:leader="none" w:pos="1235" w:val="left"/>
        </w:tabs>
        <w:numPr>
          <w:ilvl w:val="0"/>
          <w:numId w:val="252"/>
        </w:numPr>
        <w:rPr>
          <w:rFonts w:ascii="Arial" w:cs="Arial" w:eastAsia="Arial" w:hAnsi="Arial"/>
          <w:sz w:val="16"/>
          <w:szCs w:val="16"/>
          <w:color w:val="auto"/>
        </w:rPr>
      </w:pPr>
      <w:r>
        <w:rPr>
          <w:rFonts w:ascii="Arial" w:cs="Arial" w:eastAsia="Arial" w:hAnsi="Arial"/>
          <w:sz w:val="16"/>
          <w:szCs w:val="16"/>
          <w:b w:val="1"/>
          <w:bCs w:val="1"/>
          <w:color w:val="auto"/>
        </w:rPr>
        <w:t>De Novo Compounds</w:t>
      </w:r>
      <w:r>
        <w:rPr>
          <w:rFonts w:ascii="Arial" w:cs="Arial" w:eastAsia="Arial" w:hAnsi="Arial"/>
          <w:sz w:val="16"/>
          <w:szCs w:val="16"/>
          <w:color w:val="auto"/>
        </w:rPr>
        <w:t>. In the event that RBNC or its Affiliate or its Sublicensee gains rights to Exploit a De Novo Compound or</w:t>
      </w:r>
      <w:r>
        <w:rPr>
          <w:rFonts w:ascii="Arial" w:cs="Arial" w:eastAsia="Arial" w:hAnsi="Arial"/>
          <w:sz w:val="16"/>
          <w:szCs w:val="16"/>
          <w:b w:val="1"/>
          <w:bCs w:val="1"/>
          <w:color w:val="auto"/>
        </w:rPr>
        <w:t xml:space="preserve"> </w:t>
      </w:r>
      <w:r>
        <w:rPr>
          <w:rFonts w:ascii="Arial" w:cs="Arial" w:eastAsia="Arial" w:hAnsi="Arial"/>
          <w:sz w:val="16"/>
          <w:szCs w:val="16"/>
          <w:color w:val="auto"/>
        </w:rPr>
        <w:t>De Novo Product, then RBNC shall provide prompt written notice (promptly following the later of such acquisition or the filing of any patent application with respect to a De Novo Compound or De Novo Product, and in all cases before any Licensed Know How is used or practiced in connection with such De Novo Compound or De Novo Product) to AMGEN and include in such notice whether RBNC elects to treat any such De Novo Compound and related De Novo Product as a “Product” under this Agreement.</w:t>
      </w:r>
    </w:p>
    <w:p>
      <w:pPr>
        <w:spacing w:after="0" w:line="45" w:lineRule="exact"/>
        <w:rPr>
          <w:rFonts w:ascii="Arial" w:cs="Arial" w:eastAsia="Arial" w:hAnsi="Arial"/>
          <w:sz w:val="16"/>
          <w:szCs w:val="16"/>
          <w:color w:val="auto"/>
        </w:rPr>
      </w:pPr>
    </w:p>
    <w:p>
      <w:pPr>
        <w:ind w:left="1240" w:hanging="252"/>
        <w:spacing w:after="0"/>
        <w:tabs>
          <w:tab w:leader="none" w:pos="1240" w:val="left"/>
        </w:tabs>
        <w:numPr>
          <w:ilvl w:val="0"/>
          <w:numId w:val="252"/>
        </w:numPr>
        <w:rPr>
          <w:rFonts w:ascii="Arial" w:cs="Arial" w:eastAsia="Arial" w:hAnsi="Arial"/>
          <w:sz w:val="17"/>
          <w:szCs w:val="17"/>
          <w:color w:val="auto"/>
        </w:rPr>
      </w:pPr>
      <w:r>
        <w:rPr>
          <w:rFonts w:ascii="Arial" w:cs="Arial" w:eastAsia="Arial" w:hAnsi="Arial"/>
          <w:sz w:val="17"/>
          <w:szCs w:val="17"/>
          <w:b w:val="1"/>
          <w:bCs w:val="1"/>
          <w:color w:val="auto"/>
        </w:rPr>
        <w:t>Newly Added Products</w:t>
      </w:r>
      <w:r>
        <w:rPr>
          <w:rFonts w:ascii="Arial" w:cs="Arial" w:eastAsia="Arial" w:hAnsi="Arial"/>
          <w:sz w:val="17"/>
          <w:szCs w:val="17"/>
          <w:color w:val="auto"/>
        </w:rPr>
        <w:t>. If RBNC makes an election in the notice provided to AMGEN pursuant to Section 5.4.2(a) or</w:t>
      </w:r>
    </w:p>
    <w:p>
      <w:pPr>
        <w:spacing w:after="0" w:line="3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Section 5.4.2(b) to treat a Distracting Product (including, for clarity, a De Novo Product) as a “Product”, then any such Distracting</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Product (including, for clarity, a De Novo Product) will thereafter be considered a “Product” for purposes of this Agreement (a</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Newly Added Product</w:t>
      </w:r>
      <w:r>
        <w:rPr>
          <w:rFonts w:ascii="Arial" w:cs="Arial" w:eastAsia="Arial" w:hAnsi="Arial"/>
          <w:sz w:val="17"/>
          <w:szCs w:val="17"/>
          <w:color w:val="auto"/>
        </w:rPr>
        <w:t>”) and would cease to be considered a “Distracting Product” giving rise to a “Distracting Program” that is</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prohibited under Section 5.4.1. RBNC’s (or its Affiliate’s or its Sublicensee’s) exploitation of the Newly Added Product would be</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subject to all diligence and reporting obligations under this Agreement as well</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0"/>
          </w:cols>
          <w:pgMar w:left="880" w:top="274" w:right="439" w:bottom="1440" w:gutter="0" w:footer="0" w:header="0"/>
        </w:sectPr>
      </w:pPr>
    </w:p>
    <w:bookmarkStart w:id="439" w:name="page440"/>
    <w:bookmarkEnd w:id="439"/>
    <w:p>
      <w:pPr>
        <w:ind w:left="9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Milestone Payment and royalty obligations contemplated under this Agreement in each case from and after the time such Product becomes a Newly Added Product (for clarification, there shall be no obligation to make any back-payment of Milestone Payments that would have been triggered by such Newly Added Product had such Newly Added Product been considered a “Product” at the time such Milestone occurred). Any Patent Rights controlled by RBNC or its Affiliates or its Sublicensees (including, for clarity, any in-licensed Patent Rights) Covering such Newly Added Product would be considered “Program Patents” for purposes of determining the Royalty Term, royalties, and royalty reductions applicable to such Newly Added Product.</w:t>
      </w:r>
    </w:p>
    <w:p>
      <w:pPr>
        <w:spacing w:after="0" w:line="52" w:lineRule="exact"/>
        <w:rPr>
          <w:sz w:val="20"/>
          <w:szCs w:val="20"/>
          <w:color w:val="auto"/>
        </w:rPr>
      </w:pPr>
    </w:p>
    <w:p>
      <w:pPr>
        <w:ind w:right="140" w:firstLine="423"/>
        <w:spacing w:after="0" w:line="277" w:lineRule="auto"/>
        <w:rPr>
          <w:sz w:val="20"/>
          <w:szCs w:val="20"/>
          <w:color w:val="auto"/>
        </w:rPr>
      </w:pPr>
      <w:r>
        <w:rPr>
          <w:rFonts w:ascii="Arial" w:cs="Arial" w:eastAsia="Arial" w:hAnsi="Arial"/>
          <w:sz w:val="17"/>
          <w:szCs w:val="17"/>
          <w:b w:val="1"/>
          <w:bCs w:val="1"/>
          <w:color w:val="auto"/>
        </w:rPr>
        <w:t xml:space="preserve">5.4.3 Post-Effective Date Affiliates. </w:t>
      </w:r>
      <w:r>
        <w:rPr>
          <w:rFonts w:ascii="Arial" w:cs="Arial" w:eastAsia="Arial" w:hAnsi="Arial"/>
          <w:sz w:val="17"/>
          <w:szCs w:val="17"/>
          <w:color w:val="auto"/>
        </w:rPr>
        <w:t>In the event that RBNC or its Affiliates or Sublicensees enters into a Distracting Transaction with a</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Party (and for clarity, RBNC has not elected to treat such Distracting Product as a Newly Added Product pursuant to Section 5.4.2), then RBNC shall provide prompt written notice to AMGEN. Until the provisions of Section 5.4.4 (Termination or Divestiture) are effectuated, RBNC (or its Sublicensee) shall ensure that information and materials relating to the Products or activities hereunder are not shared with or used for the benefit of, and are sequestered from, Distracting Transaction Affiliate(s).</w:t>
      </w:r>
    </w:p>
    <w:p>
      <w:pPr>
        <w:spacing w:after="0" w:line="60" w:lineRule="exact"/>
        <w:rPr>
          <w:sz w:val="20"/>
          <w:szCs w:val="20"/>
          <w:color w:val="auto"/>
        </w:rPr>
      </w:pPr>
    </w:p>
    <w:p>
      <w:pPr>
        <w:ind w:right="60" w:firstLine="423"/>
        <w:spacing w:after="0" w:line="258" w:lineRule="auto"/>
        <w:rPr>
          <w:sz w:val="20"/>
          <w:szCs w:val="20"/>
          <w:color w:val="auto"/>
        </w:rPr>
      </w:pPr>
      <w:r>
        <w:rPr>
          <w:rFonts w:ascii="Arial" w:cs="Arial" w:eastAsia="Arial" w:hAnsi="Arial"/>
          <w:sz w:val="18"/>
          <w:szCs w:val="18"/>
          <w:b w:val="1"/>
          <w:bCs w:val="1"/>
          <w:color w:val="auto"/>
        </w:rPr>
        <w:t>5.4.4 Termination or Divestiture</w:t>
      </w:r>
      <w:r>
        <w:rPr>
          <w:rFonts w:ascii="Arial" w:cs="Arial" w:eastAsia="Arial" w:hAnsi="Arial"/>
          <w:sz w:val="18"/>
          <w:szCs w:val="18"/>
          <w:color w:val="auto"/>
        </w:rPr>
        <w:t>. The notice provided pursuant to Section 5.4.3 (Post-Effective Date Affiliates) shall include a notification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to whether RBNC (or its Affiliate or Sublicensee) intends to: (a) Divest the Distracting Program, in which case [***]; or (b) terminate such Distracting Program, in which case [***] or (c) in the case of a Sublicensee, terminate the Sublicense Agreement with respect to the Product [***]. In the event RBNC (or its Affiliate or Sublicensee) elects to Divest the Distracting Program under subsection (a) [***], then (i) [***] or (ii) [***].</w:t>
      </w:r>
    </w:p>
    <w:p>
      <w:pPr>
        <w:spacing w:after="0" w:line="75"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 xml:space="preserve">Section 5.5 Reasonable Restrictions. </w:t>
      </w:r>
      <w:r>
        <w:rPr>
          <w:rFonts w:ascii="Arial" w:cs="Arial" w:eastAsia="Arial" w:hAnsi="Arial"/>
          <w:sz w:val="17"/>
          <w:szCs w:val="17"/>
          <w:color w:val="auto"/>
        </w:rPr>
        <w:t>Each of the Parties acknowledges that the provisions of Section 5.4 (Distracting Programs) are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and necessary to protect the legitimate interests of the other Party and to encourage the free sharing of information between the Parties with respect to the Products and each of the Parties agrees not to contest such limitations in any proceeding.</w:t>
      </w:r>
    </w:p>
    <w:p>
      <w:pPr>
        <w:spacing w:after="0" w:line="5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Section 5.6 Exclusivity</w:t>
      </w:r>
      <w:r>
        <w:rPr>
          <w:rFonts w:ascii="Arial" w:cs="Arial" w:eastAsia="Arial" w:hAnsi="Arial"/>
          <w:sz w:val="18"/>
          <w:szCs w:val="18"/>
          <w:color w:val="auto"/>
        </w:rPr>
        <w:t>. During the Term until [***], AMGEN will not and will ensure its Affiliates do not (a) directly, or indirectly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Third Party, [***].</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5.7 Filings, Consents and Approvals</w:t>
      </w:r>
    </w:p>
    <w:p>
      <w:pPr>
        <w:spacing w:after="0" w:line="117" w:lineRule="exact"/>
        <w:rPr>
          <w:sz w:val="20"/>
          <w:szCs w:val="20"/>
          <w:color w:val="auto"/>
        </w:rPr>
      </w:pPr>
    </w:p>
    <w:p>
      <w:pPr>
        <w:ind w:right="20" w:firstLine="423"/>
        <w:spacing w:after="0" w:line="258" w:lineRule="auto"/>
        <w:rPr>
          <w:sz w:val="20"/>
          <w:szCs w:val="20"/>
          <w:color w:val="auto"/>
        </w:rPr>
      </w:pPr>
      <w:r>
        <w:rPr>
          <w:rFonts w:ascii="Arial" w:cs="Arial" w:eastAsia="Arial" w:hAnsi="Arial"/>
          <w:sz w:val="18"/>
          <w:szCs w:val="18"/>
          <w:b w:val="1"/>
          <w:bCs w:val="1"/>
          <w:color w:val="auto"/>
        </w:rPr>
        <w:t xml:space="preserve">5.7.1 </w:t>
      </w:r>
      <w:r>
        <w:rPr>
          <w:rFonts w:ascii="Arial" w:cs="Arial" w:eastAsia="Arial" w:hAnsi="Arial"/>
          <w:sz w:val="18"/>
          <w:szCs w:val="18"/>
          <w:color w:val="auto"/>
        </w:rPr>
        <w:t>To the extent permitted by applicable Law, each of AMGEN and RBNC shall consult and cooperate with one another, and consider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the views of one another, in connection with any analyses, appearances, presentations, memoranda, briefs, arguments, opinions and proposals made or submitted by or on behalf of any Party hereto in connection with proceedings under or relating to the HSR Act, and HSR Filing or any applicable foreign antitrust or competition-related legal requirement. AMGEN and RBNC shall cooperate fully with each other in connection with the making of all such filings or responses.</w:t>
      </w:r>
    </w:p>
    <w:p>
      <w:pPr>
        <w:spacing w:after="0" w:line="12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880" w:top="274" w:right="459" w:bottom="1440" w:gutter="0" w:footer="0" w:header="0"/>
        </w:sectPr>
      </w:pPr>
    </w:p>
    <w:bookmarkStart w:id="440" w:name="page441"/>
    <w:bookmarkEnd w:id="440"/>
    <w:p>
      <w:pPr>
        <w:ind w:left="440" w:right="80" w:firstLine="423"/>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5.7.2 </w:t>
      </w:r>
      <w:r>
        <w:rPr>
          <w:rFonts w:ascii="Arial" w:cs="Arial" w:eastAsia="Arial" w:hAnsi="Arial"/>
          <w:sz w:val="18"/>
          <w:szCs w:val="18"/>
          <w:color w:val="auto"/>
        </w:rPr>
        <w:t>Each of AMGEN and RBNC shall notify the other promptly upon the receipt of: (i) any communication from any official of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in connection with any HSR Filing; (ii) knowledge of the commencement or threat of commencement of any legal proceeding or before any Governmental Authority with respect to the transactions under this Agreement (and shall keep the other Party informed as to the status of any such legal proceeding or threat); and (iii) any request by any official of any Governmental Authority for any amendment or supplement to any HSR Filing or any information required to comply with any legal requirement applicable to the transactions under this Agreement. In addition, except as may be prohibited by any Governmental Authority or by any applicable Law each Party hereto will permit authorized representatives of the other Parties to be present at each meeting or telephone call and to have access to and be consulted in connection with any document, opinion or proposal made or submitted to any Governmental Authority in connection with such communication, request or proceeding.</w:t>
      </w:r>
    </w:p>
    <w:p>
      <w:pPr>
        <w:spacing w:after="0" w:line="80" w:lineRule="exact"/>
        <w:rPr>
          <w:sz w:val="20"/>
          <w:szCs w:val="20"/>
          <w:color w:val="auto"/>
        </w:rPr>
      </w:pPr>
    </w:p>
    <w:p>
      <w:pPr>
        <w:ind w:left="440" w:right="160" w:firstLine="423"/>
        <w:spacing w:after="0" w:line="258" w:lineRule="auto"/>
        <w:rPr>
          <w:sz w:val="20"/>
          <w:szCs w:val="20"/>
          <w:color w:val="auto"/>
        </w:rPr>
      </w:pPr>
      <w:r>
        <w:rPr>
          <w:rFonts w:ascii="Arial" w:cs="Arial" w:eastAsia="Arial" w:hAnsi="Arial"/>
          <w:sz w:val="18"/>
          <w:szCs w:val="18"/>
          <w:b w:val="1"/>
          <w:bCs w:val="1"/>
          <w:color w:val="auto"/>
        </w:rPr>
        <w:t xml:space="preserve">5.7.3 </w:t>
      </w:r>
      <w:r>
        <w:rPr>
          <w:rFonts w:ascii="Arial" w:cs="Arial" w:eastAsia="Arial" w:hAnsi="Arial"/>
          <w:sz w:val="18"/>
          <w:szCs w:val="18"/>
          <w:color w:val="auto"/>
        </w:rPr>
        <w:t>Subject to the terms and conditions of this Agreement, each of AMGEN and RBNC shall use its Commercially Reasonable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take, or cause to be taken, all other actions and do, or cause to be done, all other things necessary, proper or advisable under applicable Law to consummate the transactions contemplated by this Agreement, including (i) making all filings and submissions under the HSR Act, to the extent required, as promptly as practicable after the date hereof and (ii) obtaining as promptly as practicable the expiration of any waiting period under the HSR Act, if applicable.</w:t>
      </w:r>
    </w:p>
    <w:p>
      <w:pPr>
        <w:spacing w:after="0" w:line="75" w:lineRule="exact"/>
        <w:rPr>
          <w:sz w:val="20"/>
          <w:szCs w:val="20"/>
          <w:color w:val="auto"/>
        </w:rPr>
      </w:pPr>
    </w:p>
    <w:p>
      <w:pPr>
        <w:ind w:left="440" w:right="20" w:firstLine="423"/>
        <w:spacing w:after="0" w:line="294" w:lineRule="auto"/>
        <w:rPr>
          <w:sz w:val="20"/>
          <w:szCs w:val="20"/>
          <w:color w:val="auto"/>
        </w:rPr>
      </w:pPr>
      <w:r>
        <w:rPr>
          <w:rFonts w:ascii="Arial" w:cs="Arial" w:eastAsia="Arial" w:hAnsi="Arial"/>
          <w:sz w:val="16"/>
          <w:szCs w:val="16"/>
          <w:b w:val="1"/>
          <w:bCs w:val="1"/>
          <w:color w:val="auto"/>
        </w:rPr>
        <w:t xml:space="preserve">5.7.4 </w:t>
      </w:r>
      <w:r>
        <w:rPr>
          <w:rFonts w:ascii="Arial" w:cs="Arial" w:eastAsia="Arial" w:hAnsi="Arial"/>
          <w:sz w:val="16"/>
          <w:szCs w:val="16"/>
          <w:color w:val="auto"/>
        </w:rPr>
        <w:t>Notwithstanding anything in this Agreement to the contrary, it is expressly understood and agreed that: (i) neither AMGEN nor RBNC</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any obligation to litigate or contest any administrative or judicial action or proceeding or any decree, judgment, injunction or other order, whether temporary, preliminary or permanent; and (ii) neither AMGEN nor RBNC shall be under any obligation to make proposals, execute or carry out agreements, enter into consent decrees or submit to orders providing for (a) the sale, divestiture, license or other disposition or holding separate (through the establishment of a trust or otherwise) of any assets or categories of assets of AMGEN or RBNC or any of their subsidiaries, or (b) the imposition of any limitation or regulation on the ability of AMGEN or RBNC to freely conduct their business or own such assets.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REPRESENTATIONS</w:t>
      </w:r>
    </w:p>
    <w:p>
      <w:pPr>
        <w:spacing w:after="0" w:line="117" w:lineRule="exact"/>
        <w:rPr>
          <w:sz w:val="20"/>
          <w:szCs w:val="20"/>
          <w:color w:val="auto"/>
        </w:rPr>
      </w:pPr>
    </w:p>
    <w:p>
      <w:pPr>
        <w:ind w:left="440" w:right="140"/>
        <w:spacing w:after="0" w:line="282" w:lineRule="auto"/>
        <w:rPr>
          <w:sz w:val="20"/>
          <w:szCs w:val="20"/>
          <w:color w:val="auto"/>
        </w:rPr>
      </w:pPr>
      <w:r>
        <w:rPr>
          <w:rFonts w:ascii="Arial" w:cs="Arial" w:eastAsia="Arial" w:hAnsi="Arial"/>
          <w:sz w:val="18"/>
          <w:szCs w:val="18"/>
          <w:b w:val="1"/>
          <w:bCs w:val="1"/>
          <w:color w:val="auto"/>
        </w:rPr>
        <w:t>Section 6.1 Mutual Representations and Warranties</w:t>
      </w:r>
      <w:r>
        <w:rPr>
          <w:rFonts w:ascii="Arial" w:cs="Arial" w:eastAsia="Arial" w:hAnsi="Arial"/>
          <w:sz w:val="18"/>
          <w:szCs w:val="18"/>
          <w:color w:val="auto"/>
        </w:rPr>
        <w:t>. Each of AMGEN and RBNC represent and warrant that, as of the Execution Date and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w:t>
      </w:r>
    </w:p>
    <w:p>
      <w:pPr>
        <w:spacing w:after="0" w:line="58" w:lineRule="exact"/>
        <w:rPr>
          <w:sz w:val="20"/>
          <w:szCs w:val="20"/>
          <w:color w:val="auto"/>
        </w:rPr>
      </w:pPr>
    </w:p>
    <w:p>
      <w:pPr>
        <w:ind w:left="1420" w:right="320" w:firstLine="8"/>
        <w:spacing w:after="0" w:line="277" w:lineRule="auto"/>
        <w:tabs>
          <w:tab w:leader="none" w:pos="166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 of the jurisdiction of its formation, and has full power and authority to enter into this Agreement and to carry out the provisions hereof;</w:t>
      </w:r>
    </w:p>
    <w:p>
      <w:pPr>
        <w:spacing w:after="0" w:line="62" w:lineRule="exact"/>
        <w:rPr>
          <w:rFonts w:ascii="Arial" w:cs="Arial" w:eastAsia="Arial" w:hAnsi="Arial"/>
          <w:sz w:val="18"/>
          <w:szCs w:val="18"/>
          <w:color w:val="auto"/>
        </w:rPr>
      </w:pPr>
    </w:p>
    <w:p>
      <w:pPr>
        <w:ind w:left="1420" w:right="60" w:firstLine="8"/>
        <w:spacing w:after="0" w:line="277" w:lineRule="auto"/>
        <w:tabs>
          <w:tab w:leader="none" w:pos="167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it is duly authorized to execute and deliver this Agreement and to perform its obligations hereunder, and the individual executing this Agreement on its behalf has been duly authorized to do so by all requisite action;</w:t>
      </w:r>
    </w:p>
    <w:p>
      <w:pPr>
        <w:spacing w:after="0" w:line="62" w:lineRule="exact"/>
        <w:rPr>
          <w:rFonts w:ascii="Arial" w:cs="Arial" w:eastAsia="Arial" w:hAnsi="Arial"/>
          <w:sz w:val="18"/>
          <w:szCs w:val="18"/>
          <w:color w:val="auto"/>
        </w:rPr>
      </w:pPr>
    </w:p>
    <w:p>
      <w:pPr>
        <w:ind w:left="1420" w:firstLine="8"/>
        <w:spacing w:after="0" w:line="263" w:lineRule="auto"/>
        <w:tabs>
          <w:tab w:leader="none" w:pos="166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it shall comply with all applicable Law (including applicable Law relating to data protection and privacy), Proper Conduct Practices, Health Care Laws and Anti-Corruption Laws in connection with the performance of its rights, duties and obligations under this Agreement;</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0" w:right="439" w:bottom="1440" w:gutter="0" w:footer="0" w:header="0"/>
        </w:sectPr>
      </w:pPr>
    </w:p>
    <w:bookmarkStart w:id="441" w:name="page442"/>
    <w:bookmarkEnd w:id="441"/>
    <w:p>
      <w:pPr>
        <w:ind w:left="980" w:right="80" w:firstLine="8"/>
        <w:spacing w:after="0" w:line="263" w:lineRule="auto"/>
        <w:tabs>
          <w:tab w:leader="none" w:pos="1235"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is legally binding upon it and enforceable in accordance with its terms. The execution, delivery and performance of this Agreement by it does not conflict with any agreement, instrument or understanding, oral or written, to which it is a party or by which it may be bound, nor violate any material applicable Law; and</w:t>
      </w:r>
    </w:p>
    <w:p>
      <w:pPr>
        <w:spacing w:after="0" w:line="75" w:lineRule="exact"/>
        <w:rPr>
          <w:rFonts w:ascii="Arial" w:cs="Arial" w:eastAsia="Arial" w:hAnsi="Arial"/>
          <w:sz w:val="18"/>
          <w:szCs w:val="18"/>
          <w:color w:val="auto"/>
        </w:rPr>
      </w:pPr>
    </w:p>
    <w:p>
      <w:pPr>
        <w:ind w:left="980" w:right="540" w:firstLine="8"/>
        <w:spacing w:after="0" w:line="277" w:lineRule="auto"/>
        <w:tabs>
          <w:tab w:leader="none" w:pos="122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neither Party nor such Party’s officers or directors are Sanctioned Persons, nor are they owned fifty percent (50%) or more individually, or in the aggregate by, or Controlled by, any Sanctioned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6.2 Additional AMGEN Warranties. </w:t>
      </w:r>
      <w:r>
        <w:rPr>
          <w:rFonts w:ascii="Arial" w:cs="Arial" w:eastAsia="Arial" w:hAnsi="Arial"/>
          <w:sz w:val="18"/>
          <w:szCs w:val="18"/>
          <w:color w:val="auto"/>
        </w:rPr>
        <w:t>AMGEN warrants to RBNC that, as of the Execution Date and as of the Effective Date:</w:t>
      </w:r>
    </w:p>
    <w:p>
      <w:pPr>
        <w:spacing w:after="0" w:line="121" w:lineRule="exact"/>
        <w:rPr>
          <w:sz w:val="20"/>
          <w:szCs w:val="20"/>
          <w:color w:val="auto"/>
        </w:rPr>
      </w:pPr>
    </w:p>
    <w:p>
      <w:pPr>
        <w:ind w:left="980" w:right="460" w:firstLine="8"/>
        <w:spacing w:after="0" w:line="263" w:lineRule="auto"/>
        <w:tabs>
          <w:tab w:leader="none" w:pos="122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Neither AMGEN nor any of its Affiliates has (i) entered into an agreement granting any right, interest or claim in or to, any Licensed Patents or Exclusively Licensed Know-How to any Third Party; or (ii) transferred any of the AMGEN Proprietary Licensed Compounds to a Third Party for Exploitation in the Licensed Field in the Territory;</w:t>
      </w:r>
    </w:p>
    <w:p>
      <w:pPr>
        <w:spacing w:after="0" w:line="75" w:lineRule="exact"/>
        <w:rPr>
          <w:rFonts w:ascii="Arial" w:cs="Arial" w:eastAsia="Arial" w:hAnsi="Arial"/>
          <w:sz w:val="18"/>
          <w:szCs w:val="18"/>
          <w:color w:val="auto"/>
        </w:rPr>
      </w:pPr>
    </w:p>
    <w:p>
      <w:pPr>
        <w:ind w:left="980" w:firstLine="8"/>
        <w:spacing w:after="0" w:line="308" w:lineRule="auto"/>
        <w:tabs>
          <w:tab w:leader="none" w:pos="123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AMGEN has full legal or beneficial title and ownership to the AMGEN Proprietary Licensed Compounds as is necessary to grant the licenses to RBNC to such AMGEN Proprietary Licensed Compounds that AMGEN grants pursuant to this Agreement;</w:t>
      </w:r>
    </w:p>
    <w:p>
      <w:pPr>
        <w:spacing w:after="0" w:line="38" w:lineRule="exact"/>
        <w:rPr>
          <w:rFonts w:ascii="Arial" w:cs="Arial" w:eastAsia="Arial" w:hAnsi="Arial"/>
          <w:sz w:val="17"/>
          <w:szCs w:val="17"/>
          <w:color w:val="auto"/>
        </w:rPr>
      </w:pPr>
    </w:p>
    <w:p>
      <w:pPr>
        <w:ind w:left="980" w:right="240" w:firstLine="8"/>
        <w:spacing w:after="0" w:line="277" w:lineRule="auto"/>
        <w:tabs>
          <w:tab w:leader="none" w:pos="122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AMGEN has full legal or beneficial title and ownership to the Licensed Materials and to transfer the Licensed Materials under Section 2.5.1 to RBNC free and clear of all liens or other encumbrances;</w:t>
      </w:r>
    </w:p>
    <w:p>
      <w:pPr>
        <w:spacing w:after="0" w:line="62" w:lineRule="exact"/>
        <w:rPr>
          <w:rFonts w:ascii="Arial" w:cs="Arial" w:eastAsia="Arial" w:hAnsi="Arial"/>
          <w:sz w:val="18"/>
          <w:szCs w:val="18"/>
          <w:color w:val="auto"/>
        </w:rPr>
      </w:pPr>
    </w:p>
    <w:p>
      <w:pPr>
        <w:ind w:left="980" w:right="280" w:firstLine="8"/>
        <w:spacing w:after="0" w:line="277" w:lineRule="auto"/>
        <w:tabs>
          <w:tab w:leader="none" w:pos="123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AMGEN has sufficient rights in and to the Licensed Know-How to grant the licenses granted to RBNC under Article 2 of this Agreement;</w:t>
      </w:r>
    </w:p>
    <w:p>
      <w:pPr>
        <w:spacing w:after="0" w:line="62" w:lineRule="exact"/>
        <w:rPr>
          <w:rFonts w:ascii="Arial" w:cs="Arial" w:eastAsia="Arial" w:hAnsi="Arial"/>
          <w:sz w:val="18"/>
          <w:szCs w:val="18"/>
          <w:color w:val="auto"/>
        </w:rPr>
      </w:pPr>
    </w:p>
    <w:p>
      <w:pPr>
        <w:ind w:left="980" w:right="100" w:firstLine="8"/>
        <w:spacing w:after="0" w:line="296" w:lineRule="auto"/>
        <w:tabs>
          <w:tab w:leader="none" w:pos="122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None of AMGEN, its Affiliates, any of its respective directors, officers, employees or any other Person employed or engaged by AMGEN (and its Affiliates) in any capacity in the discovery, research or development of the Licensed Compounds or in the development or manufacturing of the Licensed Materials has been debarred, suspended or excluded under United States Law, including under 21 U.S.C. § 335a and 42 U.S.C. § 1320a-7(a), any other Health Care Law or any foreign equivalent thereof, or has been the subject of debarment, suspension or exclusion proceedings by any Governmental Authority;</w:t>
      </w:r>
    </w:p>
    <w:p>
      <w:pPr>
        <w:spacing w:after="0" w:line="53" w:lineRule="exact"/>
        <w:rPr>
          <w:rFonts w:ascii="Arial" w:cs="Arial" w:eastAsia="Arial" w:hAnsi="Arial"/>
          <w:sz w:val="16"/>
          <w:szCs w:val="16"/>
          <w:color w:val="auto"/>
        </w:rPr>
      </w:pPr>
    </w:p>
    <w:p>
      <w:pPr>
        <w:ind w:left="1220" w:hanging="232"/>
        <w:spacing w:after="0"/>
        <w:tabs>
          <w:tab w:leader="none" w:pos="12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AMGEN’s knowledge, there is no infringement of any of the Licensed Patents as of the Execution Date;</w:t>
      </w:r>
    </w:p>
    <w:p>
      <w:pPr>
        <w:spacing w:after="0" w:line="117" w:lineRule="exact"/>
        <w:rPr>
          <w:rFonts w:ascii="Arial" w:cs="Arial" w:eastAsia="Arial" w:hAnsi="Arial"/>
          <w:sz w:val="18"/>
          <w:szCs w:val="18"/>
          <w:color w:val="auto"/>
        </w:rPr>
      </w:pPr>
    </w:p>
    <w:p>
      <w:pPr>
        <w:ind w:left="980" w:right="520" w:firstLine="8"/>
        <w:spacing w:after="0" w:line="277" w:lineRule="auto"/>
        <w:tabs>
          <w:tab w:leader="none" w:pos="123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AMGEN’s knowledge, there is no misappropriation of any of the Licensed Know-How or Amgen Proprietary Licensed Compounds as of the Execution Date;</w:t>
      </w:r>
    </w:p>
    <w:p>
      <w:pPr>
        <w:spacing w:after="0" w:line="62" w:lineRule="exact"/>
        <w:rPr>
          <w:rFonts w:ascii="Arial" w:cs="Arial" w:eastAsia="Arial" w:hAnsi="Arial"/>
          <w:sz w:val="18"/>
          <w:szCs w:val="18"/>
          <w:color w:val="auto"/>
        </w:rPr>
      </w:pPr>
    </w:p>
    <w:p>
      <w:pPr>
        <w:ind w:left="980" w:right="60" w:firstLine="8"/>
        <w:spacing w:after="0" w:line="342" w:lineRule="auto"/>
        <w:tabs>
          <w:tab w:leader="none" w:pos="123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Licensed Patents and Licensed Know-How constitutes all intellectual property Controlled by AMGEN and its Affiliates that is necessary for the Exploitation of the Licensed Compounds at their then-current stage of development as of the Effective Date;</w:t>
      </w:r>
    </w:p>
    <w:p>
      <w:pPr>
        <w:spacing w:after="0" w:line="5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80"/>
          </w:cols>
          <w:pgMar w:left="880" w:top="274" w:right="439" w:bottom="1440" w:gutter="0" w:footer="0" w:header="0"/>
        </w:sectPr>
      </w:pPr>
    </w:p>
    <w:bookmarkStart w:id="442" w:name="page443"/>
    <w:bookmarkEnd w:id="442"/>
    <w:p>
      <w:pPr>
        <w:ind w:left="980" w:firstLine="8"/>
        <w:spacing w:after="0" w:line="311" w:lineRule="auto"/>
        <w:tabs>
          <w:tab w:leader="none" w:pos="1195" w:val="left"/>
        </w:tabs>
        <w:numPr>
          <w:ilvl w:val="0"/>
          <w:numId w:val="2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Third Party has made any claim or allegation to AMGEN or its Affiliates in writing (i) that a Third Party has any right or interest in or to the Licensed Compounds or (ii) that any intellectual property right Controlled by a Third Party would be infringed or misappropriated by the Exploitation of the Licensed Compounds or Licensed Materials, in each case, as of the Execution Date; and</w:t>
      </w:r>
    </w:p>
    <w:p>
      <w:pPr>
        <w:spacing w:after="0" w:line="40" w:lineRule="exact"/>
        <w:rPr>
          <w:rFonts w:ascii="Arial" w:cs="Arial" w:eastAsia="Arial" w:hAnsi="Arial"/>
          <w:sz w:val="16"/>
          <w:szCs w:val="16"/>
          <w:color w:val="auto"/>
        </w:rPr>
      </w:pPr>
    </w:p>
    <w:p>
      <w:pPr>
        <w:jc w:val="both"/>
        <w:ind w:left="980" w:right="20" w:firstLine="8"/>
        <w:spacing w:after="0" w:line="311" w:lineRule="auto"/>
        <w:tabs>
          <w:tab w:leader="none" w:pos="119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To the knowledge of AMGEN’s patent litigation attorneys, no claim or litigation has been brought or threatened in writing by any Third Party alleging that the manufacture, sale, offer for sale, or importation of the Licensed Compounds in the Licensed Field in the Territory infringes or misappropriates or would infringe or misappropriate any right of any Third Party as of the Execution Date.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6.3 Additional RBNC Warranties. </w:t>
      </w:r>
      <w:r>
        <w:rPr>
          <w:rFonts w:ascii="Arial" w:cs="Arial" w:eastAsia="Arial" w:hAnsi="Arial"/>
          <w:sz w:val="18"/>
          <w:szCs w:val="18"/>
          <w:color w:val="auto"/>
        </w:rPr>
        <w:t>RBNC warrants to AMGEN that, as of the Execution Date and as of the Effective Date:</w:t>
      </w:r>
    </w:p>
    <w:p>
      <w:pPr>
        <w:spacing w:after="0" w:line="121" w:lineRule="exact"/>
        <w:rPr>
          <w:sz w:val="20"/>
          <w:szCs w:val="20"/>
          <w:color w:val="auto"/>
        </w:rPr>
      </w:pPr>
    </w:p>
    <w:p>
      <w:pPr>
        <w:ind w:left="980" w:right="360" w:firstLine="8"/>
        <w:spacing w:after="0" w:line="263" w:lineRule="auto"/>
        <w:tabs>
          <w:tab w:leader="none" w:pos="122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Neither it, its Affiliates, nor any of its respective directors, officers or employees have been debarred, suspended or excluded under United States Law, including 21 U.S.C. § 335a, 42 U.S.C. § 1320a-7(a), any other Health Care Law, or is the subject of debarment, suspension or exclusion proceedings by any Governmental Authority;</w:t>
      </w:r>
    </w:p>
    <w:p>
      <w:pPr>
        <w:spacing w:after="0" w:line="75" w:lineRule="exact"/>
        <w:rPr>
          <w:rFonts w:ascii="Arial" w:cs="Arial" w:eastAsia="Arial" w:hAnsi="Arial"/>
          <w:sz w:val="18"/>
          <w:szCs w:val="18"/>
          <w:color w:val="auto"/>
        </w:rPr>
      </w:pPr>
    </w:p>
    <w:p>
      <w:pPr>
        <w:ind w:left="980" w:right="20" w:firstLine="8"/>
        <w:spacing w:after="0" w:line="301" w:lineRule="auto"/>
        <w:tabs>
          <w:tab w:leader="none" w:pos="123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It has established and maintains, or within [***] months after the Effective Date will establish and maintain, reasonable internal policies and controls, including codes of conduct and ethics and reasonable reporting requirements, intended to ensure compliance with Anti-Corruption Laws, International Trade Laws and other applicable Law, to the extent applicable to such Party under the laws of the jurisdiction of its incorporation, and any applicable healthcare compliance, privacy and data protection laws; and</w:t>
      </w:r>
    </w:p>
    <w:p>
      <w:pPr>
        <w:spacing w:after="0" w:line="49" w:lineRule="exact"/>
        <w:rPr>
          <w:rFonts w:ascii="Arial" w:cs="Arial" w:eastAsia="Arial" w:hAnsi="Arial"/>
          <w:sz w:val="16"/>
          <w:szCs w:val="16"/>
          <w:color w:val="auto"/>
        </w:rPr>
      </w:pPr>
    </w:p>
    <w:p>
      <w:pPr>
        <w:ind w:left="980" w:right="400" w:firstLine="8"/>
        <w:spacing w:after="0" w:line="277" w:lineRule="auto"/>
        <w:tabs>
          <w:tab w:leader="none" w:pos="122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RBNC is not a Covered Individual or Entity nor is it owned, operated or controlled by one or more Covered Individuals and Entities.</w:t>
      </w:r>
    </w:p>
    <w:p>
      <w:pPr>
        <w:spacing w:after="0" w:line="5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Section 6.4 Disclaimer</w:t>
      </w:r>
      <w:r>
        <w:rPr>
          <w:rFonts w:ascii="Arial" w:cs="Arial" w:eastAsia="Arial" w:hAnsi="Arial"/>
          <w:sz w:val="17"/>
          <w:szCs w:val="17"/>
          <w:color w:val="auto"/>
        </w:rPr>
        <w:t>. EXCEPT AS OTHERWISE EXPRESSLY SET FORTH IN THIS ARTICLE 6 (REPRESENTATIONS), NEITHER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MAKES ANY REPRESENTATIONS OR EXTENDS ANY WARRANTIES OF ANY KIND, EITHER EXPRESS OR IMPLIED, INCLUDING WARRANTIES OF MERCHANTABILITY, QUALITY, FITNESS FOR A PARTICULAR PURPOSE, NONINFRINGEMENT, OR VALIDITY OF PATENT CLAIMS. NOTHING IN THIS AGREEMENT SHALL BE CONSTRUED AS A REPRESENTATION MADE OR WARRANTY GIVEN BY EITHER PARTY THAT EITHER PARTY WILL BE SUCCESSFUL IN OBTAINING ANY PATENT RIGHTS, OR THAT ANY PATENTS WILL ISSUE BASED ON A PENDING APPLICATION. EXCEPT AS OTHERWISE EXPRESSLY SET FORTH IN THIS ARTICLE 6 (REPRESENTATIONS), RBNC HEREBY ACKNOWLEDGES AND AGREES THAT ANY KNOW-HOW, MATERIALS, RESULTS, OR OTHER DATA, PROVIDED BY AMGEN ARE PROVIDED “AS IS” WITH NO WARRANTIES OF ANY KIND. WITHOUT LIMITING THE RESPECTIVE RIGHTS AND OBLIGATIONS OF THE PARTIES EXPRESSLY SET FORTH HEREIN, EACH PARTY SPECIFICALLY DISCLAIMS ANY GUARANTEE THAT THE LICENSED COMPOUNDS OR PRODUCTS WILL BE SUCCESSFUL, OR THAT THE MATERIALS SUPPLIED UNDER THIS AGREEMENT WILL BE USEFUL, IN WHOLE OR IN PART.</w:t>
      </w:r>
    </w:p>
    <w:p>
      <w:pPr>
        <w:spacing w:after="0" w:line="1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60"/>
          </w:cols>
          <w:pgMar w:left="880" w:top="274" w:right="459" w:bottom="1440" w:gutter="0" w:footer="0" w:header="0"/>
        </w:sectPr>
      </w:pPr>
    </w:p>
    <w:bookmarkStart w:id="443" w:name="page444"/>
    <w:bookmarkEnd w:id="4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6.5 RBNC Covenants</w:t>
      </w:r>
      <w:r>
        <w:rPr>
          <w:rFonts w:ascii="Arial" w:cs="Arial" w:eastAsia="Arial" w:hAnsi="Arial"/>
          <w:sz w:val="18"/>
          <w:szCs w:val="18"/>
          <w:color w:val="auto"/>
        </w:rPr>
        <w:t>. RBNC covenants to AMGEN that, during the Term:</w:t>
      </w:r>
    </w:p>
    <w:p>
      <w:pPr>
        <w:spacing w:after="0" w:line="121" w:lineRule="exact"/>
        <w:rPr>
          <w:sz w:val="20"/>
          <w:szCs w:val="20"/>
          <w:color w:val="auto"/>
        </w:rPr>
      </w:pPr>
    </w:p>
    <w:p>
      <w:pPr>
        <w:ind w:left="980" w:right="20" w:firstLine="8"/>
        <w:spacing w:after="0" w:line="254" w:lineRule="auto"/>
        <w:tabs>
          <w:tab w:leader="none" w:pos="122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it will conduct, and will cause its contractors to conduct, all preclinical studies and clinical trials for the Products and manufacturing of the Products, in accordance with all U.S. Laws and the Laws of the country in which such preclinical studies and clinical trials are conducted, including the requirements of the FDA and the Regulatory Authority in such country pertaining to good laboratory practice, good clinical practice, and current good manufacturing practices. Neither RBNC, nor any officer, employee or agent of RBNC, will knowingly make an untrue statement of a material fact to any Regulatory Authority with respect to the Products (whether in any submission to such Regulatory Authority or otherwise), and neither will RBNC, nor any officer, employee or agent of RBNC, knowingly fail to disclose a material fact required to be disclosed to any Regulatory Authority with respect to the Products;</w:t>
      </w:r>
    </w:p>
    <w:p>
      <w:pPr>
        <w:spacing w:after="0" w:line="83" w:lineRule="exact"/>
        <w:rPr>
          <w:rFonts w:ascii="Arial" w:cs="Arial" w:eastAsia="Arial" w:hAnsi="Arial"/>
          <w:sz w:val="18"/>
          <w:szCs w:val="18"/>
          <w:color w:val="auto"/>
        </w:rPr>
      </w:pPr>
    </w:p>
    <w:p>
      <w:pPr>
        <w:ind w:left="980" w:firstLine="8"/>
        <w:spacing w:after="0" w:line="255" w:lineRule="auto"/>
        <w:tabs>
          <w:tab w:leader="none" w:pos="123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it (and its Affiliates) will not employ or otherwise use in any capacity the services of any Person debarred or excluded under applicable Health Care Laws, including any Person that has been: (i) debarred by the FDA (or subject to a similar sanction of a Regulatory Authority), or that is the subject of an FDA debarment investigation or proceeding (or similar proceeding of a Regulatory Authority), or is otherwise ineligible to participate in federal healthcare programs or federal procurement or non-procurement programs; or (ii) convicted of a criminal offense that falls within the scope of 42 U.S.C. § 1320a-7(a), but has not yet been excluded, debarred, suspended or otherwise declared ineligible;</w:t>
      </w:r>
    </w:p>
    <w:p>
      <w:pPr>
        <w:spacing w:after="0" w:line="84" w:lineRule="exact"/>
        <w:rPr>
          <w:rFonts w:ascii="Arial" w:cs="Arial" w:eastAsia="Arial" w:hAnsi="Arial"/>
          <w:sz w:val="18"/>
          <w:szCs w:val="18"/>
          <w:color w:val="auto"/>
        </w:rPr>
      </w:pPr>
    </w:p>
    <w:p>
      <w:pPr>
        <w:jc w:val="both"/>
        <w:ind w:left="980" w:right="140" w:firstLine="8"/>
        <w:spacing w:after="0" w:line="301" w:lineRule="auto"/>
        <w:tabs>
          <w:tab w:leader="none" w:pos="122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if, during any period in which AMGEN owns [***] or more of the outstanding voting shares of RBNC, RBNC becomes aware that any Person employed or retained by it to perform any of its obligations under, or services related to, this Agreement: (i) comes under investigation by the FDA, or a similar Regulatory Authority, for violation of a Health Care Law, or (ii) is debarred, excluded, suspended, disqualified or subject to a similar sanction of a Regulatory Authority, RBNC shall immediately notify AMGEN;</w:t>
      </w:r>
    </w:p>
    <w:p>
      <w:pPr>
        <w:spacing w:after="0" w:line="49" w:lineRule="exact"/>
        <w:rPr>
          <w:rFonts w:ascii="Arial" w:cs="Arial" w:eastAsia="Arial" w:hAnsi="Arial"/>
          <w:sz w:val="16"/>
          <w:szCs w:val="16"/>
          <w:color w:val="auto"/>
        </w:rPr>
      </w:pPr>
    </w:p>
    <w:p>
      <w:pPr>
        <w:ind w:left="980" w:right="320" w:firstLine="8"/>
        <w:spacing w:after="0" w:line="263" w:lineRule="auto"/>
        <w:tabs>
          <w:tab w:leader="none" w:pos="123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it and its Representatives shall comply with all applicable Law, International Trade Law, Proper Conduct Practices, and Anti-Corruption Laws in all material respects in connection with the performance of its rights, duties and obligations under this Agreement;</w:t>
      </w:r>
    </w:p>
    <w:p>
      <w:pPr>
        <w:spacing w:after="0" w:line="1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80"/>
          </w:cols>
          <w:pgMar w:left="880" w:top="270" w:right="439" w:bottom="1440" w:gutter="0" w:footer="0" w:header="0"/>
        </w:sectPr>
      </w:pPr>
    </w:p>
    <w:bookmarkStart w:id="444" w:name="page445"/>
    <w:bookmarkEnd w:id="444"/>
    <w:p>
      <w:pPr>
        <w:ind w:left="680" w:hanging="252"/>
        <w:spacing w:after="0"/>
        <w:tabs>
          <w:tab w:leader="none" w:pos="6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shall provide AMGEN with any information required by AMGEN to comply with International Trade Laws;</w:t>
      </w:r>
    </w:p>
    <w:p>
      <w:pPr>
        <w:spacing w:after="0" w:line="117" w:lineRule="exact"/>
        <w:rPr>
          <w:rFonts w:ascii="Arial" w:cs="Arial" w:eastAsia="Arial" w:hAnsi="Arial"/>
          <w:sz w:val="18"/>
          <w:szCs w:val="18"/>
          <w:color w:val="auto"/>
        </w:rPr>
      </w:pPr>
    </w:p>
    <w:p>
      <w:pPr>
        <w:ind w:left="420" w:right="60" w:firstLine="8"/>
        <w:spacing w:after="0" w:line="259" w:lineRule="auto"/>
        <w:tabs>
          <w:tab w:leader="none" w:pos="64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it shall promptly provide AMGEN with written notice upon receiving a formal notification that it is the target of a formal request for information, subpoena, investigation, litigation, penalty, or claim from any Governmental Authority, or any Third Party, for violation or potential violation of any applicable Anti-Corruption Law, International Trade Laws or Proper Conduct Practices, to the extent such notice is not prohibited by applicable Law;</w:t>
      </w:r>
    </w:p>
    <w:p>
      <w:pPr>
        <w:spacing w:after="0" w:line="78" w:lineRule="exact"/>
        <w:rPr>
          <w:rFonts w:ascii="Arial" w:cs="Arial" w:eastAsia="Arial" w:hAnsi="Arial"/>
          <w:sz w:val="18"/>
          <w:szCs w:val="18"/>
          <w:color w:val="auto"/>
        </w:rPr>
      </w:pPr>
    </w:p>
    <w:p>
      <w:pPr>
        <w:jc w:val="both"/>
        <w:ind w:left="420" w:right="180" w:firstLine="8"/>
        <w:spacing w:after="0" w:line="286" w:lineRule="auto"/>
        <w:tabs>
          <w:tab w:leader="none" w:pos="67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prior to beginning any clinical development or commercialization of any Product under this Agreement, each of its employees, agents, independent contractors or Affiliates involved in the development or commercialization of any Product shall be required to undergo compliance training with respect to Proper Conduct Practices and Anti-Corruption Laws;</w:t>
      </w:r>
    </w:p>
    <w:p>
      <w:pPr>
        <w:spacing w:after="0" w:line="57" w:lineRule="exact"/>
        <w:rPr>
          <w:rFonts w:ascii="Arial" w:cs="Arial" w:eastAsia="Arial" w:hAnsi="Arial"/>
          <w:sz w:val="17"/>
          <w:szCs w:val="17"/>
          <w:color w:val="auto"/>
        </w:rPr>
      </w:pPr>
    </w:p>
    <w:p>
      <w:pPr>
        <w:ind w:left="420" w:right="220" w:firstLine="8"/>
        <w:spacing w:after="0" w:line="311" w:lineRule="auto"/>
        <w:tabs>
          <w:tab w:leader="none" w:pos="67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it shall use only legitimate and ethical business practices (including Proper Conduct Practices) in connection with activities conducted in connection with this Agreement whether directly, through the use of Representatives or otherwise, and shall not take any action that it knows, or reasonably should know would subject AMGEN to penalties under any applicable Law;</w:t>
      </w:r>
    </w:p>
    <w:p>
      <w:pPr>
        <w:spacing w:after="0" w:line="40" w:lineRule="exact"/>
        <w:rPr>
          <w:rFonts w:ascii="Arial" w:cs="Arial" w:eastAsia="Arial" w:hAnsi="Arial"/>
          <w:sz w:val="16"/>
          <w:szCs w:val="16"/>
          <w:color w:val="auto"/>
        </w:rPr>
      </w:pPr>
    </w:p>
    <w:p>
      <w:pPr>
        <w:ind w:left="420" w:firstLine="8"/>
        <w:spacing w:after="0" w:line="277" w:lineRule="auto"/>
        <w:tabs>
          <w:tab w:leader="none" w:pos="63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it shall cause its Affiliates and its and their officers, directors, employees and agents to comply with this Agreement, including the covenants in this Section 6.5;</w:t>
      </w:r>
    </w:p>
    <w:p>
      <w:pPr>
        <w:spacing w:after="0" w:line="62" w:lineRule="exact"/>
        <w:rPr>
          <w:rFonts w:ascii="Arial" w:cs="Arial" w:eastAsia="Arial" w:hAnsi="Arial"/>
          <w:sz w:val="18"/>
          <w:szCs w:val="18"/>
          <w:color w:val="auto"/>
        </w:rPr>
      </w:pPr>
    </w:p>
    <w:p>
      <w:pPr>
        <w:ind w:left="420" w:right="120" w:firstLine="8"/>
        <w:spacing w:after="0" w:line="291" w:lineRule="auto"/>
        <w:tabs>
          <w:tab w:leader="none" w:pos="63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it shall comply with all applicable (i) U.S. Laws prohibiting the re-export, directly or indirectly, of certain controlled U.S.-origin items without a license to parties located in certain countries or appearing on certain U.S. Government lists of restricted parties;</w:t>
      </w:r>
    </w:p>
    <w:p>
      <w:pPr>
        <w:ind w:left="420" w:right="60" w:firstLine="8"/>
        <w:spacing w:after="0" w:line="253" w:lineRule="auto"/>
        <w:tabs>
          <w:tab w:leader="none" w:pos="68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U.S. Laws prohibiting participation in non-U.S. boycotts that the United States does not support; (iii) U.S. Laws prohibiting the sale of products to parties from any country subject to U.S. economic sanctions or who are identified on related U.S. Government lists of restricted parties; (iv) International Trade Laws, and (v) data privacy laws of the applicable jurisdiction, including the national and sub-national laws based on the General Data Protection Regulation (EU 2016/679), and all data breach notification and information securities laws and regulations specific thereto; and</w:t>
      </w:r>
    </w:p>
    <w:p>
      <w:pPr>
        <w:spacing w:after="0" w:line="82" w:lineRule="exact"/>
        <w:rPr>
          <w:rFonts w:ascii="Arial" w:cs="Arial" w:eastAsia="Arial" w:hAnsi="Arial"/>
          <w:sz w:val="18"/>
          <w:szCs w:val="18"/>
          <w:color w:val="auto"/>
        </w:rPr>
      </w:pPr>
    </w:p>
    <w:p>
      <w:pPr>
        <w:ind w:left="420" w:right="100" w:firstLine="8"/>
        <w:spacing w:after="0" w:line="291" w:lineRule="auto"/>
        <w:tabs>
          <w:tab w:leader="none" w:pos="67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as of the Effective Date to and through the expiration or termination of this Agreement, (i) it, and, to its knowledge, its Representatives, shall not, directly or indirectly, offer, pay, promise to pay, or authorize such offer, promise or payment, of anything of value, to any Person for the purposes of obtaining or retaining business through any improper advantage in connection with this Agreement, or that would otherwise violate any applicable Laws, rules and regulations concerning or relating to public or commercial bribery or corruption, and (ii) that its books, accounts, records and invoices related to this Agreement or related to any work conducted for or on behalf of the other Party are and will be materially complete and accurate. AMGEN may request from time to time, but not more frequently than [***], that RBNC complete a compliance certification regarding the foregoing; and</w:t>
      </w:r>
    </w:p>
    <w:p>
      <w:pPr>
        <w:spacing w:after="0" w:line="9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00"/>
          </w:cols>
          <w:pgMar w:left="1440" w:top="274" w:right="459" w:bottom="1440" w:gutter="0" w:footer="0" w:header="0"/>
        </w:sectPr>
      </w:pPr>
    </w:p>
    <w:bookmarkStart w:id="445" w:name="page446"/>
    <w:bookmarkEnd w:id="445"/>
    <w:p>
      <w:pPr>
        <w:ind w:left="1420" w:right="80" w:firstLine="8"/>
        <w:spacing w:after="0" w:line="257" w:lineRule="auto"/>
        <w:tabs>
          <w:tab w:leader="none" w:pos="1635" w:val="left"/>
        </w:tabs>
        <w:numPr>
          <w:ilvl w:val="0"/>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one or more Covered Individuals and Entities or, to RBNC’s knowledge, an entity owned, operated or controlled by one or more Covered Individuals or Entities, contributes to or performs any of RBNC’s obligations hereunder, payments made by or on behalf of RBNC to each such Covered Individual and Entity or other compensation or consideration received by each such Covered Individual and Entity on account of its contributions to or performance of any of RBNC’s obligations hereunder shall comply with all applicable Health Care Laws in all material respects; and</w:t>
      </w:r>
    </w:p>
    <w:p>
      <w:pPr>
        <w:spacing w:after="0" w:line="79" w:lineRule="exact"/>
        <w:rPr>
          <w:rFonts w:ascii="Arial" w:cs="Arial" w:eastAsia="Arial" w:hAnsi="Arial"/>
          <w:sz w:val="18"/>
          <w:szCs w:val="18"/>
          <w:color w:val="auto"/>
        </w:rPr>
      </w:pPr>
    </w:p>
    <w:p>
      <w:pPr>
        <w:ind w:left="1420" w:firstLine="8"/>
        <w:spacing w:after="0" w:line="269" w:lineRule="auto"/>
        <w:tabs>
          <w:tab w:leader="none" w:pos="172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if RBNC is, or becomes, a Covered Individual and Entity or is, or becomes, owned, operated or controlled by one or more Covered Individuals and Entities, RBNC shall notify AMGEN of such and, after receipt of such notification or upon RBNC becoming a Covered Individual and Entity, the Parties hereto agree to negotiate in good faith with respect to any other modifications to the terms of this Agreement as reasonably necessary or required for each Party to comply with its or, as applicable, one or more of its Affiliate’s requirements for interactions with, and as, a Covered Individual and Entity. Additionally, if on or after the Effective Date, RBNC, is or becomes, a Covered Individual and Entity or is, or becomes, owned, operated or controlled by a Covered Individual and Entity, AMGEN shall have the right to assign this Agreement immediately, and AMGEN shall not be liable to RBNC for any costs, expenses, or losses arising out of such assignment. For purposes of Section 6.5(l) and this Section 6.5(m), “owned, operated or controlled” shall mean that one or more Covered Individual or Entities is in a position to direct or control the performance of RBNC’s obligations hereunder, or that one or more Covered Individuals or Entities is in a position to direct or control RBNC’s management or operations, including, without limitation, when a Covered Individual or Entity owns a majority of the voting power or other equity interests in RBNC.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INDEMNIFICATION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7.1 Indemnity</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b w:val="1"/>
          <w:bCs w:val="1"/>
          <w:color w:val="auto"/>
        </w:rPr>
        <w:t xml:space="preserve">7.1.1 By AMGEN. </w:t>
      </w:r>
      <w:r>
        <w:rPr>
          <w:rFonts w:ascii="Arial" w:cs="Arial" w:eastAsia="Arial" w:hAnsi="Arial"/>
          <w:sz w:val="16"/>
          <w:szCs w:val="16"/>
          <w:color w:val="auto"/>
        </w:rPr>
        <w:t>AMGEN agrees to defend RBNC and its (and its Affiliates’) directors, officers, employees and agents (the “</w:t>
      </w:r>
      <w:r>
        <w:rPr>
          <w:rFonts w:ascii="Arial" w:cs="Arial" w:eastAsia="Arial" w:hAnsi="Arial"/>
          <w:sz w:val="16"/>
          <w:szCs w:val="16"/>
          <w:b w:val="1"/>
          <w:bCs w:val="1"/>
          <w:color w:val="auto"/>
        </w:rPr>
        <w:t>RBNC Indemnified Parties</w:t>
      </w:r>
      <w:r>
        <w:rPr>
          <w:rFonts w:ascii="Arial" w:cs="Arial" w:eastAsia="Arial" w:hAnsi="Arial"/>
          <w:sz w:val="16"/>
          <w:szCs w:val="16"/>
          <w:color w:val="auto"/>
        </w:rPr>
        <w:t>”) at AMGEN’s cost and expense, and will indemnify and hold RBNC and the other RBNC Indemnified Parties harmless from and</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any claims, losses, costs, damages, fees or expenses (including legal fees and expenses) (collectively, “</w:t>
      </w:r>
      <w:r>
        <w:rPr>
          <w:rFonts w:ascii="Arial" w:cs="Arial" w:eastAsia="Arial" w:hAnsi="Arial"/>
          <w:sz w:val="16"/>
          <w:szCs w:val="16"/>
          <w:b w:val="1"/>
          <w:bCs w:val="1"/>
          <w:color w:val="auto"/>
        </w:rPr>
        <w:t>Losses</w:t>
      </w:r>
      <w:r>
        <w:rPr>
          <w:rFonts w:ascii="Arial" w:cs="Arial" w:eastAsia="Arial" w:hAnsi="Arial"/>
          <w:sz w:val="16"/>
          <w:szCs w:val="16"/>
          <w:color w:val="auto"/>
        </w:rPr>
        <w:t>”) to the extent resulting from any Third Party claim (including product liability claims) arising out of or otherwise relating to (a) the negligence or willful misconduct of AMGEN or its Affiliates in connection with its activities under this Agreement, (b) the breach of this Agreement or the representations and warranties made hereunder by AMGEN, (c) the Exploitation of the Licensed Compounds by or on behalf of AMGEN or its Affiliates (including from product liability and intellectual property infringement claims) prior to the Effective Date, or (d) in the event the right to Exploit one or more Products is transferred to Amgen as a result of the termination of this Agreement, the Exploitation after the Term of such Products</w:t>
      </w:r>
    </w:p>
    <w:p>
      <w:pPr>
        <w:spacing w:after="0" w:line="9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46" w:name="page447"/>
    <w:bookmarkEnd w:id="446"/>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or on behalf of AMGEN, its Affiliates, or their respective sublicensees (including from product liability and intellectual property infringement claims); except, in the case of each of (a) through (d) of this Section 7.1.1 (By AMGEN), to the extent such Losses result from clause (a), (b) or (c) of Section 7.1.2 (By RBNC). The foregoing indemnity obligations shall be conditioned upon (x) RBNC promptly notifying AMGEN in writing of the claim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any failure or delay to notify shall not excuse any obligations of AMGEN except to the extent AMGEN is actually materially prejudiced thereby) and (y) RBNC granting AMGEN sole management and control, at AMGEN’s sole expense, of the defense of the claim and its settlement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AMGEN shall not settle any such claim without the prior written consent of RBNC if such settlement does not include a complete release from liability or if such settlement would involve RBNC undertaking an obligation (including the payment of money by a RBNC Indemnified Party), would bind or impair a RBNC Indemnified Party, or includes any admission of wrongdoing or that any intellectual property or proprietary right of RBNC or this Agreement is invalid, narrowed in scope or unenforceable), and (z) the RBNC Indemnified Parties reasonably cooperating with AMGEN (at AMGEN’s expense). The RBNC Indemnified Parties may, at their option and expense, be represented in any such action or proceeding by counsel of their own choosing.</w:t>
      </w:r>
    </w:p>
    <w:p>
      <w:pPr>
        <w:spacing w:after="0" w:line="178" w:lineRule="exact"/>
        <w:rPr>
          <w:sz w:val="20"/>
          <w:szCs w:val="20"/>
          <w:color w:val="auto"/>
        </w:rPr>
      </w:pPr>
    </w:p>
    <w:p>
      <w:pPr>
        <w:ind w:left="4" w:right="160" w:firstLine="440"/>
        <w:spacing w:after="0" w:line="289" w:lineRule="auto"/>
        <w:rPr>
          <w:sz w:val="20"/>
          <w:szCs w:val="20"/>
          <w:color w:val="auto"/>
        </w:rPr>
      </w:pPr>
      <w:r>
        <w:rPr>
          <w:rFonts w:ascii="Arial" w:cs="Arial" w:eastAsia="Arial" w:hAnsi="Arial"/>
          <w:sz w:val="16"/>
          <w:szCs w:val="16"/>
          <w:b w:val="1"/>
          <w:bCs w:val="1"/>
          <w:color w:val="auto"/>
        </w:rPr>
        <w:t xml:space="preserve">7.1.2 By RBNC. </w:t>
      </w:r>
      <w:r>
        <w:rPr>
          <w:rFonts w:ascii="Arial" w:cs="Arial" w:eastAsia="Arial" w:hAnsi="Arial"/>
          <w:sz w:val="16"/>
          <w:szCs w:val="16"/>
          <w:color w:val="auto"/>
        </w:rPr>
        <w:t>RBNC agrees to defend AMGEN and its (and its Affiliates’) directors, officers, employees and agents (the “</w:t>
      </w:r>
      <w:r>
        <w:rPr>
          <w:rFonts w:ascii="Arial" w:cs="Arial" w:eastAsia="Arial" w:hAnsi="Arial"/>
          <w:sz w:val="16"/>
          <w:szCs w:val="16"/>
          <w:b w:val="1"/>
          <w:bCs w:val="1"/>
          <w:color w:val="auto"/>
        </w:rPr>
        <w:t>AMGEN Indemnified Parties</w:t>
      </w:r>
      <w:r>
        <w:rPr>
          <w:rFonts w:ascii="Arial" w:cs="Arial" w:eastAsia="Arial" w:hAnsi="Arial"/>
          <w:sz w:val="16"/>
          <w:szCs w:val="16"/>
          <w:color w:val="auto"/>
        </w:rPr>
        <w:t>”) at RBNC’s cost and expense, and will indemnify and hold AMGEN and the other AMGEN Indemnified Parties harmless from</w:t>
      </w:r>
      <w:r>
        <w:rPr>
          <w:rFonts w:ascii="Arial" w:cs="Arial" w:eastAsia="Arial" w:hAnsi="Arial"/>
          <w:sz w:val="16"/>
          <w:szCs w:val="16"/>
          <w:b w:val="1"/>
          <w:bCs w:val="1"/>
          <w:color w:val="auto"/>
        </w:rPr>
        <w:t xml:space="preserve"> </w:t>
      </w:r>
      <w:r>
        <w:rPr>
          <w:rFonts w:ascii="Arial" w:cs="Arial" w:eastAsia="Arial" w:hAnsi="Arial"/>
          <w:sz w:val="16"/>
          <w:szCs w:val="16"/>
          <w:color w:val="auto"/>
        </w:rPr>
        <w:t>and against any Losses to the extent resulting from any Third Party claim (including product liability claims) arising out of or otherwise relating to</w:t>
      </w:r>
    </w:p>
    <w:p>
      <w:pPr>
        <w:spacing w:after="0" w:line="2" w:lineRule="exact"/>
        <w:rPr>
          <w:sz w:val="20"/>
          <w:szCs w:val="20"/>
          <w:color w:val="auto"/>
        </w:rPr>
      </w:pPr>
    </w:p>
    <w:p>
      <w:pPr>
        <w:ind w:left="244" w:hanging="244"/>
        <w:spacing w:after="0"/>
        <w:tabs>
          <w:tab w:leader="none" w:pos="244"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negligence or willful misconduct of RBNC, its Affiliates, or their respective Sublicensees in connection with its activities under this Agreement,</w:t>
      </w:r>
    </w:p>
    <w:p>
      <w:pPr>
        <w:spacing w:after="0" w:line="32" w:lineRule="exact"/>
        <w:rPr>
          <w:rFonts w:ascii="Arial" w:cs="Arial" w:eastAsia="Arial" w:hAnsi="Arial"/>
          <w:sz w:val="16"/>
          <w:szCs w:val="16"/>
          <w:color w:val="auto"/>
        </w:rPr>
      </w:pPr>
    </w:p>
    <w:p>
      <w:pPr>
        <w:ind w:left="4" w:right="40" w:hanging="4"/>
        <w:spacing w:after="0" w:line="267" w:lineRule="auto"/>
        <w:tabs>
          <w:tab w:leader="none" w:pos="259"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breach of this Agreement or the representations, warranties and covenants made hereunder by RBNC, or (c) the Exploitation during the Term of the Products by or on behalf of RBNC, its Affiliates, or their respective Sublicensees (including from product liability and intellectual property infringement claims); except, in each case, to the extent such Losses result from clause (a) through (d) of Section 7.1.1 (By AMGEN). The foregoing indemnity obligations shall be conditioned upon (x) AMGEN promptly notifying RBNC in writing of the claim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any failure or delay to notify shall not excuse any obligation of RBNC except to the extent RBNC is actually materially prejudiced thereby) and (y) AMGEN granting RBNC sole management and control, at RBNC’s sole expense, of the defense of the claim and its settlement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RBNC shall not settle any such claim without the prior written consent of AMGEN if such settlement does not include a complete release from liability or if such settlement would involve undertaking an obligation (including the payment of money by an AMGEN Indemnified Party), would bind or impair an AMGEN Indemnified Party, or includes any admission of wrongdoing or that any intellectual property or proprietary right of AMGEN or this Agreement is invalid, narrowed in scope or unenforceable), and (z) the AMGEN Indemnified Parties reasonably cooperating with RBNC (at RBNC’s expense). The AMGEN Indemnified Parties may, at their option and expense, be represented in any such action or proceeding by counsel of their own choosing.</w:t>
      </w:r>
    </w:p>
    <w:p>
      <w:pPr>
        <w:spacing w:after="0" w:line="72" w:lineRule="exact"/>
        <w:rPr>
          <w:sz w:val="20"/>
          <w:szCs w:val="20"/>
          <w:color w:val="auto"/>
        </w:rPr>
      </w:pPr>
    </w:p>
    <w:p>
      <w:pPr>
        <w:jc w:val="both"/>
        <w:ind w:left="444" w:right="140"/>
        <w:spacing w:after="0" w:line="266" w:lineRule="auto"/>
        <w:rPr>
          <w:sz w:val="20"/>
          <w:szCs w:val="20"/>
          <w:color w:val="auto"/>
        </w:rPr>
      </w:pPr>
      <w:r>
        <w:rPr>
          <w:rFonts w:ascii="Arial" w:cs="Arial" w:eastAsia="Arial" w:hAnsi="Arial"/>
          <w:sz w:val="18"/>
          <w:szCs w:val="18"/>
          <w:b w:val="1"/>
          <w:bCs w:val="1"/>
          <w:color w:val="auto"/>
        </w:rPr>
        <w:t xml:space="preserve">Section 7.2 LIMITATION OF DAMAGES. </w:t>
      </w:r>
      <w:r>
        <w:rPr>
          <w:rFonts w:ascii="Arial" w:cs="Arial" w:eastAsia="Arial" w:hAnsi="Arial"/>
          <w:sz w:val="18"/>
          <w:szCs w:val="18"/>
          <w:color w:val="auto"/>
        </w:rPr>
        <w:t>IN NO EVENT SHALL EITHER PARTY BE LIABLE HEREUNDER TO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PUNITIVE, INDIRECT, SPECIAL, INCIDENTAL OR CONSEQUENTIAL DAMAGES (INCLUDING LOST REVENUE, LOST PROFITS, OR LOST SAVINGS) HOWEVER CAUSED AND UNDER</w:t>
      </w:r>
    </w:p>
    <w:p>
      <w:pPr>
        <w:spacing w:after="0" w:line="112"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4" w:right="479" w:bottom="1440" w:gutter="0" w:footer="0" w:header="0"/>
        </w:sectPr>
      </w:pPr>
    </w:p>
    <w:bookmarkStart w:id="447" w:name="page448"/>
    <w:bookmarkEnd w:id="447"/>
    <w:p>
      <w:pPr>
        <w:ind w:left="440" w:right="4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THEORY, EVEN IF IT HAS NOTICE OF THE POSSIBILITY OF SUCH DAMAGES. THE LIMITATIONS SET FORTH IN THIS SECTION 7.2 (LIMITATION OF DAMAGES) SHALL NOT APPLY WITH RESPECT TO (A) ANY BREACH OF ARTICLE 8 (CONFIDENTIALITY) OR (B) THE INTENTIONAL MISCONDUCT OR GROSS NEGLIGENCE OF A PARTY. NOTHING IN THIS SECTION 7.2 (LIMITATION OF DAMAGES) IS INTENDED TO LIMIT OR RESTRICT THE INDEMNIFICATION RIGHTS OR OBLIGATIONS OF A PARTY UNDER THIS ARTICLE 7 (INDEMNIFICATION) WITH RESPECT TO ANY DAMAGES PAID BY THE OTHER PARTY TO A THIRD PARTY IN CONNECTION WITH A THIRD-PARTY CLAIM.</w:t>
      </w:r>
    </w:p>
    <w:p>
      <w:pPr>
        <w:spacing w:after="0" w:line="80" w:lineRule="exact"/>
        <w:rPr>
          <w:sz w:val="20"/>
          <w:szCs w:val="20"/>
          <w:color w:val="auto"/>
        </w:rPr>
      </w:pPr>
    </w:p>
    <w:p>
      <w:pPr>
        <w:ind w:left="440" w:right="20"/>
        <w:spacing w:after="0" w:line="269" w:lineRule="auto"/>
        <w:rPr>
          <w:sz w:val="20"/>
          <w:szCs w:val="20"/>
          <w:color w:val="auto"/>
        </w:rPr>
      </w:pPr>
      <w:r>
        <w:rPr>
          <w:rFonts w:ascii="Arial" w:cs="Arial" w:eastAsia="Arial" w:hAnsi="Arial"/>
          <w:sz w:val="17"/>
          <w:szCs w:val="17"/>
          <w:b w:val="1"/>
          <w:bCs w:val="1"/>
          <w:color w:val="auto"/>
        </w:rPr>
        <w:t xml:space="preserve">Section 7.3 Insurance. </w:t>
      </w:r>
      <w:r>
        <w:rPr>
          <w:rFonts w:ascii="Arial" w:cs="Arial" w:eastAsia="Arial" w:hAnsi="Arial"/>
          <w:sz w:val="17"/>
          <w:szCs w:val="17"/>
          <w:color w:val="auto"/>
        </w:rPr>
        <w:t>At least [***] days prior to the Initiation of the first clinical trial of a Product, RBNC shall at its own expense procure and</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during the Term (and for [***] years thereafter) clinical trial liability insurance coverage adequate to cover its obligations hereunder and which is/are consistent with normal business practices of prudent pharmaceutical companies. Additionally, at least [***] days prior to First Commercial Sale of any Product in the Territory, RBNC shall at its own expense procure and maintain during the Term (and for [***] years thereafter) product liability insurance coverage adequate to cover its obligations hereunder and which is consistent with normal business practices of prudent pharmaceutical companies. Each insurance policy required by and procured by RBNC under this 7.3 (Insurance) shall name AMGEN as an additional insured. Such insurance shall not be construed to create a limit of RBNC’s liability with respect to its indemnification obligations under this Article 7 (Indemnification). RBNC shall provide AMGEN with a certificate of insurance or other evidence of such insurance, upon request. RBNC shall provide AMGEN with written notice at least [***] days prior to the cancellation or non -renewal and [***] days prior written notice of cancellation for non-payment of premiums. RBNC’s insurance hereunder shall be primary with respect to the obligations for which RBNC is liable hereunder.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CONFIDENTIALITY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8.1 Confidential Information</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 xml:space="preserve">8.1.1 Confidential Information. </w:t>
      </w:r>
      <w:r>
        <w:rPr>
          <w:rFonts w:ascii="Arial" w:cs="Arial" w:eastAsia="Arial" w:hAnsi="Arial"/>
          <w:sz w:val="16"/>
          <w:szCs w:val="16"/>
          <w:color w:val="auto"/>
        </w:rPr>
        <w:t>Each Party (“</w:t>
      </w:r>
      <w:r>
        <w:rPr>
          <w:rFonts w:ascii="Arial" w:cs="Arial" w:eastAsia="Arial" w:hAnsi="Arial"/>
          <w:sz w:val="16"/>
          <w:szCs w:val="16"/>
          <w:b w:val="1"/>
          <w:bCs w:val="1"/>
          <w:color w:val="auto"/>
        </w:rPr>
        <w:t>Disclosing Party</w:t>
      </w:r>
      <w:r>
        <w:rPr>
          <w:rFonts w:ascii="Arial" w:cs="Arial" w:eastAsia="Arial" w:hAnsi="Arial"/>
          <w:sz w:val="16"/>
          <w:szCs w:val="16"/>
          <w:color w:val="auto"/>
        </w:rPr>
        <w:t>”) may disclose to the other Party (“</w:t>
      </w:r>
      <w:r>
        <w:rPr>
          <w:rFonts w:ascii="Arial" w:cs="Arial" w:eastAsia="Arial" w:hAnsi="Arial"/>
          <w:sz w:val="16"/>
          <w:szCs w:val="16"/>
          <w:b w:val="1"/>
          <w:bCs w:val="1"/>
          <w:color w:val="auto"/>
        </w:rPr>
        <w:t>Receiving Party</w:t>
      </w:r>
      <w:r>
        <w:rPr>
          <w:rFonts w:ascii="Arial" w:cs="Arial" w:eastAsia="Arial" w:hAnsi="Arial"/>
          <w:sz w:val="16"/>
          <w:szCs w:val="16"/>
          <w:color w:val="auto"/>
        </w:rPr>
        <w:t>”), and each Receiving Party</w:t>
      </w:r>
      <w:r>
        <w:rPr>
          <w:rFonts w:ascii="Arial" w:cs="Arial" w:eastAsia="Arial" w:hAnsi="Arial"/>
          <w:sz w:val="16"/>
          <w:szCs w:val="16"/>
          <w:b w:val="1"/>
          <w:bCs w:val="1"/>
          <w:color w:val="auto"/>
        </w:rPr>
        <w:t xml:space="preserve"> </w:t>
      </w:r>
      <w:r>
        <w:rPr>
          <w:rFonts w:ascii="Arial" w:cs="Arial" w:eastAsia="Arial" w:hAnsi="Arial"/>
          <w:sz w:val="16"/>
          <w:szCs w:val="16"/>
          <w:color w:val="auto"/>
        </w:rPr>
        <w:t>may acquire during the course of conduct of activities under this Agreement, certain proprietary or confidential information of Disclosing Party in connection with this Agreement. 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will mean (a) all Licensed Know-How, (b) all Licensed Materials, and (c) all other ideas and information of any kind, whether in written, oral, graphical, machine-readable or other form, whether or not marked as confidential or proprietary, which are transferred, disclosed or made available by Disclosing Party or at the request of Receiving Party, including any of the foregoing of Third Parties. Without limiting the foregoing, Licensed Know-How and Licensed Materials will be considered Confidential Information of AMGEN, and all research and development updates as well as financial and business disclosures from RBNC to AMGEN will be considered Confidential Information of RBNC. During the Term, AMGEN shall keep confidential the (i) Licensed Know-How, Licensed Materials and Amgen Proprietary Licensed Compounds and (ii) the activity of the Licensed Compounds in connection with the GCase, and such information in (i) and (ii) shall be treated as Confidential Information disclosed by RBNC to AMGEN during the Term, except to the extent (1) such Confidential Information is or becomes public knowledge through no fault or omission of AMGEN or (2) disclosure of such Confidential Information is permitted by Section 8.1.4.</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48" w:name="page449"/>
    <w:bookmarkEnd w:id="448"/>
    <w:p>
      <w:pPr>
        <w:ind w:right="120"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8.1.2 Restrictions. </w:t>
      </w:r>
      <w:r>
        <w:rPr>
          <w:rFonts w:ascii="Arial" w:cs="Arial" w:eastAsia="Arial" w:hAnsi="Arial"/>
          <w:sz w:val="17"/>
          <w:szCs w:val="17"/>
          <w:color w:val="auto"/>
        </w:rPr>
        <w:t>During the Term and for [***] years thereafter, Receiving Party will keep all Disclosing Party’s Confidential Information in</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confidence with the same degree of care with which Receiving Party holds its own confidential information (but in no event less than a commercially reasonable degree of care), and shall not disclose Disclosing Party’s Confidential Information to a Third Party without Disclosing Party’s prior written consent except as expressly permitted by the terms of this Agreement. Receiving Party will not use Disclosing Party’s Confidential Information except in connection with the performance of its obligations and exercise of its rights under this Agreement. Receiving Party has the right to disclose Disclosing Party’s Confidential Information without Disclosing Party’s prior written consent, to the extent and only to the extent reasonably necessary, to Receiving Party’s Affiliates and their employees, subcontractors, consultants, or agents who have a need to know such Confidential Information in order for Receiving Party to perform its obligations and exercise its rights under this Agreement and who are required in writing, prior to disclosure, to comply with restrictions on use and disclosure at least as restrictive as those set forth in this Section 8.1.2 (Restrictions). Receiving Party will use diligent efforts to cause those entities and persons to comply with the restrictions on use and disclosure in this Section 8.1.2 (Restrictions). Receiving Party assumes responsibility for those entities and persons maintaining Disclosing Party’s Confidential Information in confidence and using same only for the purposes described herein.</w:t>
      </w:r>
    </w:p>
    <w:p>
      <w:pPr>
        <w:spacing w:after="0" w:line="7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b w:val="1"/>
          <w:bCs w:val="1"/>
          <w:color w:val="auto"/>
        </w:rPr>
        <w:t xml:space="preserve">8.1.3 Exceptions. </w:t>
      </w:r>
      <w:r>
        <w:rPr>
          <w:rFonts w:ascii="Arial" w:cs="Arial" w:eastAsia="Arial" w:hAnsi="Arial"/>
          <w:sz w:val="18"/>
          <w:szCs w:val="18"/>
          <w:color w:val="auto"/>
        </w:rPr>
        <w:t>Receiving Party’s obligation of nondisclosure and the limitations upon the right to use the Disclosing Party’s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will not apply to the extent that Receiving Party can demonstrate that the Disclosing Party’s Confidential Information: (a) was known to Receiving Party or any of its Affiliates, without confidentiality restrictions, prior to the time of disclosure; (b) is or becomes public knowledge through no fault or omission of Receiving Party or any of its Affiliates; (c) is obtained by Receiving Party or any of its Affiliates from a Third Party under no obligation of confidentiality to Disclosing Party; or (d) has been independently developed by employees, subcontractors, consultants or agents of Receiving Party or any of its Affiliates without the use of Disclosing Party’s Confidential Information, as evidenced by contemporaneous written records.</w:t>
      </w:r>
    </w:p>
    <w:p>
      <w:pPr>
        <w:spacing w:after="0" w:line="8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8.1.4 Permitted Disclosures. </w:t>
      </w:r>
      <w:r>
        <w:rPr>
          <w:rFonts w:ascii="Arial" w:cs="Arial" w:eastAsia="Arial" w:hAnsi="Arial"/>
          <w:sz w:val="18"/>
          <w:szCs w:val="18"/>
          <w:color w:val="auto"/>
        </w:rPr>
        <w:t>Receiving Party may disclose Disclosing Party’s Confidential Information to the extent (and only to the extent) such</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is reasonably necessary in the following instances:</w:t>
      </w:r>
    </w:p>
    <w:p>
      <w:pPr>
        <w:spacing w:after="0" w:line="71" w:lineRule="exact"/>
        <w:rPr>
          <w:sz w:val="20"/>
          <w:szCs w:val="20"/>
          <w:color w:val="auto"/>
        </w:rPr>
      </w:pPr>
    </w:p>
    <w:p>
      <w:pPr>
        <w:ind w:left="1420" w:right="460" w:hanging="439"/>
        <w:spacing w:after="0" w:line="277" w:lineRule="auto"/>
        <w:tabs>
          <w:tab w:leader="none" w:pos="14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order to comply with applicable law, rule or regulation (including any securities law or regulation or the rules of a securities exchange) or with a legal or administrative proceeding;</w:t>
      </w:r>
    </w:p>
    <w:p>
      <w:pPr>
        <w:spacing w:after="0" w:line="75" w:lineRule="exact"/>
        <w:rPr>
          <w:rFonts w:ascii="Arial" w:cs="Arial" w:eastAsia="Arial" w:hAnsi="Arial"/>
          <w:sz w:val="18"/>
          <w:szCs w:val="18"/>
          <w:color w:val="auto"/>
        </w:rPr>
      </w:pPr>
    </w:p>
    <w:p>
      <w:pPr>
        <w:ind w:left="1420" w:right="320" w:hanging="439"/>
        <w:spacing w:after="0" w:line="263" w:lineRule="auto"/>
        <w:tabs>
          <w:tab w:leader="none" w:pos="14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connection with prosecuting or defending litigation, preparing, filing or seeking Marketing Approvals and other Regulatory Filings and communications in connection with Products, and filing, prosecuting and enforcing Patent Rights in connection with Receiving Party’s rights and obligations pursuant to this Agreement; and</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0" w:right="479" w:bottom="1440" w:gutter="0" w:footer="0" w:header="0"/>
        </w:sectPr>
      </w:pPr>
    </w:p>
    <w:bookmarkStart w:id="449" w:name="page450"/>
    <w:bookmarkEnd w:id="449"/>
    <w:p>
      <w:pPr>
        <w:ind w:left="1420" w:right="220" w:hanging="439"/>
        <w:spacing w:after="0" w:line="263" w:lineRule="auto"/>
        <w:tabs>
          <w:tab w:leader="none" w:pos="14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performing its obligations or exercising its rights hereunder, to its Affiliates; potential and future collaborators (including Sublicensees where RBNC is the Receiving Party); potential and permitted acquirers or assignees; and potential investment bankers, investors, legal advisors and lenders;</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b w:val="1"/>
          <w:bCs w:val="1"/>
          <w:i w:val="1"/>
          <w:iCs w:val="1"/>
          <w:color w:val="auto"/>
        </w:rPr>
        <w:t xml:space="preserve">provided, however, </w:t>
      </w:r>
      <w:r>
        <w:rPr>
          <w:rFonts w:ascii="Arial" w:cs="Arial" w:eastAsia="Arial" w:hAnsi="Arial"/>
          <w:sz w:val="16"/>
          <w:szCs w:val="16"/>
          <w:color w:val="auto"/>
        </w:rPr>
        <w:t>that (1) with respect to Sections 8.1.4(a) or 8.1.4(b), where reasonably possible, Receiving Party will notify Disclosing Party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Receiving Party’s intent to make any disclosure pursuant thereto sufficiently prior to making such disclosure so as to allow Disclosing Party adequate time to take whatever action it may deem appropriate to protect the confidentiality of the information to be disclosed, and (2) with respect to</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8.1.4(c), each of those named people and entities are required to comply with restrictions on use and disclosure at least as restrictive as those set forth in Section 8.1.2 (Restrictions) (other than investment bankers, investors, legal advisors and lenders, which must be bound prior to disclosure by commercially reasonable obligations of confidentiality).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8.2 Terms of this Agreement; Publicity</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 xml:space="preserve">8.2.1 Restrictions. </w:t>
      </w:r>
      <w:r>
        <w:rPr>
          <w:rFonts w:ascii="Arial" w:cs="Arial" w:eastAsia="Arial" w:hAnsi="Arial"/>
          <w:sz w:val="16"/>
          <w:szCs w:val="16"/>
          <w:color w:val="auto"/>
        </w:rPr>
        <w:t>The Parties agree that the terms of this Agreement will be treated as Confidential Information of both Parties, and thus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disclosed only as permitted by Section 8.1.4 (Permitted Disclosures). Except as required by Law, each Party agrees not to issue any press release or public statement disclosing information relating to this Agreement or the transactions contemplated hereby or the terms hereof without the prior written consent of the other Party not to be unreasonably withheld, and in accordance with Section 8.2.2 (Review) and Section 8.3.1 (Right to Publish).</w:t>
      </w:r>
    </w:p>
    <w:p>
      <w:pPr>
        <w:spacing w:after="0" w:line="43"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b w:val="1"/>
          <w:bCs w:val="1"/>
          <w:color w:val="auto"/>
        </w:rPr>
        <w:t xml:space="preserve">8.2.2 Review. </w:t>
      </w:r>
      <w:r>
        <w:rPr>
          <w:rFonts w:ascii="Arial" w:cs="Arial" w:eastAsia="Arial" w:hAnsi="Arial"/>
          <w:sz w:val="16"/>
          <w:szCs w:val="16"/>
          <w:color w:val="auto"/>
        </w:rPr>
        <w:t>The Parties have agreed to issue a press release announcing the Transaction and this Agreement on a date, and in a form, to be</w:t>
      </w:r>
      <w:r>
        <w:rPr>
          <w:rFonts w:ascii="Arial" w:cs="Arial" w:eastAsia="Arial" w:hAnsi="Arial"/>
          <w:sz w:val="16"/>
          <w:szCs w:val="16"/>
          <w:b w:val="1"/>
          <w:bCs w:val="1"/>
          <w:color w:val="auto"/>
        </w:rPr>
        <w:t xml:space="preserve"> </w:t>
      </w:r>
      <w:r>
        <w:rPr>
          <w:rFonts w:ascii="Arial" w:cs="Arial" w:eastAsia="Arial" w:hAnsi="Arial"/>
          <w:sz w:val="16"/>
          <w:szCs w:val="16"/>
          <w:color w:val="auto"/>
        </w:rPr>
        <w:t>mutually agreed upon by the Parties. In the event either Party (the “</w:t>
      </w:r>
      <w:r>
        <w:rPr>
          <w:rFonts w:ascii="Arial" w:cs="Arial" w:eastAsia="Arial" w:hAnsi="Arial"/>
          <w:sz w:val="16"/>
          <w:szCs w:val="16"/>
          <w:b w:val="1"/>
          <w:bCs w:val="1"/>
          <w:color w:val="auto"/>
        </w:rPr>
        <w:t>Issuing Party</w:t>
      </w:r>
      <w:r>
        <w:rPr>
          <w:rFonts w:ascii="Arial" w:cs="Arial" w:eastAsia="Arial" w:hAnsi="Arial"/>
          <w:sz w:val="16"/>
          <w:szCs w:val="16"/>
          <w:color w:val="auto"/>
        </w:rPr>
        <w:t>”) desires to issue a subsequent press release or other public statement disclosing information relating to this Agreement or the transactions contemplated hereby or the terms hereof, the Issuing Party will provide the other Party (the “</w:t>
      </w:r>
      <w:r>
        <w:rPr>
          <w:rFonts w:ascii="Arial" w:cs="Arial" w:eastAsia="Arial" w:hAnsi="Arial"/>
          <w:sz w:val="16"/>
          <w:szCs w:val="16"/>
          <w:b w:val="1"/>
          <w:bCs w:val="1"/>
          <w:color w:val="auto"/>
        </w:rPr>
        <w:t>Reviewing Party</w:t>
      </w:r>
      <w:r>
        <w:rPr>
          <w:rFonts w:ascii="Arial" w:cs="Arial" w:eastAsia="Arial" w:hAnsi="Arial"/>
          <w:sz w:val="16"/>
          <w:szCs w:val="16"/>
          <w:color w:val="auto"/>
        </w:rPr>
        <w:t>”) with a copy of the proposed press release or public statement (the “</w:t>
      </w:r>
      <w:r>
        <w:rPr>
          <w:rFonts w:ascii="Arial" w:cs="Arial" w:eastAsia="Arial" w:hAnsi="Arial"/>
          <w:sz w:val="16"/>
          <w:szCs w:val="16"/>
          <w:b w:val="1"/>
          <w:bCs w:val="1"/>
          <w:color w:val="auto"/>
        </w:rPr>
        <w:t>Release</w:t>
      </w:r>
      <w:r>
        <w:rPr>
          <w:rFonts w:ascii="Arial" w:cs="Arial" w:eastAsia="Arial" w:hAnsi="Arial"/>
          <w:sz w:val="16"/>
          <w:szCs w:val="16"/>
          <w:color w:val="auto"/>
        </w:rPr>
        <w:t>”). The Issuing Party will specify with each such Release, taking into account the urgency of the matter being disclosed, a reasonable period of time within which the Reviewing Party may provide any comments on such Release, provided that the Reviewing Party will use reasonable efforts to provide such comments within [***] business days. If the Receiving Party provides any comments, the Parties will consult on such Release and work in good faith to prepare a mutually acceptable Release. Either Party may subsequently publicly disclose any information previously contained in any Release, provided that the other Party provided its written consent hereto as stated in Section 8.2.1 (Restrictions). For the avoidance of doubt (and notwithstanding anything contained in this Agreement to the contrary), RBNC, in its sole discretion, may make disclosures relating to the Exploitation of any Licensed Compound, Program Compound or Product, including the results of research and any clinical trial conducted by RBNC or any health or safety matter related to any Product.</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8.3 Publications</w:t>
      </w:r>
      <w:r>
        <w:rPr>
          <w:rFonts w:ascii="Arial" w:cs="Arial" w:eastAsia="Arial" w:hAnsi="Arial"/>
          <w:sz w:val="18"/>
          <w:szCs w:val="18"/>
          <w:color w:val="auto"/>
        </w:rPr>
        <w:t>.</w:t>
      </w:r>
    </w:p>
    <w:p>
      <w:pPr>
        <w:spacing w:after="0" w:line="117"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 xml:space="preserve">8.3.1 Right to Publish. </w:t>
      </w:r>
      <w:r>
        <w:rPr>
          <w:rFonts w:ascii="Arial" w:cs="Arial" w:eastAsia="Arial" w:hAnsi="Arial"/>
          <w:sz w:val="18"/>
          <w:szCs w:val="18"/>
          <w:color w:val="auto"/>
        </w:rPr>
        <w:t>Subject to the provisions of Sections 8.1 (Confidential Information), 8.2 (Terms of this Agreement; Publicity) and 8.3.2</w:t>
      </w:r>
      <w:r>
        <w:rPr>
          <w:rFonts w:ascii="Arial" w:cs="Arial" w:eastAsia="Arial" w:hAnsi="Arial"/>
          <w:sz w:val="18"/>
          <w:szCs w:val="18"/>
          <w:b w:val="1"/>
          <w:bCs w:val="1"/>
          <w:color w:val="auto"/>
        </w:rPr>
        <w:t xml:space="preserve"> </w:t>
      </w:r>
      <w:r>
        <w:rPr>
          <w:rFonts w:ascii="Arial" w:cs="Arial" w:eastAsia="Arial" w:hAnsi="Arial"/>
          <w:sz w:val="18"/>
          <w:szCs w:val="18"/>
          <w:color w:val="auto"/>
        </w:rPr>
        <w:t>(Review), RBNC shall have the right to publish with respect to the Licensed Compounds, Program Compounds and Products in publications based in the Territory, and to make scientific presentations on the Licensed Compounds, Program</w:t>
      </w:r>
    </w:p>
    <w:p>
      <w:pPr>
        <w:spacing w:after="0" w:line="1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440" w:top="274" w:right="519" w:bottom="1440" w:gutter="0" w:footer="0" w:header="0"/>
        </w:sectPr>
      </w:pPr>
    </w:p>
    <w:bookmarkStart w:id="450" w:name="page451"/>
    <w:bookmarkEnd w:id="45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Compounds and Products in the Territory. The Parties acknowledge and agree that all RBNC publications pursuant to this Section 8.3 shall be developed by RBNC in accordance with RBNC’s publications policies and practices. In addition, authorship by RBNC of any publication arising from this Agreement will be undertaken in accordance with the International Committee of Medical Journal Editors (ICMJE) guidelines for authorship. Publications shall acknowledge use of any AMGEN data, support, or other contributions as appropriate and consistent with medical journal guidelines. AMGEN may not publish or make scientific presentations with respect to the Licensed Compounds, the Program Compounds and the Products without RBNC’s prior written approval.</w:t>
      </w:r>
    </w:p>
    <w:p>
      <w:pPr>
        <w:spacing w:after="0" w:line="80"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 xml:space="preserve">8.3.2 Review. </w:t>
      </w:r>
      <w:r>
        <w:rPr>
          <w:rFonts w:ascii="Arial" w:cs="Arial" w:eastAsia="Arial" w:hAnsi="Arial"/>
          <w:sz w:val="16"/>
          <w:szCs w:val="16"/>
          <w:color w:val="auto"/>
        </w:rPr>
        <w:t>Except as required by Law or court order, for any proposed publication or presentation regarding the Licensed Compounds,</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Compounds or Products in the Territory, RBNC: (a) shall transmit a copy of the proposed publication for review and comment to AMGEN at least [***] days (or, in the case of abstracts, [***] days) prior to the submission of such publication to a Third Party; (b) shall postpone such publication for up to an additional [***] days upon request of AMGEN to allow the consideration of appropriate patent applications or other protection to be filed; (c) upon request of AMGEN, shall remove all Confidential Information of AMGEN ; and (d) shall consider all reasonable comments made by AMGEN.</w:t>
      </w:r>
    </w:p>
    <w:p>
      <w:pPr>
        <w:spacing w:after="0" w:line="46"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b w:val="1"/>
          <w:bCs w:val="1"/>
          <w:color w:val="auto"/>
        </w:rPr>
        <w:t xml:space="preserve">Section 8.4 Relationship to the Confidentiality Agreement. </w:t>
      </w:r>
      <w:r>
        <w:rPr>
          <w:rFonts w:ascii="Arial" w:cs="Arial" w:eastAsia="Arial" w:hAnsi="Arial"/>
          <w:sz w:val="17"/>
          <w:szCs w:val="17"/>
          <w:color w:val="auto"/>
        </w:rPr>
        <w:t>This Agreement supersedes that certain Confidential Disclosure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between AMGEN and RBNC [***];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all “Confidential Information” disclosed or received by the Parties thereunder will be deemed either “Confidential Information” hereunder and will be subject to the terms and conditions of this Agreement or treated as “Confidential Information” under either the Exclusive License Agreement for CK1d or the Research Collaboration and License Agreement and subject to the terms and conditions of such agreement, as applicable in light of the subject matter of such disclosure; provided that if such information relates to both this Agreement and such other agreements, or does not relate specifically to any such agreement, then such information will be deemed “Confidential Information” hereunder and subject to the terms and conditions of this Agreement.</w:t>
      </w:r>
    </w:p>
    <w:p>
      <w:pPr>
        <w:spacing w:after="0" w:line="64" w:lineRule="exact"/>
        <w:rPr>
          <w:sz w:val="20"/>
          <w:szCs w:val="20"/>
          <w:color w:val="auto"/>
        </w:rPr>
      </w:pPr>
    </w:p>
    <w:p>
      <w:pPr>
        <w:ind w:left="440" w:right="80"/>
        <w:spacing w:after="0" w:line="254" w:lineRule="auto"/>
        <w:rPr>
          <w:sz w:val="20"/>
          <w:szCs w:val="20"/>
          <w:color w:val="auto"/>
        </w:rPr>
      </w:pPr>
      <w:r>
        <w:rPr>
          <w:rFonts w:ascii="Arial" w:cs="Arial" w:eastAsia="Arial" w:hAnsi="Arial"/>
          <w:sz w:val="18"/>
          <w:szCs w:val="18"/>
          <w:b w:val="1"/>
          <w:bCs w:val="1"/>
          <w:color w:val="auto"/>
        </w:rPr>
        <w:t xml:space="preserve">Section 8.5 Attorney-Client Privilege. </w:t>
      </w:r>
      <w:r>
        <w:rPr>
          <w:rFonts w:ascii="Arial" w:cs="Arial" w:eastAsia="Arial" w:hAnsi="Arial"/>
          <w:sz w:val="18"/>
          <w:szCs w:val="18"/>
          <w:color w:val="auto"/>
        </w:rPr>
        <w:t>Neither Party is waiving, nor will be deemed to have waived or diminished, any of its attorney work</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protections, attorney-client privileges or similar protections and privileges recognized under the applicable Law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12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51" w:name="page452"/>
    <w:bookmarkEnd w:id="4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 TERM &amp; TERMINATION</w:t>
      </w:r>
    </w:p>
    <w:p>
      <w:pPr>
        <w:spacing w:after="0" w:line="117" w:lineRule="exact"/>
        <w:rPr>
          <w:sz w:val="20"/>
          <w:szCs w:val="20"/>
          <w:color w:val="auto"/>
        </w:rPr>
      </w:pPr>
    </w:p>
    <w:p>
      <w:pPr>
        <w:ind w:left="440" w:right="40"/>
        <w:spacing w:after="0" w:line="270" w:lineRule="auto"/>
        <w:rPr>
          <w:sz w:val="20"/>
          <w:szCs w:val="20"/>
          <w:color w:val="auto"/>
        </w:rPr>
      </w:pPr>
      <w:r>
        <w:rPr>
          <w:rFonts w:ascii="Arial" w:cs="Arial" w:eastAsia="Arial" w:hAnsi="Arial"/>
          <w:sz w:val="17"/>
          <w:szCs w:val="17"/>
          <w:b w:val="1"/>
          <w:bCs w:val="1"/>
          <w:color w:val="auto"/>
        </w:rPr>
        <w:t xml:space="preserve">Section 9.1 Term. </w:t>
      </w:r>
      <w:r>
        <w:rPr>
          <w:rFonts w:ascii="Arial" w:cs="Arial" w:eastAsia="Arial" w:hAnsi="Arial"/>
          <w:sz w:val="17"/>
          <w:szCs w:val="17"/>
          <w:color w:val="auto"/>
        </w:rPr>
        <w:t>Except for the terms and conditions of Article 6 (Representations), Article 7 (Indemnification), Article 8 (Confidentiality),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10 (Miscellaneous), and Section 5.7 (Filings, Consents and Approvals) which shall become effective on the Execution Date, this Agreement shall become effective on the Closing Date (such date, the “</w:t>
      </w:r>
      <w:r>
        <w:rPr>
          <w:rFonts w:ascii="Arial" w:cs="Arial" w:eastAsia="Arial" w:hAnsi="Arial"/>
          <w:sz w:val="17"/>
          <w:szCs w:val="17"/>
          <w:b w:val="1"/>
          <w:bCs w:val="1"/>
          <w:color w:val="auto"/>
        </w:rPr>
        <w:t>Effective Date</w:t>
      </w:r>
      <w:r>
        <w:rPr>
          <w:rFonts w:ascii="Arial" w:cs="Arial" w:eastAsia="Arial" w:hAnsi="Arial"/>
          <w:sz w:val="17"/>
          <w:szCs w:val="17"/>
          <w:color w:val="auto"/>
        </w:rPr>
        <w:t>”); provided, however, in the event that the Effective Date does not occur within [***] days of the Execution Date, either Party will have the right to terminate this Agreement in its entirety immediately upon notice to the other Party; provided, further, such notice of termination is delivered to the other Party before the date on which the Parties obtain all necessary antitrust or competition law clearances, consents and approvals for the closing of this Agreement. The term of this Agreement shall commence on the Effective Date, and unless terminated earlier as provided in this Article 9 (Term &amp; Termination), shall continue in full force and effect until expiration of all obligations of RBNC to pay royalties under this Agreement for all Products in the Territory (the “</w:t>
      </w:r>
      <w:r>
        <w:rPr>
          <w:rFonts w:ascii="Arial" w:cs="Arial" w:eastAsia="Arial" w:hAnsi="Arial"/>
          <w:sz w:val="17"/>
          <w:szCs w:val="17"/>
          <w:b w:val="1"/>
          <w:bCs w:val="1"/>
          <w:color w:val="auto"/>
        </w:rPr>
        <w:t>Term</w:t>
      </w:r>
      <w:r>
        <w:rPr>
          <w:rFonts w:ascii="Arial" w:cs="Arial" w:eastAsia="Arial" w:hAnsi="Arial"/>
          <w:sz w:val="17"/>
          <w:szCs w:val="17"/>
          <w:color w:val="auto"/>
        </w:rPr>
        <w:t>”). Upon expiration of this Agreement, the licenses granted to RBNC by AMGEN under this Agreement to Exploit the Products shall be fully paid-up, irrevocable and non-exclusive.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9.2 Termination by AMGEN</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9.2.1 Breach. </w:t>
      </w:r>
      <w:r>
        <w:rPr>
          <w:rFonts w:ascii="Arial" w:cs="Arial" w:eastAsia="Arial" w:hAnsi="Arial"/>
          <w:sz w:val="17"/>
          <w:szCs w:val="17"/>
          <w:color w:val="auto"/>
        </w:rPr>
        <w:t>AMGEN will have the right to terminate this Agreement in full upon delivery of written notice to RBNC in the event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material breach by RBNC of any terms and conditions of this Agreement,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such termination will not be effective if such breach has been cured within ninety (90) days after written notice thereof is given by AMGEN to RBNC specifying in reasonable detail the nature of the alleged breach; </w:t>
      </w:r>
      <w:r>
        <w:rPr>
          <w:rFonts w:ascii="Arial" w:cs="Arial" w:eastAsia="Arial" w:hAnsi="Arial"/>
          <w:sz w:val="17"/>
          <w:szCs w:val="17"/>
          <w:b w:val="1"/>
          <w:bCs w:val="1"/>
          <w:i w:val="1"/>
          <w:iCs w:val="1"/>
          <w:color w:val="auto"/>
        </w:rPr>
        <w:t>provided further, however,</w:t>
      </w:r>
      <w:r>
        <w:rPr>
          <w:rFonts w:ascii="Arial" w:cs="Arial" w:eastAsia="Arial" w:hAnsi="Arial"/>
          <w:sz w:val="17"/>
          <w:szCs w:val="17"/>
          <w:color w:val="auto"/>
        </w:rPr>
        <w:t xml:space="preserve"> that to the extent such material breach involves (i) the material undisputed failure to make a payment when due, such breach must be cured within forty-five (45) days after written notice thereof is given by AMGEN to RBNC, or (ii) a breach by RBNC of Section 6.5(d) with respect to Proper Conduct Practices or Anti-Corruption Laws, (1) if such breach is capable of being cured, such breach must be cured within [***] days after written notice thereof is given by AMGEN to RBNC and (2) if such breach is not capable of being cured, this Agreement will terminate [***] days after delivery of such written notice; </w:t>
      </w:r>
      <w:r>
        <w:rPr>
          <w:rFonts w:ascii="Arial" w:cs="Arial" w:eastAsia="Arial" w:hAnsi="Arial"/>
          <w:sz w:val="17"/>
          <w:szCs w:val="17"/>
          <w:b w:val="1"/>
          <w:bCs w:val="1"/>
          <w:i w:val="1"/>
          <w:iCs w:val="1"/>
          <w:color w:val="auto"/>
        </w:rPr>
        <w:t>provided further, however,</w:t>
      </w:r>
      <w:r>
        <w:rPr>
          <w:rFonts w:ascii="Arial" w:cs="Arial" w:eastAsia="Arial" w:hAnsi="Arial"/>
          <w:sz w:val="17"/>
          <w:szCs w:val="17"/>
          <w:color w:val="auto"/>
        </w:rPr>
        <w:t xml:space="preserve"> with the exception of breaches falling into clause (ii) above, that if the material breach is not reasonably capable of being cured within the [***] cure period, and if RBNC (a) proposes within such [***] period a written plan, reasonably acceptable to AMGEN, to cure such breach, and (b) makes good faith efforts to cure such default and to implement such written cure plan, then, until the [***] of RBNC’s receipt of the relevant notice of termination, AMGEN may not terminate this Agreement under this Section 9.2.1 for so long as RBNC is diligently pursuing such cure in accordance with such plan.</w:t>
      </w:r>
    </w:p>
    <w:p>
      <w:pPr>
        <w:spacing w:after="0" w:line="71"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b w:val="1"/>
          <w:bCs w:val="1"/>
          <w:color w:val="auto"/>
        </w:rPr>
        <w:t xml:space="preserve">9.2.2 Termination for a RBNC Distracting Product. </w:t>
      </w:r>
      <w:r>
        <w:rPr>
          <w:rFonts w:ascii="Arial" w:cs="Arial" w:eastAsia="Arial" w:hAnsi="Arial"/>
          <w:sz w:val="17"/>
          <w:szCs w:val="17"/>
          <w:color w:val="auto"/>
        </w:rPr>
        <w:t>AMGEN will have the right to terminate this Agreement in full upon written notice to</w:t>
      </w:r>
      <w:r>
        <w:rPr>
          <w:rFonts w:ascii="Arial" w:cs="Arial" w:eastAsia="Arial" w:hAnsi="Arial"/>
          <w:sz w:val="17"/>
          <w:szCs w:val="17"/>
          <w:b w:val="1"/>
          <w:bCs w:val="1"/>
          <w:color w:val="auto"/>
        </w:rPr>
        <w:t xml:space="preserve"> </w:t>
      </w:r>
      <w:r>
        <w:rPr>
          <w:rFonts w:ascii="Arial" w:cs="Arial" w:eastAsia="Arial" w:hAnsi="Arial"/>
          <w:sz w:val="17"/>
          <w:szCs w:val="17"/>
          <w:color w:val="auto"/>
        </w:rPr>
        <w:t>RBNC in the event that RBNC (or its Sublicensee) violates Section 5.4.1 (Distracting Programs) (and, for clarity, does not comply with Sections 5.4.2, 5.4.3 or 5.4.4 as may be applicable). Notwithstanding the foregoing, in the case of a Sublicensee’s violation of Section 5.4.1 (Distracting Programs), if RBNC terminates the applicable Sublicense Agreement (or the portions of such Sublicense Agreement relating specifically to the Product if such Sublicense Agreement covers other programs or products) and regains all rights granted by it to such Sublicensee in the Products and Licensed Know -How within forty-five (45) days of becoming aware of Sublicensee’s violation of Section 5.4.1 (Distracting Programs), AMGEN will have no right to terminate this Agreement under this Section 9.2.2 with respect to such violation by such Sublicensee.</w:t>
      </w:r>
    </w:p>
    <w:p>
      <w:pPr>
        <w:spacing w:after="0" w:line="1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0" w:right="459" w:bottom="1440" w:gutter="0" w:footer="0" w:header="0"/>
        </w:sectPr>
      </w:pPr>
    </w:p>
    <w:bookmarkStart w:id="452" w:name="page453"/>
    <w:bookmarkEnd w:id="452"/>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9.3 Termination by RBNC</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b w:val="1"/>
          <w:bCs w:val="1"/>
          <w:color w:val="auto"/>
        </w:rPr>
        <w:t xml:space="preserve">9.3.1 Breach. </w:t>
      </w:r>
      <w:r>
        <w:rPr>
          <w:rFonts w:ascii="Arial" w:cs="Arial" w:eastAsia="Arial" w:hAnsi="Arial"/>
          <w:sz w:val="16"/>
          <w:szCs w:val="16"/>
          <w:color w:val="auto"/>
        </w:rPr>
        <w:t>RBNC will have the right to terminate this Agreement in full upon delivery of written notice to AMGEN in the event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material breach by AMGEN of any terms and conditions of this Agreement;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such termination will not be effective if such breach has been cured within ninety (90) days after written notice thereof is given by RBNC to AMGEN specifying the nature of the alleged breach; </w:t>
      </w:r>
      <w:r>
        <w:rPr>
          <w:rFonts w:ascii="Arial" w:cs="Arial" w:eastAsia="Arial" w:hAnsi="Arial"/>
          <w:sz w:val="16"/>
          <w:szCs w:val="16"/>
          <w:b w:val="1"/>
          <w:bCs w:val="1"/>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further, however, </w:t>
      </w:r>
      <w:r>
        <w:rPr>
          <w:rFonts w:ascii="Arial" w:cs="Arial" w:eastAsia="Arial" w:hAnsi="Arial"/>
          <w:sz w:val="16"/>
          <w:szCs w:val="16"/>
          <w:color w:val="auto"/>
        </w:rPr>
        <w:t>that if the material breach is not reasonably capable of being cured within the ninety (90)-day cure period, and if AMGEN</w:t>
      </w:r>
    </w:p>
    <w:p>
      <w:pPr>
        <w:spacing w:after="0" w:line="2" w:lineRule="exact"/>
        <w:rPr>
          <w:sz w:val="20"/>
          <w:szCs w:val="20"/>
          <w:color w:val="auto"/>
        </w:rPr>
      </w:pPr>
    </w:p>
    <w:p>
      <w:pPr>
        <w:ind w:left="4" w:right="100" w:hanging="4"/>
        <w:spacing w:after="0" w:line="302" w:lineRule="auto"/>
        <w:tabs>
          <w:tab w:leader="none" w:pos="24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proposes within such ninety (90)-day period a written plan, reasonably acceptable to RBNC, to cure such breach, and (b) makes good faith efforts to cure such default and to implement such written cure plan, then, until the [***] of AMGEN’s receipt of the relevant notice of termination, RBNC may not terminate this Agreement under this Section 9.3.1 for so long as AMGEN is diligently pursuing such cure in accordance with such plan.</w:t>
      </w:r>
    </w:p>
    <w:p>
      <w:pPr>
        <w:spacing w:after="0" w:line="4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9.3.2 Discretionary Termination. </w:t>
      </w:r>
      <w:r>
        <w:rPr>
          <w:rFonts w:ascii="Arial" w:cs="Arial" w:eastAsia="Arial" w:hAnsi="Arial"/>
          <w:sz w:val="18"/>
          <w:szCs w:val="18"/>
          <w:color w:val="auto"/>
        </w:rPr>
        <w:t>RBNC will have the right to terminate at-will this Agreement in full:</w:t>
      </w:r>
    </w:p>
    <w:p>
      <w:pPr>
        <w:spacing w:after="0" w:line="121" w:lineRule="exact"/>
        <w:rPr>
          <w:sz w:val="20"/>
          <w:szCs w:val="20"/>
          <w:color w:val="auto"/>
        </w:rPr>
      </w:pPr>
    </w:p>
    <w:p>
      <w:pPr>
        <w:ind w:left="1244" w:hanging="253"/>
        <w:spacing w:after="0"/>
        <w:tabs>
          <w:tab w:leader="none" w:pos="124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In the time period prior to the Initiation of clinical development for any Product, upon thirty (30) day’s prior written notice to AMGEN;</w:t>
      </w:r>
    </w:p>
    <w:p>
      <w:pPr>
        <w:spacing w:after="0" w:line="46" w:lineRule="exact"/>
        <w:rPr>
          <w:rFonts w:ascii="Arial" w:cs="Arial" w:eastAsia="Arial" w:hAnsi="Arial"/>
          <w:sz w:val="16"/>
          <w:szCs w:val="16"/>
          <w:color w:val="auto"/>
        </w:rPr>
      </w:pPr>
    </w:p>
    <w:p>
      <w:pPr>
        <w:ind w:left="984"/>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984" w:right="20" w:firstLine="7"/>
        <w:spacing w:after="0" w:line="277" w:lineRule="auto"/>
        <w:tabs>
          <w:tab w:leader="none" w:pos="123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 the time period after the Initiation of clinical development for any Product, upon one hundred twenty (120) day’s prior written notice to AMGEN.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Following any such notice of termination, RBNC shall have no further obligation pursuant to Section 5.2 (Diligence) to further Exploit any Product.</w:t>
      </w:r>
    </w:p>
    <w:p>
      <w:pPr>
        <w:spacing w:after="0" w:line="125" w:lineRule="exact"/>
        <w:rPr>
          <w:sz w:val="20"/>
          <w:szCs w:val="20"/>
          <w:color w:val="auto"/>
        </w:rPr>
      </w:pPr>
    </w:p>
    <w:p>
      <w:pPr>
        <w:ind w:left="444" w:right="120"/>
        <w:spacing w:after="0" w:line="294" w:lineRule="auto"/>
        <w:rPr>
          <w:sz w:val="20"/>
          <w:szCs w:val="20"/>
          <w:color w:val="auto"/>
        </w:rPr>
      </w:pPr>
      <w:r>
        <w:rPr>
          <w:rFonts w:ascii="Arial" w:cs="Arial" w:eastAsia="Arial" w:hAnsi="Arial"/>
          <w:sz w:val="16"/>
          <w:szCs w:val="16"/>
          <w:b w:val="1"/>
          <w:bCs w:val="1"/>
          <w:color w:val="auto"/>
        </w:rPr>
        <w:t xml:space="preserve">Section 9.4 Termination Upon Bankruptcy. </w:t>
      </w:r>
      <w:r>
        <w:rPr>
          <w:rFonts w:ascii="Arial" w:cs="Arial" w:eastAsia="Arial" w:hAnsi="Arial"/>
          <w:sz w:val="16"/>
          <w:szCs w:val="16"/>
          <w:color w:val="auto"/>
        </w:rPr>
        <w:t>Either Party may terminate this Agreement if, at any time, the other Party shall (a) file in any court</w:t>
      </w:r>
      <w:r>
        <w:rPr>
          <w:rFonts w:ascii="Arial" w:cs="Arial" w:eastAsia="Arial" w:hAnsi="Arial"/>
          <w:sz w:val="16"/>
          <w:szCs w:val="16"/>
          <w:b w:val="1"/>
          <w:bCs w:val="1"/>
          <w:color w:val="auto"/>
        </w:rPr>
        <w:t xml:space="preserve"> </w:t>
      </w:r>
      <w:r>
        <w:rPr>
          <w:rFonts w:ascii="Arial" w:cs="Arial" w:eastAsia="Arial" w:hAnsi="Arial"/>
          <w:sz w:val="16"/>
          <w:szCs w:val="16"/>
          <w:color w:val="auto"/>
        </w:rPr>
        <w:t>or agency pursuant to any statute or regulation of any state, country or jurisdiction, a petition in bankruptcy or insolvency or for reorganization or for an arrangement or for the appointment of a receiver or trustee of that Party or of its assets, (b) propose a written agreement of composition or extension of its debts, (c) be served with an involuntary petition against it, filed in any insolvency proceeding, and such petition has not been dismissed within [***] days after the filing thereof, (d) propose or be a party to any dissolution or liquidation, (e) make an assignment for the benefit of its creditors or (f) admit in writing its inability generally to meet its obligations as they fall due in the general course.</w:t>
      </w:r>
    </w:p>
    <w:p>
      <w:pPr>
        <w:spacing w:after="0" w:line="52" w:lineRule="exact"/>
        <w:rPr>
          <w:sz w:val="20"/>
          <w:szCs w:val="20"/>
          <w:color w:val="auto"/>
        </w:rPr>
      </w:pPr>
    </w:p>
    <w:p>
      <w:pPr>
        <w:ind w:left="444" w:right="220"/>
        <w:spacing w:after="0" w:line="266" w:lineRule="auto"/>
        <w:rPr>
          <w:sz w:val="20"/>
          <w:szCs w:val="20"/>
          <w:color w:val="auto"/>
        </w:rPr>
      </w:pPr>
      <w:r>
        <w:rPr>
          <w:rFonts w:ascii="Arial" w:cs="Arial" w:eastAsia="Arial" w:hAnsi="Arial"/>
          <w:sz w:val="18"/>
          <w:szCs w:val="18"/>
          <w:b w:val="1"/>
          <w:bCs w:val="1"/>
          <w:color w:val="auto"/>
        </w:rPr>
        <w:t xml:space="preserve">Section 9.5 Effects of Termination for Licensed Compounds, Program Compounds and Products . </w:t>
      </w:r>
      <w:r>
        <w:rPr>
          <w:rFonts w:ascii="Arial" w:cs="Arial" w:eastAsia="Arial" w:hAnsi="Arial"/>
          <w:sz w:val="18"/>
          <w:szCs w:val="18"/>
          <w:color w:val="auto"/>
        </w:rPr>
        <w:t>Upon termination by either Party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9.2 (Termination by AMGEN), Section 9.3 (Termination by RBNC) or Section 9.4 (Termination Upon Bankruptcy), with respect to Products containing Licensed Compounds or Program Compounds:</w:t>
      </w:r>
    </w:p>
    <w:p>
      <w:pPr>
        <w:spacing w:after="0" w:line="85" w:lineRule="exact"/>
        <w:rPr>
          <w:sz w:val="20"/>
          <w:szCs w:val="20"/>
          <w:color w:val="auto"/>
        </w:rPr>
      </w:pPr>
    </w:p>
    <w:p>
      <w:pPr>
        <w:ind w:left="1624" w:right="120" w:hanging="423"/>
        <w:spacing w:after="0" w:line="301" w:lineRule="auto"/>
        <w:tabs>
          <w:tab w:leader="none" w:pos="1624" w:val="left"/>
        </w:tabs>
        <w:numPr>
          <w:ilvl w:val="0"/>
          <w:numId w:val="268"/>
        </w:numPr>
        <w:rPr>
          <w:rFonts w:ascii="Arial" w:cs="Arial" w:eastAsia="Arial" w:hAnsi="Arial"/>
          <w:sz w:val="16"/>
          <w:szCs w:val="16"/>
          <w:color w:val="auto"/>
        </w:rPr>
      </w:pPr>
      <w:r>
        <w:rPr>
          <w:rFonts w:ascii="Arial" w:cs="Arial" w:eastAsia="Arial" w:hAnsi="Arial"/>
          <w:sz w:val="16"/>
          <w:szCs w:val="16"/>
          <w:color w:val="auto"/>
        </w:rPr>
        <w:t>RBNC will responsibly wind-down, in accordance with accepted pharmaceutical industry norms and ethical practices and all legal and regulatory requirements, any on-going clinical studies for which it has responsibility hereunder in which patient dosing has commenced or, if reasonably practicable and not adverse to patient safety and requested by AMGEN, RBNC shall complete such trials and AMGEN shall reimburse RBNC its reasonable, out-of-pocket costs and internal labor costs at the</w:t>
      </w:r>
    </w:p>
    <w:p>
      <w:pPr>
        <w:spacing w:after="0" w:line="90" w:lineRule="exact"/>
        <w:rPr>
          <w:sz w:val="20"/>
          <w:szCs w:val="20"/>
          <w:color w:val="auto"/>
        </w:rPr>
      </w:pPr>
    </w:p>
    <w:p>
      <w:pPr>
        <w:jc w:val="center"/>
        <w:ind w:right="-26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4"/>
          </w:cols>
          <w:pgMar w:left="436" w:top="270" w:right="439" w:bottom="1440" w:gutter="0" w:footer="0" w:header="0"/>
        </w:sectPr>
      </w:pPr>
    </w:p>
    <w:bookmarkStart w:id="453" w:name="page454"/>
    <w:bookmarkEnd w:id="453"/>
    <w:p>
      <w:pPr>
        <w:ind w:left="6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FTE Rate associated therewith. For the purpose of clarity, except as provided for above, RBNC may wind-down any ongoing clinical trials prior to the date of termination in accordance with accepted pharmaceutical industry norms and ethical practices and RBNC will be responsible for any costs associated with such wind-down.</w:t>
      </w:r>
    </w:p>
    <w:p>
      <w:pPr>
        <w:spacing w:after="0" w:line="89" w:lineRule="exact"/>
        <w:rPr>
          <w:sz w:val="20"/>
          <w:szCs w:val="20"/>
          <w:color w:val="auto"/>
        </w:rPr>
      </w:pPr>
    </w:p>
    <w:p>
      <w:pPr>
        <w:ind w:left="620" w:right="40" w:hanging="423"/>
        <w:spacing w:after="0" w:line="257" w:lineRule="auto"/>
        <w:tabs>
          <w:tab w:leader="none" w:pos="6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Such termination of this Agreement will automatically terminate any sublicense granted by RBNC pursuant to Section 2.2 (Sublicenses) unless AMGEN has approved such sublicense in writing, in which case all rights under such sublicense shall be deemed to survive termination as long as Sublicensee complies with its obligations thereunder, and provided further that in no event will AMGEN be obligated to fulfill any of RBNC’s obligations under such sublicense that extend beyond the obligations of AMGEN set forth in this Agreement.</w:t>
      </w:r>
    </w:p>
    <w:p>
      <w:pPr>
        <w:spacing w:after="0" w:line="93" w:lineRule="exact"/>
        <w:rPr>
          <w:rFonts w:ascii="Arial" w:cs="Arial" w:eastAsia="Arial" w:hAnsi="Arial"/>
          <w:sz w:val="18"/>
          <w:szCs w:val="18"/>
          <w:color w:val="auto"/>
        </w:rPr>
      </w:pPr>
    </w:p>
    <w:p>
      <w:pPr>
        <w:ind w:left="620" w:right="140" w:hanging="423"/>
        <w:spacing w:after="0" w:line="286" w:lineRule="auto"/>
        <w:tabs>
          <w:tab w:leader="none" w:pos="6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All rights and licenses granted by AMGEN to RBNC in Article 2 (License Grant) will terminate, and RBNC and its Affiliates, and (subject to Section 9.5(b)) Sublicensees will cease all use of Licensed Know-How and Licensed Patents and all Exploitation of any such Licensed Compound, Program Compound or Product, except to the extent required hereunder.</w:t>
      </w:r>
    </w:p>
    <w:p>
      <w:pPr>
        <w:spacing w:after="0" w:line="70" w:lineRule="exact"/>
        <w:rPr>
          <w:rFonts w:ascii="Arial" w:cs="Arial" w:eastAsia="Arial" w:hAnsi="Arial"/>
          <w:sz w:val="17"/>
          <w:szCs w:val="17"/>
          <w:color w:val="auto"/>
        </w:rPr>
      </w:pPr>
    </w:p>
    <w:p>
      <w:pPr>
        <w:ind w:left="620" w:hanging="423"/>
        <w:spacing w:after="0" w:line="288" w:lineRule="auto"/>
        <w:tabs>
          <w:tab w:leader="none" w:pos="62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Upon AMGEN’s request, all Marketing Approvals and other Regulatory Filings and communications owned (in whole or in part) or otherwise Controlled by RBNC and its Affiliates, and (subject to Section 9.5(b)) Sublicensees, and all other documents relating to or necessary to further Exploit any such Product, as such items exist as of the effective date of such termination (including all documents related to completed and ongoing clinical studies) will be assigned to AMGEN to the extent practicable (or, if not so assigned, RBNC shall make the benefit of the foregoing reasonably available to AMGEN), and RBNC will provide to AMGEN one (1) copy of the foregoing and all documents contained in or referenced in any such items, together with the raw and summarized data for any clinical studies (and where reasonably available, electronic copies thereof). All expenses in relation to such assignment will be borne by AMGEN. In the event of any failure to obtain assignment, RBNC hereby consents and grants to AMGEN the right to access and reference (without any further action required on the part of RBNC, whose authorization to file this consent with any Regulatory Authority is hereby granted) any such item.</w:t>
      </w:r>
    </w:p>
    <w:p>
      <w:pPr>
        <w:spacing w:after="0" w:line="73" w:lineRule="exact"/>
        <w:rPr>
          <w:rFonts w:ascii="Arial" w:cs="Arial" w:eastAsia="Arial" w:hAnsi="Arial"/>
          <w:sz w:val="16"/>
          <w:szCs w:val="16"/>
          <w:color w:val="auto"/>
        </w:rPr>
      </w:pPr>
    </w:p>
    <w:p>
      <w:pPr>
        <w:ind w:left="620" w:hanging="423"/>
        <w:spacing w:after="0" w:line="273" w:lineRule="auto"/>
        <w:tabs>
          <w:tab w:leader="none" w:pos="6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Upon AMGEN’s election, RBNC shall and hereby does grant to AMGEN and its Affiliates (i) an automatic, worldwide, perpetual and irrevocable exclusive license, with the right to grant sublicenses through multiple tiers, solely for use in Exploiting such Products, under Know-How and Patent Rights that are Controlled by RBNC or any of its Affiliates (including any Know-How and Patent Rights Controlled by RBNC or its Affiliates through an assignment or license by Sublicensees) prior to termination and that Cover such Products and which are necessary for Exploiting any such Product as such Product exists as of the termination date, and (ii) an automatic, worldwide, perpetual and irrevocable non-exclusive license,</w:t>
      </w:r>
    </w:p>
    <w:p>
      <w:pPr>
        <w:spacing w:after="0" w:line="1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000"/>
          </w:cols>
          <w:pgMar w:left="1440" w:top="274" w:right="459" w:bottom="1440" w:gutter="0" w:footer="0" w:header="0"/>
        </w:sectPr>
      </w:pPr>
    </w:p>
    <w:bookmarkStart w:id="454" w:name="page455"/>
    <w:bookmarkEnd w:id="454"/>
    <w:p>
      <w:pPr>
        <w:ind w:left="6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the right to grant sublicenses through multiple tiers, solely for use in Exploiting such Products, under Know-How and Patent Rights that are Controlled by RBNC or any of its Affiliates (including any Know-How and Patent Rights Controlled by RBNC or its Affiliates through an assignment or license by Sublicensees) prior to termination and that do not Cover such Products but that are necessary for Exploiting any such Product as such Product exists as of the termination date. RBNC shall use its reasonable efforts to facilitate a smooth, orderly and prompt transition of the Exploitation of any Product that is the subject of the license grant to AMGEN under this Section 9.5(e) from RBNC to AMGEN, promptly upon AMGEN’s election to take such a license. For the purpose of clarity, upon AMGEN’s election at the time of termination, (1) such license shall be effective only as of and after the effective date of such termination and (2) in consideration of such license, AMGEN will be obligated to pay to RBNC royalties during the Royalty Term(s) at rates that are [***] of the royalty rate contemplated in Section 3.2.1 (Royalty Rate; Royalty Term); provided, all deductions and reductions contemplated in Section 3.2 will apply to such payments, and the definition of Net Sales and Sections 3.4 (Method of Payment) to 3.10 (Taxes) (inclusive) will apply </w:t>
      </w:r>
      <w:r>
        <w:rPr>
          <w:rFonts w:ascii="Arial" w:cs="Arial" w:eastAsia="Arial" w:hAnsi="Arial"/>
          <w:sz w:val="16"/>
          <w:szCs w:val="16"/>
          <w:i w:val="1"/>
          <w:iCs w:val="1"/>
          <w:color w:val="auto"/>
        </w:rPr>
        <w:t>mutatis-mutandis</w:t>
      </w:r>
      <w:r>
        <w:rPr>
          <w:rFonts w:ascii="Arial" w:cs="Arial" w:eastAsia="Arial" w:hAnsi="Arial"/>
          <w:sz w:val="16"/>
          <w:szCs w:val="16"/>
          <w:color w:val="auto"/>
        </w:rPr>
        <w:t xml:space="preserve"> to AMGEN in connection with the payment of such royalties. Notwithstanding the foregoing, in the event that any of the foregoing Know-How or Patent Rights are not Controlled by RBNC (or any of its Affiliates) due to the fact that RBNC (or its Affiliate) would be obligated to make any payments to a Third Party in connection with the grant of the foregoing licenses, then AMGEN shall have the right to assume such payment obligations and should it elect to do so and complies with such payment obligations, such Know-How and Patent Rights shall be included in such license grant.</w:t>
      </w:r>
    </w:p>
    <w:p>
      <w:pPr>
        <w:spacing w:after="0" w:line="82" w:lineRule="exact"/>
        <w:rPr>
          <w:sz w:val="20"/>
          <w:szCs w:val="20"/>
          <w:color w:val="auto"/>
        </w:rPr>
      </w:pPr>
    </w:p>
    <w:p>
      <w:pPr>
        <w:ind w:left="620" w:right="20" w:hanging="423"/>
        <w:spacing w:after="0" w:line="275" w:lineRule="auto"/>
        <w:tabs>
          <w:tab w:leader="none" w:pos="62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Upon AMGEN’s request, RBNC will assign (or, if applicable, will cause its Affiliates or (subject to Section 9.5(b)) Sublicensees to assign) to AMGEN all of RBNC’s (and such Affiliates’ and Sublicensees’) right, title and interest in and to any registered or unregistered trademarks or internet domain names that are specific to such Product(s), provided that such assignment is in accordance with RBNC’s policy on trademarks (it being understood that the foregoing will not include any trademarks or internet domain names that contain the corporate or business name(s) of RBNC).</w:t>
      </w:r>
    </w:p>
    <w:p>
      <w:pPr>
        <w:spacing w:after="0" w:line="81" w:lineRule="exact"/>
        <w:rPr>
          <w:rFonts w:ascii="Arial" w:cs="Arial" w:eastAsia="Arial" w:hAnsi="Arial"/>
          <w:sz w:val="17"/>
          <w:szCs w:val="17"/>
          <w:color w:val="auto"/>
        </w:rPr>
      </w:pPr>
    </w:p>
    <w:p>
      <w:pPr>
        <w:ind w:left="620" w:right="40" w:hanging="423"/>
        <w:spacing w:after="0" w:line="293" w:lineRule="auto"/>
        <w:tabs>
          <w:tab w:leader="none" w:pos="62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RBNC agrees (and shall cause its Affiliates and Sublicensees as a condition of the grant of the applicable sublicense to so agree) to fully cooperate with AMGEN and its designee(s) to facilitate a smooth, orderly and prompt transition of the Exploitation of such Products in the Territory to AMGEN and/or its designee(s). Upon request by AMGEN, RBNC shall transfer to AMGEN some or all quantities of such Products in its possession at [***] price paid by RBNC to a Third Party for such quantities or [***] plus [***]. If RBNC is, at the time of such termination of this Agreement, party to any Third Party contracts with respect to such Product(s), then it shall provide AMGEN notice of and (to the extent permitted to do so) copies thereof.</w:t>
      </w:r>
    </w:p>
    <w:p>
      <w:pPr>
        <w:spacing w:after="0" w:line="9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9980"/>
          </w:cols>
          <w:pgMar w:left="1440" w:top="274" w:right="479" w:bottom="1440" w:gutter="0" w:footer="0" w:header="0"/>
        </w:sectPr>
      </w:pPr>
    </w:p>
    <w:bookmarkStart w:id="455" w:name="page456"/>
    <w:bookmarkEnd w:id="455"/>
    <w:p>
      <w:pPr>
        <w:ind w:left="6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RBNC shall assign to AMGEN any such contracts requested by AMGEN, to the extent solely relating to such Product(s) and to the extent it has the right under such contract(s) to do so (and shall use commercially reasonable efforts to obtain any required consents, which efforts shall not require making any payments or incurring any liabilities unless AMGEN agrees to reimburse RBNC therefor (and RBNC shall inform AMGEN of any such required payment or liability)). In addition, RBNC shall, at AMGEN’s cost and expense, (i) provide any cooperation reasonably requested by AMGEN to ensure uninterrupted supply of such Product(s) (including RBNC’s employees’ time at the FTE Rate), and (ii) if RBNC manufactured such Product(s) at the time of termination, continue to provide for manufacturing of such Product for AMGEN, at [***] of the fully-burdened manufacturing cost therefor, from the date of notice of such termination until the sooner to occur of such time as AMGEN is able, using commercially reasonable efforts to do so, to secure an acceptable alternative commercial manufacturing source from which sufficient quantities of such Product(s) may be procured and legally sold in the Territory or [***] months from the effective date of termination of this Agreement.</w:t>
      </w:r>
    </w:p>
    <w:p>
      <w:pPr>
        <w:spacing w:after="0" w:line="87" w:lineRule="exact"/>
        <w:rPr>
          <w:sz w:val="20"/>
          <w:szCs w:val="20"/>
          <w:color w:val="auto"/>
        </w:rPr>
      </w:pPr>
    </w:p>
    <w:p>
      <w:pPr>
        <w:ind w:left="640" w:right="60" w:hanging="423"/>
        <w:spacing w:after="0" w:line="269" w:lineRule="auto"/>
        <w:tabs>
          <w:tab w:leader="none" w:pos="64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Each Party shall, at Disclosing Party’s written request and election, either (i) destroy all copies of Disclosing Party’s Confidential Information relating to such Products in the possession or control of Receiving Party and confirm such destruction in writing to Disclosing Party, or (ii) return to Disclosing Party, at Disclosing Party’s expense, all copies of Disclosing Party’s Confidential Information relating to such Products in the possession or control of Receiving Party. Notwithstanding the foregoing, Receiving Party shall be permitted to retain (1) such Confidential Information to the extent necessary for purposes of performing any continuing obligations or exercising any ongoing rights under this Agreement, (2) a single copy of such Confidential Information for archival purposes, and (3) such Confidential Information that is contained in any computer records or files that have been created solely by Receiving Party’s automatic archiving and back-up procedures, to the extent created and retained in a manner consistent with Receiving Party’s standard archiving and back-up procedures; provided that, in each case of (1), (2) and (3), such Confidential Information shall continue to be subject to restrictions on use and disclosure in this Agreement for the term set forth in Section 8.1.2.</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RBNC shall duly execute and deliver, or cause to be duly executed and delivered, such instruments and shall do and cause to be done such activities and things, including the filings of such assignments, agreements, documents and instruments, as may be necessary under, or as AMGEN may reasonably request in connection with, AMGEN’s rights under this Section 9.5 (Effects of Termination for Licensed Compounds, Program Compounds and Products).</w:t>
      </w:r>
    </w:p>
    <w:p>
      <w:pPr>
        <w:spacing w:after="0" w:line="1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020"/>
          </w:cols>
          <w:pgMar w:left="1420" w:top="274" w:right="459" w:bottom="1440" w:gutter="0" w:footer="0" w:header="0"/>
        </w:sectPr>
      </w:pPr>
    </w:p>
    <w:bookmarkStart w:id="456" w:name="page457"/>
    <w:bookmarkEnd w:id="456"/>
    <w:p>
      <w:pPr>
        <w:ind w:left="440" w:right="10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9.6 Survival. </w:t>
      </w:r>
      <w:r>
        <w:rPr>
          <w:rFonts w:ascii="Arial" w:cs="Arial" w:eastAsia="Arial" w:hAnsi="Arial"/>
          <w:sz w:val="16"/>
          <w:szCs w:val="16"/>
          <w:color w:val="auto"/>
        </w:rPr>
        <w:t>In addition to the termination consequences set forth in Section 9.5 (Effects of Termination for Licensed Compounds,</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Compounds and Products), the following provisions will survive termination or expiration of this Agreement: Articles 1 (Definitions), 7 (Indemnification), 8 (Confidentiality), and 10 (Miscellaneous) and Sections 2.6 (No Other Rights), 3.1 (Milestone Payments) (with respect to payment obligations accrued before such expiration or termination but remain unpaid as of the effective date of termination or expiration), 3.2 (Royalties) (with respect to sales made and payment obligations accrued before such expiration or termination but remain unpaid as of the effective date of termination or expiration), 3.3 (Sublicensing Income) (with respect to payment obligations accrued before such expiration or termination but remain unpaid as of the effective date of termination or expiration), 3.4 (Method of Payment) through 3.8 (Late Payments) (inclusive) (in each case with respect to Milestone Payments, Sublicensing Consideration and royalty payments accrued before such expiration or termination but remain unpaid as of the effective date of termination or expiration), 3.9 (Records and Audits), 3.10 (Taxes) (with respect to Milestone Payments, Sublicensing Consideration and royalty payments accrued before such expiration or termination but remain unpaid as of the effective date of termination or expiration), 4.1 (Intellectual Property Ownership), 4.4 (Enforcement) through 4.6 (Recovery) (inclusive) (in each case with respect to any action initiated prior to such expiration or termination), 6.4 (Disclaimer), and this Section 9.6 (Survival).</w:t>
      </w:r>
    </w:p>
    <w:p>
      <w:pPr>
        <w:spacing w:after="0" w:line="60" w:lineRule="exact"/>
        <w:rPr>
          <w:sz w:val="20"/>
          <w:szCs w:val="20"/>
          <w:color w:val="auto"/>
        </w:rPr>
      </w:pPr>
    </w:p>
    <w:p>
      <w:pPr>
        <w:ind w:left="440" w:right="140"/>
        <w:spacing w:after="0" w:line="258" w:lineRule="auto"/>
        <w:rPr>
          <w:sz w:val="20"/>
          <w:szCs w:val="20"/>
          <w:color w:val="auto"/>
        </w:rPr>
      </w:pPr>
      <w:r>
        <w:rPr>
          <w:rFonts w:ascii="Arial" w:cs="Arial" w:eastAsia="Arial" w:hAnsi="Arial"/>
          <w:sz w:val="18"/>
          <w:szCs w:val="18"/>
          <w:b w:val="1"/>
          <w:bCs w:val="1"/>
          <w:color w:val="auto"/>
        </w:rPr>
        <w:t xml:space="preserve">Section 9.7 Termination not Exclusive Remedy. </w:t>
      </w:r>
      <w:r>
        <w:rPr>
          <w:rFonts w:ascii="Arial" w:cs="Arial" w:eastAsia="Arial" w:hAnsi="Arial"/>
          <w:sz w:val="18"/>
          <w:szCs w:val="18"/>
          <w:color w:val="auto"/>
        </w:rPr>
        <w:t>Termination or expiration of this Agreement are neither Party’s exclusive remedy and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All other rights and obligations will terminate upon expiration of this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MISCELLANEOUS</w:t>
      </w:r>
    </w:p>
    <w:p>
      <w:pPr>
        <w:spacing w:after="0" w:line="117" w:lineRule="exact"/>
        <w:rPr>
          <w:sz w:val="20"/>
          <w:szCs w:val="20"/>
          <w:color w:val="auto"/>
        </w:rPr>
      </w:pPr>
    </w:p>
    <w:p>
      <w:pPr>
        <w:ind w:left="440"/>
        <w:spacing w:after="0" w:line="274" w:lineRule="auto"/>
        <w:rPr>
          <w:sz w:val="20"/>
          <w:szCs w:val="20"/>
          <w:color w:val="auto"/>
        </w:rPr>
      </w:pPr>
      <w:r>
        <w:rPr>
          <w:rFonts w:ascii="Arial" w:cs="Arial" w:eastAsia="Arial" w:hAnsi="Arial"/>
          <w:sz w:val="17"/>
          <w:szCs w:val="17"/>
          <w:b w:val="1"/>
          <w:bCs w:val="1"/>
          <w:color w:val="auto"/>
        </w:rPr>
        <w:t xml:space="preserve">Section 10.1 Entire Agreement; Amendment. </w:t>
      </w:r>
      <w:r>
        <w:rPr>
          <w:rFonts w:ascii="Arial" w:cs="Arial" w:eastAsia="Arial" w:hAnsi="Arial"/>
          <w:sz w:val="17"/>
          <w:szCs w:val="17"/>
          <w:color w:val="auto"/>
        </w:rPr>
        <w:t>This Agreement and all Exhibits attached to this Agreement constitute the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Parties as to the subject matter hereof. All prior and contemporaneous negotiations, representations, warranties, agreements, statements, promises and understandings with respect to the subject matter of this Agreement are hereby superseded and merged into, extinguished by and completely expressed by this Agreement. None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all Parties.</w:t>
      </w:r>
    </w:p>
    <w:p>
      <w:pPr>
        <w:spacing w:after="0" w:line="65" w:lineRule="exact"/>
        <w:rPr>
          <w:sz w:val="20"/>
          <w:szCs w:val="20"/>
          <w:color w:val="auto"/>
        </w:rPr>
      </w:pPr>
    </w:p>
    <w:p>
      <w:pPr>
        <w:ind w:left="440" w:right="40"/>
        <w:spacing w:after="0" w:line="255" w:lineRule="auto"/>
        <w:rPr>
          <w:sz w:val="20"/>
          <w:szCs w:val="20"/>
          <w:color w:val="auto"/>
        </w:rPr>
      </w:pPr>
      <w:r>
        <w:rPr>
          <w:rFonts w:ascii="Arial" w:cs="Arial" w:eastAsia="Arial" w:hAnsi="Arial"/>
          <w:sz w:val="18"/>
          <w:szCs w:val="18"/>
          <w:b w:val="1"/>
          <w:bCs w:val="1"/>
          <w:color w:val="auto"/>
        </w:rPr>
        <w:t xml:space="preserve">Section 10.2 Section 365(n) of the Bankruptcy Code. </w:t>
      </w:r>
      <w:r>
        <w:rPr>
          <w:rFonts w:ascii="Arial" w:cs="Arial" w:eastAsia="Arial" w:hAnsi="Arial"/>
          <w:sz w:val="18"/>
          <w:szCs w:val="18"/>
          <w:color w:val="auto"/>
        </w:rPr>
        <w:t>All rights and licenses granted under or pursuant to any section of this Agreement are,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otherwise be deemed to be, for purposes of Section 365(n) of the U.S. Bankruptcy Code, licenses of rights to “intellectual property” as defined under Section 101(35A) of the U.S. Bankruptcy Code to the extent permitted thereunder. The Parties shall retain and may fully exercise all of their respective rights and elections under the U.S. Bankruptcy Code. Upon the bankruptcy of any Party, the non-bankrupt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0" w:right="439" w:bottom="1440" w:gutter="0" w:footer="0" w:header="0"/>
        </w:sectPr>
      </w:pPr>
    </w:p>
    <w:bookmarkStart w:id="457" w:name="page458"/>
    <w:bookmarkEnd w:id="457"/>
    <w:p>
      <w:pPr>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Independent Contractors. </w:t>
      </w:r>
      <w:r>
        <w:rPr>
          <w:rFonts w:ascii="Arial" w:cs="Arial" w:eastAsia="Arial" w:hAnsi="Arial"/>
          <w:sz w:val="16"/>
          <w:szCs w:val="16"/>
          <w:color w:val="auto"/>
        </w:rPr>
        <w:t>The relationship between RBNC and AMGEN created by this Agreement is solely that of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This Agreement does not create any agency, distributorship, employee-employer,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 Each Party shall use its own discretion and shall have complete and authoritative control over its employees and the details of performing its obligations under this Agreement.</w:t>
      </w:r>
    </w:p>
    <w:p>
      <w:pPr>
        <w:spacing w:after="0" w:line="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 xml:space="preserve">Section 10.4 Governing Law; Jurisdiction. </w:t>
      </w:r>
      <w:r>
        <w:rPr>
          <w:rFonts w:ascii="Arial" w:cs="Arial" w:eastAsia="Arial" w:hAnsi="Arial"/>
          <w:sz w:val="17"/>
          <w:szCs w:val="17"/>
          <w:color w:val="auto"/>
        </w:rPr>
        <w:t>This Agreement and its effect are subject to and shall be construed and enforced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law of the State of New York, without regard to its conflicts of laws, except as to any issue which depends upon the validity, scope or enforceability of any Patent Right, which issue shall be determined in accordance with the laws of the country in which such patent was issued. Each of the Parties hereby irrevocably and unconditionally consents to submit to the exclusive jurisdiction of the courts of the State of New York for any matter arising out of or relating to this Agreement and the transactions contemplated hereby, and agrees not to commence any litigation relating thereto except in such courts. Each of the Parties hereby irrevocably and unconditionally waives any objection to the laying of venue of any matter arising out of this Agreement or the transactions contemplated hereby in the courts of the State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Agreement shall be exclusively conducted in the English language.</w:t>
      </w:r>
    </w:p>
    <w:p>
      <w:pPr>
        <w:spacing w:after="0" w:line="7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Section 10.5 Notice. </w:t>
      </w:r>
      <w:r>
        <w:rPr>
          <w:rFonts w:ascii="Arial" w:cs="Arial" w:eastAsia="Arial" w:hAnsi="Arial"/>
          <w:sz w:val="18"/>
          <w:szCs w:val="18"/>
          <w:color w:val="auto"/>
        </w:rPr>
        <w:t>All notices or communication required or permitted to be given by either Party hereunder shall be deemed sufficiently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if mailed by registered mail or certified mail, return receipt requested, or sent by overnight courier, such as Federal Express, to the other Party at its respective address set forth below or to such other address as one Party shall give notice of to the other from time to time hereunder. Mailed notices shall be deemed to be received on the third (3rd) business day following the date of mailing. Notices sent by overnight courier shall be deemed received the following business day.</w:t>
      </w:r>
    </w:p>
    <w:p>
      <w:pPr>
        <w:sectPr>
          <w:pgSz w:w="11900" w:h="16838" w:orient="portrait"/>
          <w:cols w:equalWidth="0" w:num="1">
            <w:col w:w="10540"/>
          </w:cols>
          <w:pgMar w:left="880" w:top="270" w:right="479" w:bottom="1440" w:gutter="0" w:footer="0" w:header="0"/>
        </w:sectPr>
      </w:pPr>
    </w:p>
    <w:p>
      <w:pPr>
        <w:spacing w:after="0" w:line="7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RBNC:</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RBNC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Watertown, Massachusetts 02472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Chief Legal Officer</w:t>
      </w:r>
    </w:p>
    <w:p>
      <w:pPr>
        <w:spacing w:after="0" w:line="103" w:lineRule="exact"/>
        <w:rPr>
          <w:sz w:val="20"/>
          <w:szCs w:val="20"/>
          <w:color w:val="auto"/>
        </w:rPr>
      </w:pPr>
    </w:p>
    <w:p>
      <w:pPr>
        <w:sectPr>
          <w:pgSz w:w="11900" w:h="16838" w:orient="portrait"/>
          <w:cols w:equalWidth="0" w:num="2">
            <w:col w:w="1600" w:space="720"/>
            <w:col w:w="8220"/>
          </w:cols>
          <w:pgMar w:left="880" w:top="270" w:right="479" w:bottom="1440" w:gutter="0" w:footer="0" w:header="0"/>
          <w:type w:val="continuous"/>
        </w:sectPr>
      </w:pPr>
    </w:p>
    <w:p>
      <w:pPr>
        <w:ind w:left="23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Latham &amp; Watkins LLP</w:t>
      </w:r>
    </w:p>
    <w:p>
      <w:pPr>
        <w:spacing w:after="0" w:line="3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140 Scott Dr.</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Menlo Park, CA 94025</w:t>
      </w:r>
    </w:p>
    <w:p>
      <w:pPr>
        <w:spacing w:after="0" w:line="21"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10540"/>
          </w:cols>
          <w:pgMar w:left="880" w:top="270" w:right="479" w:bottom="1440" w:gutter="0" w:footer="0" w:header="0"/>
          <w:type w:val="continuous"/>
        </w:sectPr>
      </w:pP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540"/>
          </w:cols>
          <w:pgMar w:left="880" w:top="270" w:right="479" w:bottom="1440" w:gutter="0" w:footer="0" w:header="0"/>
          <w:type w:val="continuous"/>
        </w:sectPr>
      </w:pPr>
    </w:p>
    <w:bookmarkStart w:id="458" w:name="page459"/>
    <w:bookmarkEnd w:id="458"/>
    <w:p>
      <w:pPr>
        <w:ind w:left="540"/>
        <w:spacing w:after="0"/>
        <w:rPr>
          <w:sz w:val="20"/>
          <w:szCs w:val="20"/>
          <w:color w:val="auto"/>
        </w:rPr>
      </w:pPr>
      <w:r>
        <w:rPr>
          <w:rFonts w:ascii="Arial" w:cs="Arial" w:eastAsia="Arial" w:hAnsi="Arial"/>
          <w:sz w:val="17"/>
          <w:szCs w:val="17"/>
          <w:color w:val="auto"/>
        </w:rPr>
        <w:t>If to AMGEN:</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8"/>
          <w:szCs w:val="18"/>
          <w:color w:val="auto"/>
        </w:rPr>
        <w:t>Amgen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-215900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One Amgen Center Drive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Thousand Oaks, CA 91320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w:t>
      </w:r>
    </w:p>
    <w:p>
      <w:pPr>
        <w:spacing w:after="0" w:line="99" w:lineRule="exact"/>
        <w:rPr>
          <w:sz w:val="20"/>
          <w:szCs w:val="20"/>
          <w:color w:val="auto"/>
        </w:rPr>
      </w:pPr>
    </w:p>
    <w:p>
      <w:pPr>
        <w:sectPr>
          <w:pgSz w:w="11900" w:h="16838" w:orient="portrait"/>
          <w:cols w:equalWidth="0" w:num="2">
            <w:col w:w="1600" w:space="720"/>
            <w:col w:w="8240"/>
          </w:cols>
          <w:pgMar w:left="880" w:top="274" w:right="459" w:bottom="1440" w:gutter="0" w:footer="0" w:header="0"/>
        </w:sectPr>
      </w:pPr>
    </w:p>
    <w:p>
      <w:pPr>
        <w:ind w:right="180"/>
        <w:spacing w:after="0" w:line="281" w:lineRule="auto"/>
        <w:rPr>
          <w:sz w:val="20"/>
          <w:szCs w:val="20"/>
          <w:color w:val="auto"/>
        </w:rPr>
      </w:pPr>
      <w:r>
        <w:rPr>
          <w:rFonts w:ascii="Arial" w:cs="Arial" w:eastAsia="Arial" w:hAnsi="Arial"/>
          <w:sz w:val="17"/>
          <w:szCs w:val="17"/>
          <w:b w:val="1"/>
          <w:bCs w:val="1"/>
          <w:color w:val="auto"/>
        </w:rPr>
        <w:t xml:space="preserve">Section 10.6 Compliance With Law; Severability. </w:t>
      </w:r>
      <w:r>
        <w:rPr>
          <w:rFonts w:ascii="Arial" w:cs="Arial" w:eastAsia="Arial" w:hAnsi="Arial"/>
          <w:sz w:val="17"/>
          <w:szCs w:val="17"/>
          <w:color w:val="auto"/>
        </w:rPr>
        <w:t>Nothing in this Agreement shall be construed to require the commission of any act contrary</w:t>
      </w:r>
      <w:r>
        <w:rPr>
          <w:rFonts w:ascii="Arial" w:cs="Arial" w:eastAsia="Arial" w:hAnsi="Arial"/>
          <w:sz w:val="17"/>
          <w:szCs w:val="17"/>
          <w:b w:val="1"/>
          <w:bCs w:val="1"/>
          <w:color w:val="auto"/>
        </w:rPr>
        <w:t xml:space="preserve"> </w:t>
      </w:r>
      <w:r>
        <w:rPr>
          <w:rFonts w:ascii="Arial" w:cs="Arial" w:eastAsia="Arial" w:hAnsi="Arial"/>
          <w:sz w:val="17"/>
          <w:szCs w:val="17"/>
          <w:color w:val="auto"/>
        </w:rPr>
        <w:t>to 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5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Section 10.7 Non-Use of Names. </w:t>
      </w:r>
      <w:r>
        <w:rPr>
          <w:rFonts w:ascii="Arial" w:cs="Arial" w:eastAsia="Arial" w:hAnsi="Arial"/>
          <w:sz w:val="18"/>
          <w:szCs w:val="18"/>
          <w:color w:val="auto"/>
        </w:rPr>
        <w:t>AMGEN shall not use the name, trademark, logo, or physical likeness of RBNC or any of its officers,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employees, or any adaptation of any of them, in any advertising, promotional or sales literature, without RBNC’s prior written consent. AMGEN shall require its Affiliates to comply with the foregoing. RBNC shall not use the name, trademark, logo, or physical likeness of AMGEN or any of its officers, directors or employees, or any adaptation of any of them, in any advertising, promotional or sales literature, without AMGEN’s prior written consent. RBNC shall require its Affiliates and Sublicensees to comply with the foregoing (with respect to Sublicensees, in connection with each such Sublicensee’s sublicense).</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Section 10.8 Successors and Assigns. </w:t>
      </w:r>
      <w:r>
        <w:rPr>
          <w:rFonts w:ascii="Arial" w:cs="Arial" w:eastAsia="Arial" w:hAnsi="Arial"/>
          <w:sz w:val="17"/>
          <w:szCs w:val="17"/>
          <w:color w:val="auto"/>
        </w:rPr>
        <w:t>Neither this Agreement nor any of the rights or obligations created herein may be assigned by either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in whole or in part, without the prior written consent of the other Party, not to be unreasonably withheld or delayed except that either Party shall be free to assign this Agreement (a) to an Affiliate of such Party (for so long as such Affiliate remains an Affiliate) provided that such Party shall remain liable and responsible to the other Party for the performance and observance of all such duties and obligations by such Affiliate, or (b) in connection with any merger, consolidation or sale of such Party or sale of all or substantially all of the assets of the Party that relate to this Agreement (a “</w:t>
      </w:r>
      <w:r>
        <w:rPr>
          <w:rFonts w:ascii="Arial" w:cs="Arial" w:eastAsia="Arial" w:hAnsi="Arial"/>
          <w:sz w:val="17"/>
          <w:szCs w:val="17"/>
          <w:b w:val="1"/>
          <w:bCs w:val="1"/>
          <w:color w:val="auto"/>
        </w:rPr>
        <w:t>Sale Transaction</w:t>
      </w:r>
      <w:r>
        <w:rPr>
          <w:rFonts w:ascii="Arial" w:cs="Arial" w:eastAsia="Arial" w:hAnsi="Arial"/>
          <w:sz w:val="17"/>
          <w:szCs w:val="17"/>
          <w:color w:val="auto"/>
        </w:rPr>
        <w:t>”), in each case without the prior consent of the non-assigning Party. This Agreement shall bind and inure to the benefit of the successors and permitted assigns of the Parties hereto. Any assignment of this Agreement in contravention of this Section 10.8 (Successors and Assigns) shall be null and void.</w:t>
      </w:r>
    </w:p>
    <w:p>
      <w:pPr>
        <w:spacing w:after="0" w:line="64"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Section 10.9 Sale Transaction or AMGEN Acquisition. </w:t>
      </w:r>
      <w:r>
        <w:rPr>
          <w:rFonts w:ascii="Arial" w:cs="Arial" w:eastAsia="Arial" w:hAnsi="Arial"/>
          <w:sz w:val="17"/>
          <w:szCs w:val="17"/>
          <w:color w:val="auto"/>
        </w:rPr>
        <w:t>In the event of (x) a Sale Transaction, or (y) the acquisition by AMGEN of all or</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substantially all of the business of a Third Party (together with any entities that were Affiliates of such Third Party immediately prior to such acquisition, an “</w:t>
      </w:r>
      <w:r>
        <w:rPr>
          <w:rFonts w:ascii="Arial" w:cs="Arial" w:eastAsia="Arial" w:hAnsi="Arial"/>
          <w:sz w:val="17"/>
          <w:szCs w:val="17"/>
          <w:b w:val="1"/>
          <w:bCs w:val="1"/>
          <w:color w:val="auto"/>
        </w:rPr>
        <w:t>AMGEN Acquiree</w:t>
      </w:r>
      <w:r>
        <w:rPr>
          <w:rFonts w:ascii="Arial" w:cs="Arial" w:eastAsia="Arial" w:hAnsi="Arial"/>
          <w:sz w:val="17"/>
          <w:szCs w:val="17"/>
          <w:color w:val="auto"/>
        </w:rPr>
        <w:t>”), whether by merger, sale of stock, sale of assets or otherwise (an “</w:t>
      </w:r>
      <w:r>
        <w:rPr>
          <w:rFonts w:ascii="Arial" w:cs="Arial" w:eastAsia="Arial" w:hAnsi="Arial"/>
          <w:sz w:val="17"/>
          <w:szCs w:val="17"/>
          <w:b w:val="1"/>
          <w:bCs w:val="1"/>
          <w:color w:val="auto"/>
        </w:rPr>
        <w:t>AMGEN Acquisition</w:t>
      </w:r>
      <w:r>
        <w:rPr>
          <w:rFonts w:ascii="Arial" w:cs="Arial" w:eastAsia="Arial" w:hAnsi="Arial"/>
          <w:sz w:val="17"/>
          <w:szCs w:val="17"/>
          <w:color w:val="auto"/>
        </w:rPr>
        <w:t>”), intellectual property rights of the acquiring party in a Sale Transaction, if other than one of the Parties to this Agreement (together with any entities that were affiliates of such Third Party immediately prior to such Sale Transaction, a “</w:t>
      </w:r>
      <w:r>
        <w:rPr>
          <w:rFonts w:ascii="Arial" w:cs="Arial" w:eastAsia="Arial" w:hAnsi="Arial"/>
          <w:sz w:val="17"/>
          <w:szCs w:val="17"/>
          <w:b w:val="1"/>
          <w:bCs w:val="1"/>
          <w:color w:val="auto"/>
        </w:rPr>
        <w:t>Third Party Acquirer</w:t>
      </w:r>
      <w:r>
        <w:rPr>
          <w:rFonts w:ascii="Arial" w:cs="Arial" w:eastAsia="Arial" w:hAnsi="Arial"/>
          <w:sz w:val="17"/>
          <w:szCs w:val="17"/>
          <w:color w:val="auto"/>
        </w:rPr>
        <w:t>”), or the AMGEN Acquiree, as applicable, shall not be included in the technology licensed hereunder or otherwise subject to this Agreement.</w:t>
      </w:r>
    </w:p>
    <w:p>
      <w:pPr>
        <w:spacing w:after="0" w:line="65"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 xml:space="preserve">Section 10.10 Waivers. </w:t>
      </w:r>
      <w:r>
        <w:rPr>
          <w:rFonts w:ascii="Arial" w:cs="Arial" w:eastAsia="Arial" w:hAnsi="Arial"/>
          <w:sz w:val="16"/>
          <w:szCs w:val="16"/>
          <w:color w:val="auto"/>
        </w:rPr>
        <w:t>A Party’s consent to or waiver, express or implied, of any other Party’s breach of its obligations hereunder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or construed as a consent to or waiver of any other breach of the same or any other obligations of such breaching Party.</w:t>
      </w:r>
    </w:p>
    <w:p>
      <w:pPr>
        <w:spacing w:after="0" w:line="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60"/>
          </w:cols>
          <w:pgMar w:left="880" w:top="274" w:right="459" w:bottom="1440" w:gutter="0" w:footer="0" w:header="0"/>
          <w:type w:val="continuous"/>
        </w:sectPr>
      </w:pPr>
    </w:p>
    <w:bookmarkStart w:id="459" w:name="page460"/>
    <w:bookmarkEnd w:id="45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80"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Section 10.11 No Third Party Beneficiaries. </w:t>
      </w:r>
      <w:r>
        <w:rPr>
          <w:rFonts w:ascii="Arial" w:cs="Arial" w:eastAsia="Arial" w:hAnsi="Arial"/>
          <w:sz w:val="16"/>
          <w:szCs w:val="16"/>
          <w:color w:val="auto"/>
        </w:rPr>
        <w:t>Except as expressly provided with respect to AMGEN Indemnified Parties and RBNC Indemnified</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in Article 7 (Indemnification), nothing in this Agreement shall be construed as giving any Person, other than the Parties hereto and their successors and permitted assigns, any right, remedy or claim under or in respect of this Agreement or any provision hereof.</w:t>
      </w:r>
    </w:p>
    <w:p>
      <w:pPr>
        <w:spacing w:after="0" w:line="3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10.12 Performance by Affiliates. </w:t>
      </w:r>
      <w:r>
        <w:rPr>
          <w:rFonts w:ascii="Arial" w:cs="Arial" w:eastAsia="Arial" w:hAnsi="Arial"/>
          <w:sz w:val="18"/>
          <w:szCs w:val="18"/>
          <w:color w:val="auto"/>
        </w:rPr>
        <w:t>RBNC shall have the right to exercise its rights and perform its obligations under this Agreement either</w:t>
      </w:r>
      <w:r>
        <w:rPr>
          <w:rFonts w:ascii="Arial" w:cs="Arial" w:eastAsia="Arial" w:hAnsi="Arial"/>
          <w:sz w:val="18"/>
          <w:szCs w:val="18"/>
          <w:b w:val="1"/>
          <w:bCs w:val="1"/>
          <w:color w:val="auto"/>
        </w:rPr>
        <w:t xml:space="preserve"> </w:t>
      </w:r>
      <w:r>
        <w:rPr>
          <w:rFonts w:ascii="Arial" w:cs="Arial" w:eastAsia="Arial" w:hAnsi="Arial"/>
          <w:sz w:val="18"/>
          <w:szCs w:val="18"/>
          <w:color w:val="auto"/>
        </w:rPr>
        <w:t>itself or through any of its Affiliates.</w:t>
      </w:r>
    </w:p>
    <w:p>
      <w:pPr>
        <w:spacing w:after="0" w:line="54"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Section 10.13 Headings; Exhibits. </w:t>
      </w:r>
      <w:r>
        <w:rPr>
          <w:rFonts w:ascii="Arial" w:cs="Arial" w:eastAsia="Arial" w:hAnsi="Arial"/>
          <w:sz w:val="18"/>
          <w:szCs w:val="18"/>
          <w:color w:val="auto"/>
        </w:rPr>
        <w:t>Article and Section headings used herein are for convenient reference only, and are not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Exhibits are incorporated herein by this reference.</w:t>
      </w:r>
    </w:p>
    <w:p>
      <w:pPr>
        <w:spacing w:after="0" w:line="5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Section 10.14 Interpretation. </w:t>
      </w:r>
      <w:r>
        <w:rPr>
          <w:rFonts w:ascii="Arial" w:cs="Arial" w:eastAsia="Arial" w:hAnsi="Arial"/>
          <w:sz w:val="16"/>
          <w:szCs w:val="16"/>
          <w:color w:val="auto"/>
        </w:rPr>
        <w:t>Except where the context otherwise requires, wherever used, the singular shall include the plural, the plural the</w:t>
      </w:r>
      <w:r>
        <w:rPr>
          <w:rFonts w:ascii="Arial" w:cs="Arial" w:eastAsia="Arial" w:hAnsi="Arial"/>
          <w:sz w:val="16"/>
          <w:szCs w:val="16"/>
          <w:b w:val="1"/>
          <w:bCs w:val="1"/>
          <w:color w:val="auto"/>
        </w:rPr>
        <w:t xml:space="preserve"> </w:t>
      </w:r>
      <w:r>
        <w:rPr>
          <w:rFonts w:ascii="Arial" w:cs="Arial" w:eastAsia="Arial" w:hAnsi="Arial"/>
          <w:sz w:val="16"/>
          <w:szCs w:val="16"/>
          <w:color w:val="auto"/>
        </w:rPr>
        <w:t>singular, the use of any gender shall be applicable to all genders and the word “or” is used in the inclusive sense (and/or). The term “including” as used herein shall mean including, without limiting the generality of any description preceding such term. The term “will” as used herein means shall. All references to a “business day” or “business days” in this Agreement means any day other than a day which is a Saturday, a Sunday or any day banks are authorized or required to be closed in the United States. The language in all parts of this Agreement shall be deemed to be the language mutually chosen by the Parties. The Parties and their counsel have cooperated in the drafting and preparation of this Agreement, and this Agreement therefore shall not be construed against any Party by virtue of its role as the drafter thereof.</w:t>
      </w:r>
    </w:p>
    <w:p>
      <w:pPr>
        <w:spacing w:after="0" w:line="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Section 10.15 Equitable Relief. </w:t>
      </w:r>
      <w:r>
        <w:rPr>
          <w:rFonts w:ascii="Arial" w:cs="Arial" w:eastAsia="Arial" w:hAnsi="Arial"/>
          <w:sz w:val="18"/>
          <w:szCs w:val="18"/>
          <w:color w:val="auto"/>
        </w:rPr>
        <w:t>Each Party acknowledges that a breach by it of the provisions of this Agreement may not reasonably or</w:t>
      </w:r>
      <w:r>
        <w:rPr>
          <w:rFonts w:ascii="Arial" w:cs="Arial" w:eastAsia="Arial" w:hAnsi="Arial"/>
          <w:sz w:val="18"/>
          <w:szCs w:val="18"/>
          <w:b w:val="1"/>
          <w:bCs w:val="1"/>
          <w:color w:val="auto"/>
        </w:rPr>
        <w:t xml:space="preserve"> </w:t>
      </w:r>
      <w:r>
        <w:rPr>
          <w:rFonts w:ascii="Arial" w:cs="Arial" w:eastAsia="Arial" w:hAnsi="Arial"/>
          <w:sz w:val="18"/>
          <w:szCs w:val="18"/>
          <w:color w:val="auto"/>
        </w:rPr>
        <w:t>adequately be compensated in damages in an action at law and that such a breach may cause the other Party irreparable injury and damage. By reason thereof, each Party agrees that the other Party is entitled to seek, in addition to any other remedies it may have under this Agreement or otherwise, preliminary and permanent injunctive and other equitable relief to prevent or curtail any breach of this Agreement by the other Party and is otherwise entitled to specific performance of the terms hereof; provided, however, that no specification in this Agreement of a specific legal or equitable remedy will be construed as a waiver or prohibition against the pursuing of other legal or equitable remedies in the event of such a breach.</w:t>
      </w:r>
    </w:p>
    <w:p>
      <w:pPr>
        <w:spacing w:after="0" w:line="1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60"/>
          </w:cols>
          <w:pgMar w:left="880" w:top="274" w:right="459" w:bottom="1440" w:gutter="0" w:footer="0" w:header="0"/>
        </w:sectPr>
      </w:pPr>
    </w:p>
    <w:bookmarkStart w:id="460" w:name="page461"/>
    <w:bookmarkEnd w:id="460"/>
    <w:p>
      <w:pPr>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10.16 Force Majeure. </w:t>
      </w:r>
      <w:r>
        <w:rPr>
          <w:rFonts w:ascii="Arial" w:cs="Arial" w:eastAsia="Arial" w:hAnsi="Arial"/>
          <w:sz w:val="17"/>
          <w:szCs w:val="17"/>
          <w:color w:val="auto"/>
        </w:rPr>
        <w:t>Neither Party shall be held liable or responsible to the other Party, nor be deemed to have defaulted under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breached this Agreement, for failure or delay in fulfilling or performing any term of this Agreement to the extent, and for so long as, such failure or delay is caused by or results from causes beyond the reasonable control of the affected Party, including fire, floods, embargoes, power shortage or failure, acts of war (whether war be declared or not), insurrections, riots, terrorism, civil commotions, strikes, a pandemic (including COVID19 related interruptions), lockouts or other labor disturbances, acts of God, or any acts, omissions, or delays in acting by any governmental authority or the other Party;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the affected Party promptly notifies the other Party in writing (and continues to provide monthly status updates to the other Party for the duration of the effect); and </w:t>
      </w:r>
      <w:r>
        <w:rPr>
          <w:rFonts w:ascii="Arial" w:cs="Arial" w:eastAsia="Arial" w:hAnsi="Arial"/>
          <w:sz w:val="17"/>
          <w:szCs w:val="17"/>
          <w:b w:val="1"/>
          <w:bCs w:val="1"/>
          <w:i w:val="1"/>
          <w:iCs w:val="1"/>
          <w:color w:val="auto"/>
        </w:rPr>
        <w:t>provided further, however,</w:t>
      </w:r>
      <w:r>
        <w:rPr>
          <w:rFonts w:ascii="Arial" w:cs="Arial" w:eastAsia="Arial" w:hAnsi="Arial"/>
          <w:sz w:val="17"/>
          <w:szCs w:val="17"/>
          <w:color w:val="auto"/>
        </w:rPr>
        <w:t xml:space="preserve"> that the affected Party shall use its commercially reasonable efforts to avoid or remove such causes of non-performance and to mitigate the effect of such occurrence, and shall continue performance with reasonable dispatch whenever such causes are removed.</w:t>
      </w:r>
    </w:p>
    <w:p>
      <w:pPr>
        <w:spacing w:after="0" w:line="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Section 10.17 Further Assurances. </w:t>
      </w:r>
      <w:r>
        <w:rPr>
          <w:rFonts w:ascii="Arial" w:cs="Arial" w:eastAsia="Arial" w:hAnsi="Arial"/>
          <w:sz w:val="18"/>
          <w:szCs w:val="18"/>
          <w:color w:val="auto"/>
        </w:rPr>
        <w:t>Each Party shall execute, acknowledge, and deliver such further instructions, and to do all such other acts,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necessary or appropriate in order to carry out the purposes and intent of this Agreement.</w:t>
      </w:r>
    </w:p>
    <w:p>
      <w:pPr>
        <w:spacing w:after="0" w:line="54"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 xml:space="preserve">Section 10.18 Counterparts. </w:t>
      </w:r>
      <w:r>
        <w:rPr>
          <w:rFonts w:ascii="Arial" w:cs="Arial" w:eastAsia="Arial" w:hAnsi="Arial"/>
          <w:sz w:val="16"/>
          <w:szCs w:val="16"/>
          <w:color w:val="auto"/>
        </w:rPr>
        <w:t>This Agreement may be executed in counterparts by a single Party, each of which when taken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and the same agreement, and may be executed through the use of facsimiles or .pdf or other electronically transmitted documents.</w:t>
      </w:r>
    </w:p>
    <w:p>
      <w:pPr>
        <w:spacing w:after="0" w:line="12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20"/>
          </w:cols>
          <w:pgMar w:left="880" w:top="270" w:right="499" w:bottom="1440" w:gutter="0" w:footer="0" w:header="0"/>
        </w:sectPr>
      </w:pPr>
    </w:p>
    <w:bookmarkStart w:id="461" w:name="page462"/>
    <w:bookmarkEnd w:id="4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have executed this Agreement as of the Execution Date.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RBNC THERAPEUTICS, INC.</w:t>
            </w:r>
          </w:p>
        </w:tc>
        <w:tc>
          <w:tcPr>
            <w:tcW w:w="1620" w:type="dxa"/>
            <w:vAlign w:val="bottom"/>
          </w:tcPr>
          <w:p>
            <w:pPr>
              <w:spacing w:after="0"/>
              <w:rPr>
                <w:sz w:val="20"/>
                <w:szCs w:val="20"/>
                <w:color w:val="auto"/>
              </w:rPr>
            </w:pP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AMGEN INC.</w:t>
            </w:r>
          </w:p>
        </w:tc>
      </w:tr>
      <w:tr>
        <w:trPr>
          <w:trHeight w:val="391"/>
        </w:trPr>
        <w:tc>
          <w:tcPr>
            <w:tcW w:w="2820" w:type="dxa"/>
            <w:vAlign w:val="bottom"/>
            <w:gridSpan w:val="2"/>
          </w:tcPr>
          <w:p>
            <w:pPr>
              <w:spacing w:after="0"/>
              <w:rPr>
                <w:sz w:val="20"/>
                <w:szCs w:val="20"/>
                <w:color w:val="auto"/>
              </w:rPr>
            </w:pPr>
            <w:r>
              <w:rPr>
                <w:rFonts w:ascii="Arial" w:cs="Arial" w:eastAsia="Arial" w:hAnsi="Arial"/>
                <w:sz w:val="18"/>
                <w:szCs w:val="18"/>
                <w:color w:val="auto"/>
              </w:rPr>
              <w:t>By: /s/ Paul Berns</w:t>
            </w:r>
          </w:p>
        </w:tc>
        <w:tc>
          <w:tcPr>
            <w:tcW w:w="1620" w:type="dxa"/>
            <w:vAlign w:val="bottom"/>
          </w:tcPr>
          <w:p>
            <w:pPr>
              <w:spacing w:after="0"/>
              <w:rPr>
                <w:sz w:val="24"/>
                <w:szCs w:val="24"/>
                <w:color w:val="auto"/>
              </w:rPr>
            </w:pP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By: /s/ Robert A. Bradway</w:t>
            </w:r>
          </w:p>
        </w:tc>
      </w:tr>
      <w:tr>
        <w:trPr>
          <w:trHeight w:val="20"/>
        </w:trPr>
        <w:tc>
          <w:tcPr>
            <w:tcW w:w="30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r>
      <w:tr>
        <w:trPr>
          <w:trHeight w:val="222"/>
        </w:trPr>
        <w:tc>
          <w:tcPr>
            <w:tcW w:w="2820" w:type="dxa"/>
            <w:vAlign w:val="bottom"/>
            <w:gridSpan w:val="2"/>
          </w:tcPr>
          <w:p>
            <w:pPr>
              <w:spacing w:after="0"/>
              <w:rPr>
                <w:sz w:val="20"/>
                <w:szCs w:val="20"/>
                <w:color w:val="auto"/>
              </w:rPr>
            </w:pPr>
            <w:r>
              <w:rPr>
                <w:rFonts w:ascii="Arial" w:cs="Arial" w:eastAsia="Arial" w:hAnsi="Arial"/>
                <w:sz w:val="18"/>
                <w:szCs w:val="18"/>
                <w:color w:val="auto"/>
              </w:rPr>
              <w:t>Name: Paul Berns</w:t>
            </w:r>
          </w:p>
        </w:tc>
        <w:tc>
          <w:tcPr>
            <w:tcW w:w="1620" w:type="dxa"/>
            <w:vAlign w:val="bottom"/>
          </w:tcPr>
          <w:p>
            <w:pPr>
              <w:spacing w:after="0"/>
              <w:rPr>
                <w:sz w:val="19"/>
                <w:szCs w:val="19"/>
                <w:color w:val="auto"/>
              </w:rPr>
            </w:pP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Name: Robert A. Bradway</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Title: Chief Executive Officer</w:t>
            </w:r>
          </w:p>
        </w:tc>
        <w:tc>
          <w:tcPr>
            <w:tcW w:w="1620" w:type="dxa"/>
            <w:vAlign w:val="bottom"/>
          </w:tcPr>
          <w:p>
            <w:pPr>
              <w:spacing w:after="0"/>
              <w:rPr>
                <w:sz w:val="20"/>
                <w:szCs w:val="20"/>
                <w:color w:val="auto"/>
              </w:rPr>
            </w:pP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Title: Chairman of the Board, CEO &amp; President</w:t>
            </w:r>
          </w:p>
        </w:tc>
      </w:tr>
      <w:tr>
        <w:trPr>
          <w:trHeight w:val="432"/>
        </w:trPr>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460" w:type="dxa"/>
            <w:vAlign w:val="bottom"/>
            <w:gridSpan w:val="3"/>
          </w:tcPr>
          <w:p>
            <w:pPr>
              <w:ind w:left="520"/>
              <w:spacing w:after="0"/>
              <w:rPr>
                <w:sz w:val="20"/>
                <w:szCs w:val="20"/>
                <w:color w:val="auto"/>
              </w:rPr>
            </w:pPr>
            <w:r>
              <w:rPr>
                <w:rFonts w:ascii="Arial" w:cs="Arial" w:eastAsia="Arial" w:hAnsi="Arial"/>
                <w:sz w:val="18"/>
                <w:szCs w:val="18"/>
                <w:i w:val="1"/>
                <w:iCs w:val="1"/>
                <w:color w:val="auto"/>
              </w:rPr>
              <w:t>[Signature Page to Exclusive License Agreement [GCASE]]</w:t>
            </w:r>
          </w:p>
        </w:tc>
      </w:tr>
    </w:tbl>
    <w:p>
      <w:pPr>
        <w:sectPr>
          <w:pgSz w:w="11900" w:h="16838" w:orient="portrait"/>
          <w:cols w:equalWidth="0" w:num="1">
            <w:col w:w="10280"/>
          </w:cols>
          <w:pgMar w:left="440" w:top="270" w:right="1179" w:bottom="1440" w:gutter="0" w:footer="0" w:header="0"/>
        </w:sectPr>
      </w:pPr>
    </w:p>
    <w:bookmarkStart w:id="462" w:name="page463"/>
    <w:bookmarkEnd w:id="462"/>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LICENSED KNOW-HOW, LICENSED MATERIALS and LICENSED PATENTS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63" w:name="page464"/>
    <w:bookmarkEnd w:id="463"/>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right"/>
        <w:ind w:right="3439"/>
        <w:spacing w:after="0"/>
        <w:rPr>
          <w:sz w:val="20"/>
          <w:szCs w:val="20"/>
          <w:color w:val="auto"/>
        </w:rPr>
      </w:pPr>
      <w:r>
        <w:rPr>
          <w:rFonts w:ascii="Arial" w:cs="Arial" w:eastAsia="Arial" w:hAnsi="Arial"/>
          <w:sz w:val="18"/>
          <w:szCs w:val="18"/>
          <w:b w:val="1"/>
          <w:bCs w:val="1"/>
          <w:color w:val="auto"/>
        </w:rPr>
        <w:t>LICENSED COMPOUNDS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ectPr>
          <w:pgSz w:w="11900" w:h="16838" w:orient="portrait"/>
          <w:cols w:equalWidth="0" w:num="1">
            <w:col w:w="10019"/>
          </w:cols>
          <w:pgMar w:left="440" w:top="270" w:right="1440" w:bottom="1440" w:gutter="0" w:footer="0" w:header="0"/>
        </w:sectPr>
      </w:pPr>
    </w:p>
    <w:bookmarkStart w:id="464" w:name="page465"/>
    <w:bookmarkEnd w:id="464"/>
    <w:p>
      <w:pPr>
        <w:jc w:val="right"/>
        <w:spacing w:after="0"/>
        <w:rPr>
          <w:sz w:val="20"/>
          <w:szCs w:val="20"/>
          <w:color w:val="auto"/>
        </w:rPr>
      </w:pPr>
      <w:r>
        <w:rPr>
          <w:rFonts w:ascii="Arial" w:cs="Arial" w:eastAsia="Arial" w:hAnsi="Arial"/>
          <w:sz w:val="18"/>
          <w:szCs w:val="18"/>
          <w:b w:val="1"/>
          <w:bCs w:val="1"/>
          <w:color w:val="auto"/>
        </w:rPr>
        <w:t>Exhibit 10.5(a)</w:t>
      </w:r>
    </w:p>
    <w:p>
      <w:pPr>
        <w:spacing w:after="0" w:line="225" w:lineRule="exact"/>
        <w:rPr>
          <w:sz w:val="20"/>
          <w:szCs w:val="20"/>
          <w:color w:val="auto"/>
        </w:rPr>
      </w:pPr>
    </w:p>
    <w:p>
      <w:pPr>
        <w:ind w:left="4" w:right="200" w:hanging="4"/>
        <w:spacing w:after="0" w:line="282" w:lineRule="auto"/>
        <w:tabs>
          <w:tab w:leader="none" w:pos="439"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is treated by the Registrant as private or confidential.</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225"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color w:val="auto"/>
        </w:rPr>
        <w:t xml:space="preserve">This License Agreement is effective as of November 23, 2015 (the “Effective Date”), by and between </w:t>
      </w:r>
      <w:r>
        <w:rPr>
          <w:rFonts w:ascii="Arial" w:cs="Arial" w:eastAsia="Arial" w:hAnsi="Arial"/>
          <w:sz w:val="18"/>
          <w:szCs w:val="18"/>
          <w:b w:val="1"/>
          <w:bCs w:val="1"/>
          <w:color w:val="auto"/>
        </w:rPr>
        <w:t>THE SCRIPPS RESEARCH INSTITUTE</w:t>
      </w:r>
      <w:r>
        <w:rPr>
          <w:rFonts w:ascii="Arial" w:cs="Arial" w:eastAsia="Arial" w:hAnsi="Arial"/>
          <w:sz w:val="18"/>
          <w:szCs w:val="18"/>
          <w:color w:val="auto"/>
        </w:rPr>
        <w:t xml:space="preserve">, a California nonprofit public benefit corporation (“TSRI”), and </w:t>
      </w:r>
      <w:r>
        <w:rPr>
          <w:rFonts w:ascii="Arial" w:cs="Arial" w:eastAsia="Arial" w:hAnsi="Arial"/>
          <w:sz w:val="18"/>
          <w:szCs w:val="18"/>
          <w:b w:val="1"/>
          <w:bCs w:val="1"/>
          <w:color w:val="auto"/>
        </w:rPr>
        <w:t>BLACKTHORN THERAPEUTICS, INC.</w:t>
      </w:r>
      <w:r>
        <w:rPr>
          <w:rFonts w:ascii="Arial" w:cs="Arial" w:eastAsia="Arial" w:hAnsi="Arial"/>
          <w:sz w:val="18"/>
          <w:szCs w:val="18"/>
          <w:color w:val="auto"/>
        </w:rPr>
        <w:t xml:space="preserve"> (“Licensee”), a Delaware corporation located at 329 Oyster Point Blvd, South San Francisco, 94080.</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TSRI is engaged in fundamental scientific biomedical and biochemical research including research relating to KOR Modulators,</w:t>
      </w:r>
      <w:r>
        <w:rPr>
          <w:rFonts w:ascii="Arial" w:cs="Arial" w:eastAsia="Arial" w:hAnsi="Arial"/>
          <w:sz w:val="18"/>
          <w:szCs w:val="18"/>
          <w:b w:val="1"/>
          <w:bCs w:val="1"/>
          <w:color w:val="auto"/>
        </w:rPr>
        <w:t xml:space="preserve"> </w:t>
      </w:r>
      <w:r>
        <w:rPr>
          <w:rFonts w:ascii="Arial" w:cs="Arial" w:eastAsia="Arial" w:hAnsi="Arial"/>
          <w:sz w:val="18"/>
          <w:szCs w:val="18"/>
          <w:color w:val="auto"/>
        </w:rPr>
        <w:t>V1aR Modulators and OTR Modulators (each as defined below) originating out of the [***].</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Licensee is engaged therapeutics and diagnostics for human and animal health.</w:t>
      </w:r>
    </w:p>
    <w:p>
      <w:pPr>
        <w:spacing w:after="0" w:line="225" w:lineRule="exact"/>
        <w:rPr>
          <w:sz w:val="20"/>
          <w:szCs w:val="20"/>
          <w:color w:val="auto"/>
        </w:rPr>
      </w:pPr>
    </w:p>
    <w:p>
      <w:pPr>
        <w:ind w:left="4" w:right="4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TSRI has disclosed to Licensee certain technology and TSRI has the right to grant a license to the technology, subject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the U.S. Government resulting from the receipt by TSRI of certain funding from the U.S. Government.</w:t>
      </w:r>
    </w:p>
    <w:p>
      <w:pPr>
        <w:spacing w:after="0" w:line="162"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TSRI desires to grant to Licensee, and Licensee wishes to acquire from TSRI, an exclusive license to certain patent rights of TSRI,</w:t>
      </w:r>
      <w:r>
        <w:rPr>
          <w:rFonts w:ascii="Arial" w:cs="Arial" w:eastAsia="Arial" w:hAnsi="Arial"/>
          <w:sz w:val="18"/>
          <w:szCs w:val="18"/>
          <w:b w:val="1"/>
          <w:bCs w:val="1"/>
          <w:color w:val="auto"/>
        </w:rPr>
        <w:t xml:space="preserve"> </w:t>
      </w:r>
      <w:r>
        <w:rPr>
          <w:rFonts w:ascii="Arial" w:cs="Arial" w:eastAsia="Arial" w:hAnsi="Arial"/>
          <w:sz w:val="18"/>
          <w:szCs w:val="18"/>
          <w:color w:val="auto"/>
        </w:rPr>
        <w:t>all subject to the terms and conditions set forth herein.</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in consideration of the mutual covenants and conditions set forth herein, TSRI and Licensee hereby agree as follows:</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ARTICLE ONE.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Capitalized terms shall have the meaning set forth herein.</w:t>
      </w:r>
    </w:p>
    <w:p>
      <w:pPr>
        <w:spacing w:after="0" w:line="225" w:lineRule="exact"/>
        <w:rPr>
          <w:sz w:val="20"/>
          <w:szCs w:val="20"/>
          <w:color w:val="auto"/>
        </w:rPr>
      </w:pPr>
    </w:p>
    <w:p>
      <w:pPr>
        <w:ind w:left="4" w:right="60"/>
        <w:spacing w:after="0" w:line="25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The term “Affiliate” shall mean any entity which directly or indirectly controls, or is controlled by Licensee. The term “control” as used herein means (a) in the case of corporate entities, direct or indirect ownership of at least fifty percent (50%) of the stock or shares entitled to vote for the election of directors; or (b) in the case of non-corporate entities, direct or indirect ownership of at least fifty percent (50%) of the equity interests with the power to direct the management and policies of such non-corporate entities. The term “Licensee” as used throughout this Agreement also includes its Affiliates.</w:t>
      </w:r>
    </w:p>
    <w:p>
      <w:pPr>
        <w:spacing w:after="0" w:line="399"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Challenge</w:t>
      </w:r>
      <w:r>
        <w:rPr>
          <w:rFonts w:ascii="Arial" w:cs="Arial" w:eastAsia="Arial" w:hAnsi="Arial"/>
          <w:sz w:val="17"/>
          <w:szCs w:val="17"/>
          <w:color w:val="auto"/>
        </w:rPr>
        <w:t>. Licensee or a Sublicensee will be deemed to have made a “Challenge” of the Licensed Patent Rights if Licensee or a Sublicensee:</w:t>
      </w:r>
    </w:p>
    <w:p>
      <w:pPr>
        <w:spacing w:after="0" w:line="39" w:lineRule="exact"/>
        <w:rPr>
          <w:sz w:val="20"/>
          <w:szCs w:val="20"/>
          <w:color w:val="auto"/>
        </w:rPr>
      </w:pPr>
    </w:p>
    <w:p>
      <w:pPr>
        <w:ind w:left="4" w:right="200" w:hanging="4"/>
        <w:spacing w:after="0" w:line="260" w:lineRule="auto"/>
        <w:tabs>
          <w:tab w:leader="none" w:pos="24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institutes, or causes its counsel to institute on Licensee’s or such Sublicensee’s behalf, [***]; or (b) [***]. However, the term “Challenge” shall not include [***].</w:t>
      </w:r>
    </w:p>
    <w:p>
      <w:pPr>
        <w:spacing w:after="0" w:line="397" w:lineRule="exact"/>
        <w:rPr>
          <w:sz w:val="20"/>
          <w:szCs w:val="20"/>
          <w:color w:val="auto"/>
        </w:rPr>
      </w:pPr>
    </w:p>
    <w:p>
      <w:pPr>
        <w:ind w:left="4" w:right="100"/>
        <w:spacing w:after="0" w:line="272"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u w:val="single" w:color="auto"/>
          <w:color w:val="auto"/>
        </w:rPr>
        <w:t>Commercially Reasonable</w:t>
      </w:r>
      <w:r>
        <w:rPr>
          <w:rFonts w:ascii="Arial" w:cs="Arial" w:eastAsia="Arial" w:hAnsi="Arial"/>
          <w:sz w:val="17"/>
          <w:szCs w:val="17"/>
          <w:color w:val="auto"/>
        </w:rPr>
        <w:t>. The term “Commercially Reasonable” shall mean with respect to activities, efforts and requirements of Licensee in the discovery, development or the commercialization of a particular Product, [***] efforts consistent with the efforts and resources and requirements [***] in the development of product candidates or the commercialization of products of [***] taking into account all industry standard relevant factors including, as applicable and without limitations, stage of development, mechanism of action, efficacy and safety relative to competitive products in the marketplace, actual or anticipated labeling, the nature and extent of market exclusivity (including patent coverage and regulatory exclusivity), cost, actual or projected profitability ([***]) and likelihood of obtaining marketing approval. Commercially Reasonable Efforts will be determined on a market-by-market and indication-by-indication basis, and it is anticipated that the level of effort will be different for different markets and will change over time reflecting changes in the status of the Product and the markets involved.</w:t>
      </w:r>
    </w:p>
    <w:p>
      <w:pPr>
        <w:spacing w:after="0" w:line="38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u w:val="single" w:color="auto"/>
          <w:color w:val="auto"/>
        </w:rPr>
        <w:t>Compound</w:t>
      </w:r>
      <w:r>
        <w:rPr>
          <w:rFonts w:ascii="Arial" w:cs="Arial" w:eastAsia="Arial" w:hAnsi="Arial"/>
          <w:sz w:val="18"/>
          <w:szCs w:val="18"/>
          <w:color w:val="auto"/>
        </w:rPr>
        <w:t>. The term “Compound” shall mean a chemical compound or substance together with all [***] thereof along with [***].</w:t>
      </w:r>
    </w:p>
    <w:p>
      <w:pPr>
        <w:sectPr>
          <w:pgSz w:w="11900" w:h="16838" w:orient="portrait"/>
          <w:cols w:equalWidth="0" w:num="1">
            <w:col w:w="11024"/>
          </w:cols>
          <w:pgMar w:left="436" w:top="121" w:right="439" w:bottom="1440" w:gutter="0" w:footer="0" w:header="0"/>
        </w:sectPr>
      </w:pPr>
    </w:p>
    <w:bookmarkStart w:id="465" w:name="page466"/>
    <w:bookmarkEnd w:id="465"/>
    <w:p>
      <w:pPr>
        <w:ind w:left="4" w:right="40"/>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 </w:t>
      </w:r>
      <w:r>
        <w:rPr>
          <w:rFonts w:ascii="Arial" w:cs="Arial" w:eastAsia="Arial" w:hAnsi="Arial"/>
          <w:sz w:val="17"/>
          <w:szCs w:val="17"/>
          <w:b w:val="1"/>
          <w:bCs w:val="1"/>
          <w:u w:val="single" w:color="auto"/>
          <w:color w:val="auto"/>
        </w:rPr>
        <w:t>Confidential Information</w:t>
      </w:r>
      <w:r>
        <w:rPr>
          <w:rFonts w:ascii="Arial" w:cs="Arial" w:eastAsia="Arial" w:hAnsi="Arial"/>
          <w:sz w:val="17"/>
          <w:szCs w:val="17"/>
          <w:color w:val="auto"/>
        </w:rPr>
        <w:t>. The term “Confidential Information” shall mean any and all proprietary or confidential information of TSRI or Licensee that such party (the “Disclosing Party”) discloses to the other party (the “Receiving Party”) at any time and from time to time during the term of this Agreement. The provisions of this Agreement shall be considered the Confidential Information of both parties. Information shall not be considered confidential to the extent that the Receiving Party can establish by competent proof that such information:</w:t>
      </w:r>
    </w:p>
    <w:p>
      <w:pPr>
        <w:spacing w:after="0" w:line="61" w:lineRule="exact"/>
        <w:rPr>
          <w:sz w:val="20"/>
          <w:szCs w:val="20"/>
          <w:color w:val="auto"/>
        </w:rPr>
      </w:pPr>
    </w:p>
    <w:p>
      <w:pPr>
        <w:ind w:left="1244" w:hanging="253"/>
        <w:spacing w:after="0"/>
        <w:tabs>
          <w:tab w:leader="none" w:pos="124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is publicly available through no fault of the Receiving Party, either before or after it becomes known to the Receiving Party;</w:t>
      </w:r>
    </w:p>
    <w:p>
      <w:pPr>
        <w:spacing w:after="0" w:line="117" w:lineRule="exact"/>
        <w:rPr>
          <w:rFonts w:ascii="Arial" w:cs="Arial" w:eastAsia="Arial" w:hAnsi="Arial"/>
          <w:sz w:val="18"/>
          <w:szCs w:val="18"/>
          <w:color w:val="auto"/>
        </w:rPr>
      </w:pPr>
    </w:p>
    <w:p>
      <w:pPr>
        <w:ind w:left="984" w:right="100" w:firstLine="7"/>
        <w:spacing w:after="0" w:line="277" w:lineRule="auto"/>
        <w:tabs>
          <w:tab w:leader="none" w:pos="123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was known to the Receiving Party prior to the date of this Agreement, which knowledge was acquired independently and not from the Disclosing Party (or the Disclosing Party’s employees);</w:t>
      </w:r>
    </w:p>
    <w:p>
      <w:pPr>
        <w:spacing w:after="0" w:line="62" w:lineRule="exact"/>
        <w:rPr>
          <w:rFonts w:ascii="Arial" w:cs="Arial" w:eastAsia="Arial" w:hAnsi="Arial"/>
          <w:sz w:val="18"/>
          <w:szCs w:val="18"/>
          <w:color w:val="auto"/>
        </w:rPr>
      </w:pPr>
    </w:p>
    <w:p>
      <w:pPr>
        <w:ind w:left="984" w:right="740" w:firstLine="7"/>
        <w:spacing w:after="0" w:line="277" w:lineRule="auto"/>
        <w:tabs>
          <w:tab w:leader="none" w:pos="122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is subsequently disclosed to the Receiving Party in good faith by a third party who is not under any obligation to maintain the confidentiality of such information, and without breach of this Agreement by the Receiving Party; or</w:t>
      </w:r>
    </w:p>
    <w:p>
      <w:pPr>
        <w:spacing w:after="0" w:line="62" w:lineRule="exact"/>
        <w:rPr>
          <w:rFonts w:ascii="Arial" w:cs="Arial" w:eastAsia="Arial" w:hAnsi="Arial"/>
          <w:sz w:val="18"/>
          <w:szCs w:val="18"/>
          <w:color w:val="auto"/>
        </w:rPr>
      </w:pPr>
    </w:p>
    <w:p>
      <w:pPr>
        <w:ind w:left="984" w:right="300" w:firstLine="7"/>
        <w:spacing w:after="0" w:line="263" w:lineRule="auto"/>
        <w:tabs>
          <w:tab w:leader="none" w:pos="123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was independently developed by or for the Receiving Party by employees thereof who did not have access to the Disclosing Party’s Confidential Information and without the use of Confidential Information of the Disclosing Party as evidenced by Receiving Party’s written records.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Specific Confidential Information disclosed to a Receiving Party shall not be deemed to be within any of the foregoing exceptions merely because it is</w:t>
      </w:r>
    </w:p>
    <w:p>
      <w:pPr>
        <w:spacing w:after="0" w:line="46" w:lineRule="exact"/>
        <w:rPr>
          <w:sz w:val="20"/>
          <w:szCs w:val="20"/>
          <w:color w:val="auto"/>
        </w:rPr>
      </w:pPr>
    </w:p>
    <w:p>
      <w:pPr>
        <w:ind w:left="4" w:right="120" w:hanging="4"/>
        <w:spacing w:after="0" w:line="295" w:lineRule="auto"/>
        <w:tabs>
          <w:tab w:leader="none" w:pos="219" w:val="left"/>
        </w:tabs>
        <w:numPr>
          <w:ilvl w:val="0"/>
          <w:numId w:val="275"/>
        </w:numPr>
        <w:rPr>
          <w:rFonts w:ascii="Arial" w:cs="Arial" w:eastAsia="Arial" w:hAnsi="Arial"/>
          <w:sz w:val="16"/>
          <w:szCs w:val="16"/>
          <w:color w:val="auto"/>
        </w:rPr>
      </w:pPr>
      <w:r>
        <w:rPr>
          <w:rFonts w:ascii="Arial" w:cs="Arial" w:eastAsia="Arial" w:hAnsi="Arial"/>
          <w:sz w:val="16"/>
          <w:szCs w:val="16"/>
          <w:color w:val="auto"/>
        </w:rPr>
        <w:t>embraced by more general information in the public domain or in the Receiving Party’s possession; (ii) a combination of features or data that can be pieced together by combining individual features or data from multiple sources in the public domain or in the Receiving Party’s possession to reconstruct the Confidential Information, but none of which shows the entire combination; and/or (iii) a selection or part of a document or embodiment where other information in the same document or embodiment becomes part of the public domain or in the Receiving Party’s possession.</w:t>
      </w:r>
    </w:p>
    <w:p>
      <w:pPr>
        <w:spacing w:after="0" w:line="157"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u w:val="single" w:color="auto"/>
          <w:color w:val="auto"/>
        </w:rPr>
        <w:t>Derivative Products</w:t>
      </w:r>
      <w:r>
        <w:rPr>
          <w:rFonts w:ascii="Arial" w:cs="Arial" w:eastAsia="Arial" w:hAnsi="Arial"/>
          <w:sz w:val="18"/>
          <w:szCs w:val="18"/>
          <w:color w:val="auto"/>
        </w:rPr>
        <w:t>. The term “Derivative Product” shall mean any KOR Modulator, V1aR Modulator or OTR Modulator, as the case may be, in each case that is discovered by Licensee in the period starting on the Effective Date and ending on the two (2) year anniversary of the Effective Date and is not otherwise a Licensed Product or Know-How Product.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u w:val="single" w:color="auto"/>
          <w:color w:val="auto"/>
        </w:rPr>
        <w:t>Field</w:t>
      </w:r>
      <w:r>
        <w:rPr>
          <w:rFonts w:ascii="Arial" w:cs="Arial" w:eastAsia="Arial" w:hAnsi="Arial"/>
          <w:sz w:val="18"/>
          <w:szCs w:val="18"/>
          <w:color w:val="auto"/>
        </w:rPr>
        <w:t>. The term “Field” shall mean the diagnostic, prophylactic and/or therapeutic treatment of humans and animals.</w:t>
      </w:r>
    </w:p>
    <w:p>
      <w:pPr>
        <w:spacing w:after="0" w:line="225" w:lineRule="exact"/>
        <w:rPr>
          <w:sz w:val="20"/>
          <w:szCs w:val="20"/>
          <w:color w:val="auto"/>
        </w:rPr>
      </w:pPr>
    </w:p>
    <w:p>
      <w:pPr>
        <w:ind w:left="4" w:right="100"/>
        <w:spacing w:after="0" w:line="26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u w:val="single" w:color="auto"/>
          <w:color w:val="auto"/>
        </w:rPr>
        <w:t>Generic Product</w:t>
      </w:r>
      <w:r>
        <w:rPr>
          <w:rFonts w:ascii="Arial" w:cs="Arial" w:eastAsia="Arial" w:hAnsi="Arial"/>
          <w:sz w:val="18"/>
          <w:szCs w:val="18"/>
          <w:color w:val="auto"/>
        </w:rPr>
        <w:t>. The term “Generic Product” shall mean generic versions of any pharmaceutical products (other than Products developed and commercialized by Licensee, its Affiliates and Sublicensees pursuant to this Agreement) that contain the same active chemical entity(ies) as a Licensed Product and [***].</w:t>
      </w:r>
    </w:p>
    <w:p>
      <w:pPr>
        <w:spacing w:after="0" w:line="176" w:lineRule="exact"/>
        <w:rPr>
          <w:sz w:val="20"/>
          <w:szCs w:val="20"/>
          <w:color w:val="auto"/>
        </w:rPr>
      </w:pPr>
    </w:p>
    <w:p>
      <w:pPr>
        <w:jc w:val="both"/>
        <w:ind w:left="4" w:right="280"/>
        <w:spacing w:after="0" w:line="266"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Know-How Product</w:t>
      </w:r>
      <w:r>
        <w:rPr>
          <w:rFonts w:ascii="Arial" w:cs="Arial" w:eastAsia="Arial" w:hAnsi="Arial"/>
          <w:sz w:val="18"/>
          <w:szCs w:val="18"/>
          <w:color w:val="auto"/>
        </w:rPr>
        <w:t>. The term “Know-How Product” shall mean any Compound that incorporates any Licensed Know-How or was discovered, developed or made using any Licensed Know-How, the manufacture, use, sale, offer for sale or importation of which is not covered by a Valid Claim either in the country of sale or in any of the [***] (collectively, the “Major Markets”).</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u w:val="single" w:color="auto"/>
          <w:color w:val="auto"/>
        </w:rPr>
        <w:t>KOR Modulator</w:t>
      </w:r>
      <w:r>
        <w:rPr>
          <w:rFonts w:ascii="Arial" w:cs="Arial" w:eastAsia="Arial" w:hAnsi="Arial"/>
          <w:sz w:val="18"/>
          <w:szCs w:val="18"/>
          <w:color w:val="auto"/>
        </w:rPr>
        <w:t>. The term “KOR Modulator” shall mean any Compound whose [***] of Kappa Opioid Receptor activity.</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466" w:name="page467"/>
    <w:bookmarkEnd w:id="466"/>
    <w:p>
      <w:pPr>
        <w:ind w:right="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 </w:t>
      </w:r>
      <w:r>
        <w:rPr>
          <w:rFonts w:ascii="Arial" w:cs="Arial" w:eastAsia="Arial" w:hAnsi="Arial"/>
          <w:sz w:val="18"/>
          <w:szCs w:val="18"/>
          <w:b w:val="1"/>
          <w:bCs w:val="1"/>
          <w:u w:val="single" w:color="auto"/>
          <w:color w:val="auto"/>
        </w:rPr>
        <w:t>Licensed Know-How</w:t>
      </w:r>
      <w:r>
        <w:rPr>
          <w:rFonts w:ascii="Arial" w:cs="Arial" w:eastAsia="Arial" w:hAnsi="Arial"/>
          <w:sz w:val="18"/>
          <w:szCs w:val="18"/>
          <w:color w:val="auto"/>
        </w:rPr>
        <w:t>. The term “Licensed Know-How” shall mean the proprietary, unpatented information and data that are described in Exhibit A of this Agreement, which have been developed by or for TSRI and are within the possession of the laboratories of [***] at TSRI, and which have been disclosed by TSRI to Licensee under the Research Funding and Option Agreement between the parties, dated September 26, 2013, and which may also be disclosed by TSRI to Licensee under the Research Funding and Option Agreement between the parties, dated September 11, 2015 (“New Research Agreement”).</w:t>
      </w:r>
    </w:p>
    <w:p>
      <w:pPr>
        <w:spacing w:after="0" w:line="1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Licensed Patent Rights</w:t>
      </w:r>
      <w:r>
        <w:rPr>
          <w:rFonts w:ascii="Arial" w:cs="Arial" w:eastAsia="Arial" w:hAnsi="Arial"/>
          <w:sz w:val="18"/>
          <w:szCs w:val="18"/>
          <w:color w:val="auto"/>
        </w:rPr>
        <w:t>. The term “Licensed Patent Rights” shall mean (i) the patent application(s) set forth in Exhibit B of this Agreement and the resulting issued patents thereof, and (ii) TRSI’s Patent Rights for Option Products.</w:t>
      </w:r>
    </w:p>
    <w:p>
      <w:pPr>
        <w:spacing w:after="0" w:line="162"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u w:val="single" w:color="auto"/>
          <w:color w:val="auto"/>
        </w:rPr>
        <w:t>Licensed Product</w:t>
      </w:r>
      <w:r>
        <w:rPr>
          <w:rFonts w:ascii="Arial" w:cs="Arial" w:eastAsia="Arial" w:hAnsi="Arial"/>
          <w:sz w:val="18"/>
          <w:szCs w:val="18"/>
          <w:color w:val="auto"/>
        </w:rPr>
        <w:t>. The term “Licensed Product” shall mean any Compound (i) the manufacture, use, sale, offer for sale or importation of which would, in the absence of the license granted by this Agreement, infringe a Valid Claim of any of the Licensed Patent Rights; or (ii) any Compound the manufacture, use, sale, offer for sale or importation of which is covered by a Valid Claim in one or more of the Major Markets but is not covered by a Valid Claim in the country of sale.</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u w:val="single" w:color="auto"/>
          <w:color w:val="auto"/>
        </w:rPr>
        <w:t>Licensed Product Data</w:t>
      </w:r>
      <w:r>
        <w:rPr>
          <w:rFonts w:ascii="Arial" w:cs="Arial" w:eastAsia="Arial" w:hAnsi="Arial"/>
          <w:sz w:val="18"/>
          <w:szCs w:val="18"/>
          <w:color w:val="auto"/>
        </w:rPr>
        <w:t>. The term “Licensed Product Data” shall mean any data, information or other materials exclusively controlled by Licensee, including without limitation pre-clinical, clinical and other regulatory data, generated or produced by or on behalf of Licensee directly relating to a Licensed Product, Know-How Product or Option Product and which is generated or produced after the Effective Date in each case in such detail as is reasonably required (i) to provide meaningful understanding regarding the development of Licensed Products, Know-How Products and Option Products, or (ii) for submission to regulatory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u w:val="single" w:color="auto"/>
          <w:color w:val="auto"/>
        </w:rPr>
        <w:t>Milestones</w:t>
      </w:r>
      <w:r>
        <w:rPr>
          <w:rFonts w:ascii="Arial" w:cs="Arial" w:eastAsia="Arial" w:hAnsi="Arial"/>
          <w:sz w:val="18"/>
          <w:szCs w:val="18"/>
          <w:color w:val="auto"/>
        </w:rPr>
        <w:t>. The term “Milestones” shall mean the development and sales milestone payments as set forth in Section 4.3.</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u w:val="single" w:color="auto"/>
          <w:color w:val="auto"/>
        </w:rPr>
        <w:t>NDA</w:t>
      </w:r>
      <w:r>
        <w:rPr>
          <w:rFonts w:ascii="Arial" w:cs="Arial" w:eastAsia="Arial" w:hAnsi="Arial"/>
          <w:sz w:val="18"/>
          <w:szCs w:val="18"/>
          <w:color w:val="auto"/>
        </w:rPr>
        <w:t>. The term “NDA” shall mean a New Drug Application covering a Product filed with the FDA pursuant to 21 CFR 314 or an equivalent foreign filing required for marketing approval of a pharmaceutical product.</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b w:val="1"/>
          <w:bCs w:val="1"/>
          <w:u w:val="single" w:color="auto"/>
          <w:color w:val="auto"/>
        </w:rPr>
        <w:t>Net Sales</w:t>
      </w:r>
      <w:r>
        <w:rPr>
          <w:rFonts w:ascii="Arial" w:cs="Arial" w:eastAsia="Arial" w:hAnsi="Arial"/>
          <w:sz w:val="16"/>
          <w:szCs w:val="16"/>
          <w:color w:val="auto"/>
        </w:rPr>
        <w:t>. The term “Net Sales” shall mean the gross amounts invoiced by Licensee and its Sublicensees, or any of them, on all sales of Products, less the following items, to the extent directly applicable to such sales of Products (if not previously deducted from the amount invoiced): (a) reasonable and customary trade, quantity and cash discounts actually granted and authorized wholesaler chargebacks actually paid or credited by Licensee or Sublicensee to wholesalers of Products; (b) reasonable and customary rebates and retroactive price reductions actually granted; (c) credits or allowances actually granted upon claims of nonconforming Products, rejections or returns of Products including recalls; (d) freight charges for the delivery of Products; (e) the portion of the administrative fees paid during the relevant time period to group purchasing organizations, pharmaceutical benefit managers and/or government-mandated Medicare or Medicaid Prescription Drug Plans relating specifically to the Product; and (f) sales, use or excise taxes imposed and actually paid in connection with the sale of Products (but excluding any value added taxes or taxes based on income or gross receipts). Net Sales shall include all consideration charged by Licensee or Sublicensees in exchange for any Products, including without limitation any monetary payments or, with regard to any other property paid in exchange for any Products, an amount in cash equal to the fair market value of such property. For purposes of determining Net Sales, a sale shall be deemed to have occurred when an invoice therefor is delivered or generated, or when the Product is shipped for delivery, whichever occurs first. Sales of Products by Licensee to a Sublicensee or Affiliate for resale or by a Sublicensee to an Affiliate of Licensee for resale shall be excluded, and only the subsequent sale of such Products by such Affiliates or Sublicensees to unrelated parties shall be deemed Net Sales hereunder. Net Sales shall not include transfers or dispositions for [***].</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467" w:name="page468"/>
    <w:bookmarkEnd w:id="467"/>
    <w:p>
      <w:pPr>
        <w:ind w:right="6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deductible items listed in sub-clauses (a)-(f) above shall be either (i) included as line items on the invoice, or (ii) documented as being specifically attributable to actual sales of Products in accordance with United States Generally Accepted Accounting Principles (“GAAP”) or International Financing Reporting Standards (“IFRS”), as applicable, consistently applied throughout the organization of the selling party, and provided that such amounts are included in the quarterly Royalty Reports that Licensee sends to TSRI pursuant to Section 4.4.6. If Licensee or other selling party receives refunds or reimbursements of any amounts deducted as set forth herein, then such refunded or reimbursed amounts shall be considered Net Sales in the applicable reporting period in which such refunded or reimbursed amounts are received.</w:t>
      </w:r>
    </w:p>
    <w:p>
      <w:pPr>
        <w:spacing w:after="0" w:line="17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u w:val="single" w:color="auto"/>
          <w:color w:val="auto"/>
        </w:rPr>
        <w:t>Option Product</w:t>
      </w:r>
      <w:r>
        <w:rPr>
          <w:rFonts w:ascii="Arial" w:cs="Arial" w:eastAsia="Arial" w:hAnsi="Arial"/>
          <w:sz w:val="18"/>
          <w:szCs w:val="18"/>
          <w:color w:val="auto"/>
        </w:rPr>
        <w:t>. The term “Option Product” shall mean any Compound that is discovered under the New Research Agreement that is a KOR Modulator, V1aR Modulator or OTR Modulator, and as to which Licensee has properly exercised its option rights pursuant to the provisions of the New Research Agreement, and which are the subject of an amendment to this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u w:val="single" w:color="auto"/>
          <w:color w:val="auto"/>
        </w:rPr>
        <w:t>OTR Modulator</w:t>
      </w:r>
      <w:r>
        <w:rPr>
          <w:rFonts w:ascii="Arial" w:cs="Arial" w:eastAsia="Arial" w:hAnsi="Arial"/>
          <w:sz w:val="18"/>
          <w:szCs w:val="18"/>
          <w:color w:val="auto"/>
        </w:rPr>
        <w:t>. The term “OTR Modulator” shall mean any Compound whose [***] of Oxytocin Receptor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b w:val="1"/>
          <w:bCs w:val="1"/>
          <w:u w:val="single" w:color="auto"/>
          <w:color w:val="auto"/>
        </w:rPr>
        <w:t>Patent Rights</w:t>
      </w:r>
      <w:r>
        <w:rPr>
          <w:rFonts w:ascii="Arial" w:cs="Arial" w:eastAsia="Arial" w:hAnsi="Arial"/>
          <w:sz w:val="18"/>
          <w:szCs w:val="18"/>
          <w:color w:val="auto"/>
        </w:rPr>
        <w:t>. The term “Patent Rights” shall mean:</w:t>
      </w:r>
    </w:p>
    <w:p>
      <w:pPr>
        <w:spacing w:after="0" w:line="121" w:lineRule="exact"/>
        <w:rPr>
          <w:sz w:val="20"/>
          <w:szCs w:val="20"/>
          <w:color w:val="auto"/>
        </w:rPr>
      </w:pPr>
    </w:p>
    <w:p>
      <w:pPr>
        <w:ind w:left="980" w:right="140" w:firstLine="7"/>
        <w:spacing w:after="0" w:line="277" w:lineRule="auto"/>
        <w:tabs>
          <w:tab w:leader="none" w:pos="122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initial provisional or utility patent application(s) with the United States or foreign patent office including without limitation those applications listed in Exhibit B;</w:t>
      </w:r>
    </w:p>
    <w:p>
      <w:pPr>
        <w:spacing w:after="0" w:line="62" w:lineRule="exact"/>
        <w:rPr>
          <w:rFonts w:ascii="Arial" w:cs="Arial" w:eastAsia="Arial" w:hAnsi="Arial"/>
          <w:sz w:val="18"/>
          <w:szCs w:val="18"/>
          <w:color w:val="auto"/>
        </w:rPr>
      </w:pPr>
    </w:p>
    <w:p>
      <w:pPr>
        <w:ind w:left="980" w:right="280" w:firstLine="7"/>
        <w:spacing w:after="0" w:line="277" w:lineRule="auto"/>
        <w:tabs>
          <w:tab w:leader="none" w:pos="123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foreign counterpart applications of the respective applications referenced in sub-clause (a) above that are entitled to the priority date of the respective applications referenced in sub-clause (a) above;</w:t>
      </w:r>
    </w:p>
    <w:p>
      <w:pPr>
        <w:spacing w:after="0" w:line="62" w:lineRule="exact"/>
        <w:rPr>
          <w:rFonts w:ascii="Arial" w:cs="Arial" w:eastAsia="Arial" w:hAnsi="Arial"/>
          <w:sz w:val="18"/>
          <w:szCs w:val="18"/>
          <w:color w:val="auto"/>
        </w:rPr>
      </w:pPr>
    </w:p>
    <w:p>
      <w:pPr>
        <w:ind w:left="980" w:firstLine="7"/>
        <w:spacing w:after="0" w:line="263" w:lineRule="auto"/>
        <w:tabs>
          <w:tab w:leader="none" w:pos="122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Divisionals, substitutions (only those claims of such substitutions that disclose the same subject matter that is covered by the application for which it is substituted), and continuations of any applications referenced in sub-clauses (a) and (b) above that are entitled to the priority date of the respective applications referenced in sub-clause (a) above;</w:t>
      </w:r>
    </w:p>
    <w:p>
      <w:pPr>
        <w:spacing w:after="0" w:line="75" w:lineRule="exact"/>
        <w:rPr>
          <w:rFonts w:ascii="Arial" w:cs="Arial" w:eastAsia="Arial" w:hAnsi="Arial"/>
          <w:sz w:val="18"/>
          <w:szCs w:val="18"/>
          <w:color w:val="auto"/>
        </w:rPr>
      </w:pPr>
    </w:p>
    <w:p>
      <w:pPr>
        <w:ind w:left="980" w:right="180" w:firstLine="7"/>
        <w:spacing w:after="0" w:line="277" w:lineRule="auto"/>
        <w:tabs>
          <w:tab w:leader="none" w:pos="123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claim(s) of a continuation-in-part application of any applications set forth in sub-clauses (a) and (c) above that are entitled to the priority date of the respective applications referenced in sub-clause (a) above;</w:t>
      </w:r>
    </w:p>
    <w:p>
      <w:pPr>
        <w:spacing w:after="0" w:line="62" w:lineRule="exact"/>
        <w:rPr>
          <w:rFonts w:ascii="Arial" w:cs="Arial" w:eastAsia="Arial" w:hAnsi="Arial"/>
          <w:sz w:val="18"/>
          <w:szCs w:val="18"/>
          <w:color w:val="auto"/>
        </w:rPr>
      </w:pPr>
    </w:p>
    <w:p>
      <w:pPr>
        <w:ind w:left="980" w:right="300" w:firstLine="7"/>
        <w:spacing w:after="0" w:line="277" w:lineRule="auto"/>
        <w:tabs>
          <w:tab w:leader="none" w:pos="122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patents issued from the applications referenced in sub-clauses (a)-(c) above and any reissues, re-examinations, renewals, patent term extensions and Supplementary Protection Certificates of such patents; and</w:t>
      </w:r>
    </w:p>
    <w:p>
      <w:pPr>
        <w:spacing w:after="0" w:line="62" w:lineRule="exact"/>
        <w:rPr>
          <w:rFonts w:ascii="Arial" w:cs="Arial" w:eastAsia="Arial" w:hAnsi="Arial"/>
          <w:sz w:val="18"/>
          <w:szCs w:val="18"/>
          <w:color w:val="auto"/>
        </w:rPr>
      </w:pPr>
    </w:p>
    <w:p>
      <w:pPr>
        <w:ind w:left="980" w:right="400" w:firstLine="7"/>
        <w:spacing w:after="0" w:line="301" w:lineRule="auto"/>
        <w:tabs>
          <w:tab w:leader="none" w:pos="120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Any claim(s) of a patent issued from a continuation-in-part application referenced in sub-clause (d) above that are entitled to the priority date of the respective applications referenced in sub-clause (a) above, and any claim(s) of a reissue, re-examination, renewal, patent term extension or Supplementary Protection Certificate of a patent issued from a continuation-in-part application referenced in sub-clause (d) above that are entitled to the priority date of the respective applications referenced in sub-clause (a) above.</w:t>
      </w:r>
    </w:p>
    <w:p>
      <w:pPr>
        <w:spacing w:after="0" w:line="36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u w:val="single" w:color="auto"/>
          <w:color w:val="auto"/>
        </w:rPr>
        <w:t>Phase IIb</w:t>
      </w:r>
      <w:r>
        <w:rPr>
          <w:rFonts w:ascii="Arial" w:cs="Arial" w:eastAsia="Arial" w:hAnsi="Arial"/>
          <w:sz w:val="18"/>
          <w:szCs w:val="18"/>
          <w:color w:val="auto"/>
        </w:rPr>
        <w:t>. The term “Phase IIb” shall mean a clinical study in any country, the principal purpose of which is to explore the dose relationship of a Product against some efficacy measure for the indication in patients with the disease or indication under study.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68" w:name="page469"/>
    <w:bookmarkEnd w:id="468"/>
    <w:p>
      <w:pPr>
        <w:ind w:right="10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1.22 </w:t>
      </w:r>
      <w:r>
        <w:rPr>
          <w:rFonts w:ascii="Arial" w:cs="Arial" w:eastAsia="Arial" w:hAnsi="Arial"/>
          <w:sz w:val="18"/>
          <w:szCs w:val="18"/>
          <w:b w:val="1"/>
          <w:bCs w:val="1"/>
          <w:u w:val="single" w:color="auto"/>
          <w:color w:val="auto"/>
        </w:rPr>
        <w:t>Phase III</w:t>
      </w:r>
      <w:r>
        <w:rPr>
          <w:rFonts w:ascii="Arial" w:cs="Arial" w:eastAsia="Arial" w:hAnsi="Arial"/>
          <w:sz w:val="18"/>
          <w:szCs w:val="18"/>
          <w:color w:val="auto"/>
        </w:rPr>
        <w:t>. The term “Phase III” shall mean an expanded human clinical study in any country on a sufficient number of subjects that is designated to establish that a Product is safe and efficacious for its intended use, and to determine warnings, precautions, and adverse reactions, if any, that are associated with Product in the dosage range to be prescribed, which trial is designed to result in regulatory approval of such Product, including all tests, studies, or a similar clinical study prescribed by the regulatory authorities, from time to time, pursuant to applicable law or otherwise including for example trials referred to in 21 C.F.R. 312.21(c).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u w:val="single" w:color="auto"/>
          <w:color w:val="auto"/>
        </w:rPr>
        <w:t>Product</w:t>
      </w:r>
      <w:r>
        <w:rPr>
          <w:rFonts w:ascii="Arial" w:cs="Arial" w:eastAsia="Arial" w:hAnsi="Arial"/>
          <w:sz w:val="18"/>
          <w:szCs w:val="18"/>
          <w:color w:val="auto"/>
        </w:rPr>
        <w:t>. The term “Product” shall mean Licensed Products, Know-How Products, Derivative Products and Option Products.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u w:val="single" w:color="auto"/>
          <w:color w:val="auto"/>
        </w:rPr>
        <w:t>Program</w:t>
      </w:r>
      <w:r>
        <w:rPr>
          <w:rFonts w:ascii="Arial" w:cs="Arial" w:eastAsia="Arial" w:hAnsi="Arial"/>
          <w:sz w:val="18"/>
          <w:szCs w:val="18"/>
          <w:color w:val="auto"/>
        </w:rPr>
        <w:t>. The term “Program” shall mean each of and all of the KOR Receptor Antagonist, V1aR, Receptor Antagonist or OTR Positive Allosteric Modulator, as the case may be.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u w:val="single" w:color="auto"/>
          <w:color w:val="auto"/>
        </w:rPr>
        <w:t>Royalty Report</w:t>
      </w:r>
      <w:r>
        <w:rPr>
          <w:rFonts w:ascii="Arial" w:cs="Arial" w:eastAsia="Arial" w:hAnsi="Arial"/>
          <w:sz w:val="18"/>
          <w:szCs w:val="18"/>
          <w:color w:val="auto"/>
        </w:rPr>
        <w:t>. The term “Royalty Report” shall have the meaning ascribed to such term as provided in Section 4.4.6.</w:t>
      </w:r>
    </w:p>
    <w:p>
      <w:pPr>
        <w:spacing w:after="0" w:line="225"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u w:val="single" w:color="auto"/>
          <w:color w:val="auto"/>
        </w:rPr>
        <w:t>Sublicensee</w:t>
      </w:r>
      <w:r>
        <w:rPr>
          <w:rFonts w:ascii="Arial" w:cs="Arial" w:eastAsia="Arial" w:hAnsi="Arial"/>
          <w:sz w:val="18"/>
          <w:szCs w:val="18"/>
          <w:color w:val="auto"/>
        </w:rPr>
        <w:t>. The term “Sublicensee” shall mean any third party to whom Licensee grants a sublicense or similar rights with respect to the rights conferred upon Licensee under this Agreement, as contemplated by Section 2.3. In addition, “Sublicensee” shall include any and all further third party Sublicensees that may be permitted under Section 2.3.</w:t>
      </w:r>
    </w:p>
    <w:p>
      <w:pPr>
        <w:spacing w:after="0" w:line="17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b w:val="1"/>
          <w:bCs w:val="1"/>
          <w:u w:val="single" w:color="auto"/>
          <w:color w:val="auto"/>
        </w:rPr>
        <w:t>Sublicense Revenue</w:t>
      </w:r>
      <w:r>
        <w:rPr>
          <w:rFonts w:ascii="Arial" w:cs="Arial" w:eastAsia="Arial" w:hAnsi="Arial"/>
          <w:sz w:val="16"/>
          <w:szCs w:val="16"/>
          <w:color w:val="auto"/>
        </w:rPr>
        <w:t>. The term “Sublicense Revenue” shall mean all revenues and other consideration paid to Licensee or to an Affiliate in consideration of the grant of rights that includes a sublicense to the Licensed Patent Rights, Licensed Know-How, Licensed Product, Know-How Product or Option Product that is covered by the Licensed Patent Rights, or the grant of distribution or marketing rights to a Licensed Product, Know-How Product or Option Product that is covered by the Licensed Patent Rights. For clarity, if Licensee receives from a distributor (a) monies from Licensee’s sale of Products to such distributor, and (b) a fee or other monies for the grant of exclusive or other preferential distribution rights to such distributor, the fee or other monies received under subclause (b) above shall be deemed Sublicense Revenue subject to Sublicense Payments to TSRI under Section 4.6 below, and the monies received by Licensee under subclause (a) above shall be subject to the payment of Royalties to TSRI pursuant to Section 4.4 below. For further clarity, if the only monies Licensee receives from a distributor with respect to Products is a percentage of the distributor’s sales of such Products, or the distributor sells the Products and keeps a percentage of such sales and remits the remaining sale proceeds to Licensee, all such monies received by Licensee, in either case, shall be deemed Sublicense Revenue and subject to Sublicense Payments to TSRI under Section 4.6 below. Without limiting the generality of the foregoing, Sublicense Revenues shall include without limitation all upfront fees, license fees, milestone payments, technology access fees, premiums above the fair market value on sales of debt or equity securities of Licensee or an Affiliate, annual maintenance fees, and any other payments by a third party in exchange for rights to distribute, market or sell Licensed Products, Know-How Products or Option Products. Sublicense Revenues include amounts received from a Sublicensee under the terms of the agreement in which the sublicense is granted and under the terms of other agreements entered into between Licensee and Sublicensee as part of the same transaction as the agreement that includes the grant of the sublicense. However, Sublicense Revenues shall exclude: (i) royalties on a Sublicensee’s sales of Licensed Product, Know-How Product or Option Product, (ii) payments for debt or equity securities of Licensee or of an Affiliate that are at or below the fair market value of such securities as of the date of receipt of such payments as mutually determined by the parties and (iii) reasonable funding or reimbursement of Licensee’s internal research and development costs (calculated on a fully-burdened basis based upon a documented FTE rate (as specified in such sublicense agreement) solely for specific Licensed Product research and development activities, which activities are described in the sublicense agreement and are conducted by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469" w:name="page470"/>
    <w:bookmarkEnd w:id="469"/>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Licensee after execution of such agreement, including FTE funding and costs of materials, equipment and third party services and where all such funding or reimbursement is supported by reasonably detailed written documentation (which, in the case of FTE funding may be in the form of internal records maintained by Licensee regarding the number of FTEs devoted to performing such research and development activities). Any non-cash Sublicense Revenues received by Licensee or by an Affiliate shall be valued at its fair market value as of the date of receipt as mutually determined by the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b w:val="1"/>
          <w:bCs w:val="1"/>
          <w:u w:val="single" w:color="auto"/>
          <w:color w:val="auto"/>
        </w:rPr>
        <w:t>Territory</w:t>
      </w:r>
      <w:r>
        <w:rPr>
          <w:rFonts w:ascii="Arial" w:cs="Arial" w:eastAsia="Arial" w:hAnsi="Arial"/>
          <w:sz w:val="18"/>
          <w:szCs w:val="18"/>
          <w:color w:val="auto"/>
        </w:rPr>
        <w:t>. The term “Territory” shall mean all countries of the world.</w:t>
      </w:r>
    </w:p>
    <w:p>
      <w:pPr>
        <w:spacing w:after="0" w:line="22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b w:val="1"/>
          <w:bCs w:val="1"/>
          <w:u w:val="single" w:color="auto"/>
          <w:color w:val="auto"/>
        </w:rPr>
        <w:t>Valid Claim</w:t>
      </w:r>
      <w:r>
        <w:rPr>
          <w:rFonts w:ascii="Arial" w:cs="Arial" w:eastAsia="Arial" w:hAnsi="Arial"/>
          <w:sz w:val="16"/>
          <w:szCs w:val="16"/>
          <w:color w:val="auto"/>
        </w:rPr>
        <w:t>. The term “Valid Claim” shall mean a claim of an issued and unexpired patent within the Licensed Patent Rights that has not been held invalid or unenforceable by a court or other appropriate governmental body of competent jurisdiction in a ruling that is unappealed or unappealable within the time allowed for appeal. The term “Valid Claim” shall also include the claims of a pending patent application within the Licensed Patent Rights which have not been pending for a period of more than [***] years from the date of first examination on the merits of that patent application.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b w:val="1"/>
          <w:bCs w:val="1"/>
          <w:u w:val="single" w:color="auto"/>
          <w:color w:val="auto"/>
        </w:rPr>
        <w:t>V1aR Modulator</w:t>
      </w:r>
      <w:r>
        <w:rPr>
          <w:rFonts w:ascii="Arial" w:cs="Arial" w:eastAsia="Arial" w:hAnsi="Arial"/>
          <w:sz w:val="18"/>
          <w:szCs w:val="18"/>
          <w:color w:val="auto"/>
        </w:rPr>
        <w:t>. The term “V1aR Modulator” shall mean any Compound whose [***] of Vasopressin Receptor 1a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TWO. </w:t>
      </w:r>
      <w:r>
        <w:rPr>
          <w:rFonts w:ascii="Arial" w:cs="Arial" w:eastAsia="Arial" w:hAnsi="Arial"/>
          <w:sz w:val="18"/>
          <w:szCs w:val="18"/>
          <w:b w:val="1"/>
          <w:bCs w:val="1"/>
          <w:u w:val="single" w:color="auto"/>
          <w:color w:val="auto"/>
        </w:rPr>
        <w:t>Grant of License</w:t>
      </w:r>
      <w:r>
        <w:rPr>
          <w:rFonts w:ascii="Arial" w:cs="Arial" w:eastAsia="Arial" w:hAnsi="Arial"/>
          <w:sz w:val="18"/>
          <w:szCs w:val="18"/>
          <w:b w:val="1"/>
          <w:bCs w:val="1"/>
          <w:color w:val="auto"/>
        </w:rPr>
        <w:t>.</w:t>
      </w:r>
    </w:p>
    <w:p>
      <w:pPr>
        <w:spacing w:after="0" w:line="225"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Grant of Exclusive License to Licensed Patent Rights</w:t>
      </w:r>
      <w:r>
        <w:rPr>
          <w:rFonts w:ascii="Arial" w:cs="Arial" w:eastAsia="Arial" w:hAnsi="Arial"/>
          <w:sz w:val="16"/>
          <w:szCs w:val="16"/>
          <w:color w:val="auto"/>
        </w:rPr>
        <w:t>. TSRI hereby grants and Licensee accepts, subject to the terms and conditions of this Agreement, an exclusive (except as specified in Sections 2.5 and 2.6), worldwide, royalty-bearing license, with limited rights to sublicense pursuant to Section 2.3, under the Licensed Patent Rights to make, have made, use, have used, sell, have sold, offer to sell and import Products in the Field.</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Grant of Non-Exclusive License to Licensed Know-How</w:t>
      </w:r>
      <w:r>
        <w:rPr>
          <w:rFonts w:ascii="Arial" w:cs="Arial" w:eastAsia="Arial" w:hAnsi="Arial"/>
          <w:sz w:val="18"/>
          <w:szCs w:val="18"/>
          <w:color w:val="auto"/>
        </w:rPr>
        <w:t>. TSRI hereby grants and Licensee accepts, subject to the terms and conditions of this Agreement, a non-exclusive, worldwide, royalty-bearing license, with limited rights to sublicense pursuant to Section 2.3, under the Licensed Know-How to make, have made, use, have used, sell, have sold, offer to sale and import Products in the Field. However, TSRI covenants and agrees that TSRI will not license, sell, transfer or otherwise dispose of unpublished data specifically directed to Compounds that TSRI generates or develops under the New Research Agreement and to which Licensee has exercised its option to license under the New Research Agreement to any other person or entity during the term of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Sublicensing</w:t>
      </w:r>
      <w:r>
        <w:rPr>
          <w:rFonts w:ascii="Arial" w:cs="Arial" w:eastAsia="Arial" w:hAnsi="Arial"/>
          <w:sz w:val="18"/>
          <w:szCs w:val="18"/>
          <w:color w:val="auto"/>
        </w:rPr>
        <w:t>.</w:t>
      </w:r>
    </w:p>
    <w:p>
      <w:pPr>
        <w:spacing w:after="0" w:line="229" w:lineRule="exact"/>
        <w:rPr>
          <w:sz w:val="20"/>
          <w:szCs w:val="20"/>
          <w:color w:val="auto"/>
        </w:rPr>
      </w:pPr>
    </w:p>
    <w:p>
      <w:pPr>
        <w:ind w:left="440" w:right="20" w:firstLine="948"/>
        <w:spacing w:after="0" w:line="269" w:lineRule="auto"/>
        <w:tabs>
          <w:tab w:leader="none" w:pos="1636" w:val="left"/>
        </w:tabs>
        <w:numPr>
          <w:ilvl w:val="0"/>
          <w:numId w:val="277"/>
        </w:numPr>
        <w:rPr>
          <w:rFonts w:ascii="Arial" w:cs="Arial" w:eastAsia="Arial" w:hAnsi="Arial"/>
          <w:sz w:val="17"/>
          <w:szCs w:val="17"/>
          <w:color w:val="auto"/>
        </w:rPr>
      </w:pPr>
      <w:r>
        <w:rPr>
          <w:rFonts w:ascii="Arial" w:cs="Arial" w:eastAsia="Arial" w:hAnsi="Arial"/>
          <w:sz w:val="17"/>
          <w:szCs w:val="17"/>
          <w:color w:val="auto"/>
        </w:rPr>
        <w:t>Licensee shall have the right to grant and authorize sublicenses under the Licensed Patent Rights and Licensed Know-How to any party without TSRI’s prior written consent, provided that (i) the provisions of the sublicense agreement comply with the provisions of this Agreement, and (ii) [***]. Licensee will give TSRI written notice about each proposed Sublicensee sufficiently in advance of entering into a sublicense agreement with such Sublicensee in order for TSRI to inform Licensee about the issue in subclause (ii) above. In the event the requirements in subclauses (i) and (ii) are not satisfied, then Licensee shall not have the right to grant and authorize sublicenses under the Licensed Patent Rights and Licensed Know-How to any party without TSRI’s prior written consent, which will not be unreasonably withheld. Sublicensees shall not have the right to further sublicense without TSRI’s prior written consent, which will not be unreasonably withheld. Any sublicense granted under this Section 2.3 shall be subject in all respects to the applicable provisions contained in this Agreement (including without limitation the provisions regarding governmental interest, reservation of rights, development efforts, reporting, audit rights, indemnity, insurance, Challenges, warranty disclaimer, limitation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70" w:name="page471"/>
    <w:bookmarkEnd w:id="470"/>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liability, confidentiality, and rights upon expiration or termination). In the event of a conflict between this Agreement and the terms of any sublicense, the terms of this Agreement shall control. Licensee shall forward to TSRI a copy of any and all fully executed sublicense agreements within [***] days of execution. Licensee shall at all times be and remain responsible for the compliance by Sublicensees with the terms and conditions of this Agreement, including without limitation the payment of all amounts that may become due hereunder as a result of any Sublicensees’ activities.</w:t>
      </w:r>
    </w:p>
    <w:p>
      <w:pPr>
        <w:spacing w:after="0" w:line="80" w:lineRule="exact"/>
        <w:rPr>
          <w:sz w:val="20"/>
          <w:szCs w:val="20"/>
          <w:color w:val="auto"/>
        </w:rPr>
      </w:pPr>
    </w:p>
    <w:p>
      <w:pPr>
        <w:jc w:val="both"/>
        <w:ind w:right="80" w:firstLine="948"/>
        <w:spacing w:after="0" w:line="259" w:lineRule="auto"/>
        <w:tabs>
          <w:tab w:leader="none" w:pos="1207" w:val="left"/>
        </w:tabs>
        <w:numPr>
          <w:ilvl w:val="1"/>
          <w:numId w:val="278"/>
        </w:numPr>
        <w:rPr>
          <w:rFonts w:ascii="Arial" w:cs="Arial" w:eastAsia="Arial" w:hAnsi="Arial"/>
          <w:sz w:val="18"/>
          <w:szCs w:val="18"/>
          <w:color w:val="auto"/>
        </w:rPr>
      </w:pPr>
      <w:r>
        <w:rPr>
          <w:rFonts w:ascii="Arial" w:cs="Arial" w:eastAsia="Arial" w:hAnsi="Arial"/>
          <w:sz w:val="18"/>
          <w:szCs w:val="18"/>
          <w:color w:val="auto"/>
        </w:rPr>
        <w:t>Upon termination of this Agreement in accordance with Section 9.3, at the election of a Sublicensee upon written notice to TSRI within [***] days after the effective termination date of this Agreement, the sublicense granted by Licensee to such Sublicensee that was in effect immediately prior to termination of this Agreement will survive such termination, with TSRI as the Sublicensee’s direct licensor, subject to the following conditions:</w:t>
      </w:r>
    </w:p>
    <w:p>
      <w:pPr>
        <w:spacing w:after="0" w:line="92" w:lineRule="exact"/>
        <w:rPr>
          <w:rFonts w:ascii="Arial" w:cs="Arial" w:eastAsia="Arial" w:hAnsi="Arial"/>
          <w:sz w:val="18"/>
          <w:szCs w:val="18"/>
          <w:color w:val="auto"/>
        </w:rPr>
      </w:pPr>
    </w:p>
    <w:p>
      <w:pPr>
        <w:ind w:left="980" w:hanging="439"/>
        <w:spacing w:after="0"/>
        <w:tabs>
          <w:tab w:leader="none" w:pos="9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Such Sublicensee is not then in default under its sublicense;</w:t>
      </w:r>
    </w:p>
    <w:p>
      <w:pPr>
        <w:spacing w:after="0" w:line="130" w:lineRule="exact"/>
        <w:rPr>
          <w:rFonts w:ascii="Arial" w:cs="Arial" w:eastAsia="Arial" w:hAnsi="Arial"/>
          <w:sz w:val="18"/>
          <w:szCs w:val="18"/>
          <w:color w:val="auto"/>
        </w:rPr>
      </w:pPr>
    </w:p>
    <w:p>
      <w:pPr>
        <w:ind w:left="980" w:right="400" w:hanging="439"/>
        <w:spacing w:after="0" w:line="308" w:lineRule="auto"/>
        <w:tabs>
          <w:tab w:leader="none" w:pos="98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Sublicensee must pay to TSRI all unpaid Royalties, Milestones, Sublicense Revenue, patent costs and all other monies owed by Licensee to TSRI under this Agreement within [***] days after receipt of an itemized invoice from TSRI; and</w:t>
      </w:r>
    </w:p>
    <w:p>
      <w:pPr>
        <w:spacing w:after="0" w:line="51" w:lineRule="exact"/>
        <w:rPr>
          <w:rFonts w:ascii="Arial" w:cs="Arial" w:eastAsia="Arial" w:hAnsi="Arial"/>
          <w:sz w:val="17"/>
          <w:szCs w:val="17"/>
          <w:color w:val="auto"/>
        </w:rPr>
      </w:pPr>
    </w:p>
    <w:p>
      <w:pPr>
        <w:ind w:left="980" w:right="100" w:hanging="439"/>
        <w:spacing w:after="0" w:line="287" w:lineRule="auto"/>
        <w:tabs>
          <w:tab w:leader="none" w:pos="9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within [***] days after Sublicensee’s receipt from TSRI of an initial draft license agreement, such Sublicensee shall execute and deliver to TSRI, for signature by TSRI, such license agreement between Sublicensee and TSRI (the “New License Agreement”), which New License Agreement shall be in the form of, and on the same terms and conditions as those in this Agreement, as reasonably modified to reflect (1) the terms of the scope of the sublicense grant to the Licensed Patent Rights or Licensed Know-How granted by the entity that granted such Sublicensee its sublicense (e.g., Licensee, an Affiliate or another Sublicensee, as applicable), such as the sublicense field of use, sublicense products, sublicense territory, duration of sublicense grant and diligence obligations of the Sublicensee (i.e., if the Sublicensee’s sublicense, as in effect immediately prior to the termination of this Agreement, included rights and obligations only with respect to a particular Licensed Product, country or indication, the New License Agreement shall only include rights and obligations with respect to that particular Licensed Product, country or indication); and (2) the same financial terms and payments, including without limitation the running royalty rate, as set forth in the sublicense agreement between Sublicensee and the entity that granted its sublicense; and</w:t>
      </w:r>
    </w:p>
    <w:p>
      <w:pPr>
        <w:spacing w:after="0" w:line="77" w:lineRule="exact"/>
        <w:rPr>
          <w:rFonts w:ascii="Arial" w:cs="Arial" w:eastAsia="Arial" w:hAnsi="Arial"/>
          <w:sz w:val="16"/>
          <w:szCs w:val="16"/>
          <w:color w:val="auto"/>
        </w:rPr>
      </w:pPr>
    </w:p>
    <w:p>
      <w:pPr>
        <w:ind w:left="980" w:right="200" w:hanging="439"/>
        <w:spacing w:after="0" w:line="286" w:lineRule="auto"/>
        <w:tabs>
          <w:tab w:leader="none" w:pos="9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New License Agreement shall include the following: (A) Sublicensee shall agree in the New License Agreement to terms providing that in no event shall TSRI be liable to Sublicensee for any actual or alleged breach of such sublicense agreement by the entity that granted its sublicense; (B) TSRI shall not have any obligations to such Sublicensee other than TSRI’s obligations to Licensee as set forth herein; and (C) in no event shall TSRI be obligated to accept provisions in the New License Agreement</w:t>
      </w:r>
    </w:p>
    <w:p>
      <w:pPr>
        <w:spacing w:after="0" w:line="1" w:lineRule="exact"/>
        <w:rPr>
          <w:rFonts w:ascii="Arial" w:cs="Arial" w:eastAsia="Arial" w:hAnsi="Arial"/>
          <w:sz w:val="16"/>
          <w:szCs w:val="16"/>
          <w:color w:val="auto"/>
        </w:rPr>
      </w:pPr>
    </w:p>
    <w:p>
      <w:pPr>
        <w:ind w:left="980"/>
        <w:spacing w:after="0" w:line="252" w:lineRule="auto"/>
        <w:rPr>
          <w:rFonts w:ascii="Arial" w:cs="Arial" w:eastAsia="Arial" w:hAnsi="Arial"/>
          <w:sz w:val="16"/>
          <w:szCs w:val="16"/>
          <w:color w:val="auto"/>
        </w:rPr>
      </w:pPr>
      <w:r>
        <w:rPr>
          <w:rFonts w:ascii="Arial" w:cs="Arial" w:eastAsia="Arial" w:hAnsi="Arial"/>
          <w:sz w:val="18"/>
          <w:szCs w:val="18"/>
          <w:color w:val="auto"/>
        </w:rPr>
        <w:t>(1) unless such provisions correspond to the rights granted by the entity that granted such sublicense to Sublicensee in conformance with this Agreement, and such provisions are not in conflict with the rights, duties and obligations accruing to Licensee under this Agreement; and/or (2) where such provisions are inconsistent with the legal obligations under any other sublicense agreement granted by Licensee, or by applicable law, rule or regulation. Licensee must include or specifically reference this Section 2.3(b) in each of its sublicense agreements in order for such Sublicensee’s sublicense to survive termination of this Agreement subject to these conditions.</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471" w:name="page472"/>
    <w:bookmarkEnd w:id="471"/>
    <w:p>
      <w:pPr>
        <w:ind w:right="1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Arial" w:cs="Arial" w:eastAsia="Arial" w:hAnsi="Arial"/>
          <w:sz w:val="18"/>
          <w:szCs w:val="18"/>
          <w:b w:val="1"/>
          <w:bCs w:val="1"/>
          <w:u w:val="single" w:color="auto"/>
          <w:color w:val="auto"/>
        </w:rPr>
        <w:t>No Other License</w:t>
      </w:r>
      <w:r>
        <w:rPr>
          <w:rFonts w:ascii="Arial" w:cs="Arial" w:eastAsia="Arial" w:hAnsi="Arial"/>
          <w:sz w:val="18"/>
          <w:szCs w:val="18"/>
          <w:color w:val="auto"/>
        </w:rPr>
        <w:t>. This Agreement confers no license or rights by implication, estoppel or otherwise under any patent applications or patents or intellectual property of TSRI other than the Licensed Patent Rights and Licensed Know-How regardless of whether such patent applications, patents or intellectual property are dominant or subordinate to the Licensed Patent Rights or Licensed Know-How.</w:t>
      </w:r>
    </w:p>
    <w:p>
      <w:pPr>
        <w:spacing w:after="0" w:line="1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u w:val="single" w:color="auto"/>
          <w:color w:val="auto"/>
        </w:rPr>
        <w:t>Governmental Interest</w:t>
      </w:r>
      <w:r>
        <w:rPr>
          <w:rFonts w:ascii="Arial" w:cs="Arial" w:eastAsia="Arial" w:hAnsi="Arial"/>
          <w:sz w:val="18"/>
          <w:szCs w:val="18"/>
          <w:color w:val="auto"/>
        </w:rPr>
        <w:t>. Licensee and TSRI acknowledge that TSRI has received, and expects to continue to receive, funding from the United States Government in support of TSRI’s research activities. Licensee and TSRI acknowledge and agree that their respective rights and obligations with respect to Licensed Products, Know-How Product and Option Products under this Agreement shall be subject to the rights of the United States Government, existing and as amended, which may arise or result from TSRI’s receipt of research support from the United States Government, including without limitation 37 C.F.R. Part 401, the National Institutes of Health (“NIH”) Grants Policy Statement and the NIH Guidelines for Obtaining and Disseminating Biomedical Research Resources.</w:t>
      </w:r>
    </w:p>
    <w:p>
      <w:pPr>
        <w:spacing w:after="0" w:line="18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Reservation of Rights</w:t>
      </w:r>
      <w:r>
        <w:rPr>
          <w:rFonts w:ascii="Arial" w:cs="Arial" w:eastAsia="Arial" w:hAnsi="Arial"/>
          <w:sz w:val="18"/>
          <w:szCs w:val="18"/>
          <w:color w:val="auto"/>
        </w:rPr>
        <w:t>. Notwithstanding the exclusive license granted under Section 2.1, TSRI reserves the right to use for any internal research and educational purposes any Licensed Patent Rights licensed hereunder, without TSRI being obligated to pay Licensee any royalties or other compensation or to account to Licensee in any way (except as otherwise specifically stated in the New Research Agreement). In addition, TSRI reserves the right to grant non-exclusive licenses to use the Licensed Patent Rights for internal non-commercial research and educational purposes to other nonprofit or academic institutions, without the other nonprofit or academic institution being obligated to pay Licensee any royalties or other compensation or to account to Licensee in any way.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THREE. </w:t>
      </w:r>
      <w:r>
        <w:rPr>
          <w:rFonts w:ascii="Arial" w:cs="Arial" w:eastAsia="Arial" w:hAnsi="Arial"/>
          <w:sz w:val="18"/>
          <w:szCs w:val="18"/>
          <w:b w:val="1"/>
          <w:bCs w:val="1"/>
          <w:u w:val="single" w:color="auto"/>
          <w:color w:val="auto"/>
        </w:rPr>
        <w:t>Equity</w:t>
      </w:r>
      <w:r>
        <w:rPr>
          <w:rFonts w:ascii="Arial" w:cs="Arial" w:eastAsia="Arial" w:hAnsi="Arial"/>
          <w:sz w:val="18"/>
          <w:szCs w:val="18"/>
          <w:b w:val="1"/>
          <w:bCs w:val="1"/>
          <w:color w:val="auto"/>
        </w:rPr>
        <w:t>.</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Equity Grant</w:t>
      </w:r>
      <w:r>
        <w:rPr>
          <w:rFonts w:ascii="Arial" w:cs="Arial" w:eastAsia="Arial" w:hAnsi="Arial"/>
          <w:sz w:val="18"/>
          <w:szCs w:val="18"/>
          <w:color w:val="auto"/>
        </w:rPr>
        <w:t>. As consideration for the rights and licenses granted by TSRI to Licensee under this Agreement, Licensee shall, within [***] days after the Effective Date, issue to TSRI and, subject to compliance with applicable security laws, to TSRI’s scientific inventors and/or an Equity Assignee (as defined in Section 3.5), an aggregate number of shares of the Licensee’s capital stock that represents [***] of all outstanding shares of the Licensee’s capital stock calculated on a Fully-Diluted Basis (defined below) as of the Effective Date (the “Initial Issuance”). Failure of Licensee to issue the shares pursuant to this Section 3.1 shall render this Agreement null and void (ab initio).</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Additional Issuance</w:t>
      </w:r>
      <w:r>
        <w:rPr>
          <w:rFonts w:ascii="Arial" w:cs="Arial" w:eastAsia="Arial" w:hAnsi="Arial"/>
          <w:sz w:val="16"/>
          <w:szCs w:val="16"/>
          <w:color w:val="auto"/>
        </w:rPr>
        <w:t>. In addition, after the Initial Issuance and until such time as Licensee has raised an aggregate of not less than [***] in gross proceeds (the “Financing Threshold”) from the sale in one or more transactions (calculated on a cumulative basis) of Licensee’s equity securities or securities convertible into equity securities of Licensee ( “Equity Securities”), Licensee shall issue to TSRI and, subject to compliance with applicable security laws, to TSRI’s scientific inventors and/or an Equity Assignee, concurrently in connection with each transaction involving the sale and issuance of Licensee’s Equity Securities (each such additional issuance, an “Additional Issuance”), such additional number of shares of Licensee’s common stock as is necessary to maintain TSRI’s percentage ownership interest in Licensee at [***] of all outstanding shares of Licensee’s capital stock calculated on a Fully-Diluted Basis as of the date of each such Additional Issuance. In the event that the gross proceeds of any such Additional Issuance, together with the gross proceeds of all preceding Additional Issuances, exceed [***], Licensee shall only be obligated to issue to TSRI and, subject to compliance with applicable securities laws, to TSRI’s scientific inventors and/or an Equity Assignee, such additional number of shares of Licensee’s common stock as is necessary to maintain TSRI’s [***] ownership interest in Licensee for the first [***] in gross proceeds from all such Additional Issuances. Licensee shall deliver to TSRI stock certificate(s) representing the shares issued to TSRI, its scientific inventors and/or an Equity Assignee in connection with any Additional Issuance within [***]days after each such Additional Issuance.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472" w:name="page473"/>
    <w:bookmarkEnd w:id="472"/>
    <w:p>
      <w:pPr>
        <w:ind w:left="4"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Arial" w:cs="Arial" w:eastAsia="Arial" w:hAnsi="Arial"/>
          <w:sz w:val="16"/>
          <w:szCs w:val="16"/>
          <w:b w:val="1"/>
          <w:bCs w:val="1"/>
          <w:u w:val="single" w:color="auto"/>
          <w:color w:val="auto"/>
        </w:rPr>
        <w:t>Fully Diluted Basis</w:t>
      </w:r>
      <w:r>
        <w:rPr>
          <w:rFonts w:ascii="Arial" w:cs="Arial" w:eastAsia="Arial" w:hAnsi="Arial"/>
          <w:sz w:val="16"/>
          <w:szCs w:val="16"/>
          <w:color w:val="auto"/>
        </w:rPr>
        <w:t>. “Fully Diluted Basis” shall mean the sum of (i) all of the issued and outstanding shares of common stock, preferred stock (calculated on an as-converted to common stock basis) and any other capital stock of Licensee (calculated on an as-converted to common stock basis);</w:t>
      </w:r>
    </w:p>
    <w:p>
      <w:pPr>
        <w:spacing w:after="0" w:line="1" w:lineRule="exact"/>
        <w:rPr>
          <w:sz w:val="20"/>
          <w:szCs w:val="20"/>
          <w:color w:val="auto"/>
        </w:rPr>
      </w:pPr>
    </w:p>
    <w:p>
      <w:pPr>
        <w:ind w:left="4" w:right="80" w:hanging="4"/>
        <w:spacing w:after="0" w:line="286" w:lineRule="auto"/>
        <w:tabs>
          <w:tab w:leader="none" w:pos="26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number of shares of common stock issuable upon conversion or exercise of any issued and outstanding equity security that is convertible or exercisable, with or without consideration, into shares of common stock, preferred stock or other capital stock of Licensee (calculated on an as-converted to common stock basis); (iii) the number of shares of common stock issuable upon conversion or exercise of any issued and outstanding security or other agreement carrying or including any warrant or right to subscribe to or purchase any shares of common stock, preferred stock or other capital stock of Licensee (calculated on an as-exercised, as-converted to common stock basis); and (iv) the number of shares of common stock issuable upon conversion or exercise of any issued and outstanding options and warrants to purchase shares of common stock, preferred stock or other capital stock of Licensee (calculated on an as-exercised, as converted to common stock basis). For purposes of clarity, any shares reserved for future issuance under share reserve pools, including with respect to unallocated and unissued stock options pursuant to any equity incentive award plan, shall be included in the above calculation as if such shares were issued and options exercised and as converted to common stock basis.</w:t>
      </w:r>
    </w:p>
    <w:p>
      <w:pPr>
        <w:spacing w:after="0" w:line="168"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Procedure</w:t>
      </w:r>
      <w:r>
        <w:rPr>
          <w:rFonts w:ascii="Arial" w:cs="Arial" w:eastAsia="Arial" w:hAnsi="Arial"/>
          <w:sz w:val="16"/>
          <w:szCs w:val="16"/>
          <w:color w:val="auto"/>
        </w:rPr>
        <w:t>. Licensee’s obligation to issue and deliver such shares of common stock to TSRI, its scientific inventors and an Equity Assignee in connection with the Initial Issuance or any Additional Issuance is contingent upon TSRI’s execution and delivery of a stock purchase agreement reasonably acceptable to Licensee. Subject to the preceding sentence, Licensee’s failure to timely issue any of the shares of common stock of Licensee to TSRI, its scientific inventors and/or an Equity Assignee pursuant to this Article Three shall render this Agreement null and void (ab initio). These stock issuances to TSRI, its scientific inventors and an Equity Assignee are irrevocable and nonrefundable, and are not conditioned upon (a) whether Licensee achieves any success with its licensing of the Licensed Patent Rights or Licensed Know-How, (b) whether Licensee develops, uses or sells any Products, or (c) any other thing or event, except for TSRI’s execution of a stock purchase agreement reasonably acceptable to Licensee. The parties agree that TSRI shall not be obligated at any time to make any representations or warranties on behalf of Licensee or to be liable for any of Licensee’s representations, warranties or other agreements in connection with any sale, merger, reorganization, disposition or other transaction involving Licensee.</w:t>
      </w:r>
    </w:p>
    <w:p>
      <w:pPr>
        <w:spacing w:after="0" w:line="166"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Participation in Future Equity Offerings</w:t>
      </w:r>
      <w:r>
        <w:rPr>
          <w:rFonts w:ascii="Arial" w:cs="Arial" w:eastAsia="Arial" w:hAnsi="Arial"/>
          <w:sz w:val="17"/>
          <w:szCs w:val="17"/>
          <w:color w:val="auto"/>
        </w:rPr>
        <w:t>. If Licensee proposes to sell or sells any Equity Securities after the Financing Threshold is achieved (“Qualified Financing”), in each instance, TSRI and/or TSRI’s assignee, Osage Partners, or one other single assignee that is reasonable acceptable to Licensee (“Equity Assignee”) shall have the right, but not the obligation, to participate in such Qualified Financing on the same terms made available to other investors in such Qualified Financing (other than in respect of any discount applicable to the conversion of indebtedness in consideration of another equity security), to the extent necessary to maintain TSRI’s then-current percentage ownership of the outstanding shares of capital stock of Licensee on a Fully Diluted Basis as calculated immediately prior to such Qualified Financing. Licensee shall provide prior written notice and other relevant documents to TSRI to enable TSRI and/or its Equity Assignee to purchase additional Equity Securities of Licensee and otherwise participate in each Qualified Financing. TSRI (or its Equity Assignee, if applicable) must deliver written notice of the exercise of its rights under this Section 3.5 to Licensee within [***] business days after TSRI’s receipt of Licensee’s written notice of the Qualified Financing or the rights will expire with respect to the Qualified Financing.</w:t>
      </w:r>
    </w:p>
    <w:p>
      <w:pPr>
        <w:spacing w:after="0" w:line="11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0" w:right="499" w:bottom="1440" w:gutter="0" w:footer="0" w:header="0"/>
        </w:sectPr>
      </w:pPr>
    </w:p>
    <w:bookmarkStart w:id="473" w:name="page474"/>
    <w:bookmarkEnd w:id="473"/>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clarity and without limitation, none of the following shall be considered a Qualified Financing: (a) the issuance of securities in connection with stock dividends, stock splits or similar divisions of Licensee’s capital stock; (b) the issuance of capital stock, or options or warrants to purchase capital stock issued to employees, officers, consultants or directors of Licensee, directly or pursuant to a stock option plan, restricted stock purchase plans or other stock plan; (c) the issuance of securities pursuant to the conversion or exercise of convertible or exercisable securities outstanding as of the Effective Date, including without limitation, warrants, notes or options; (d) the issuance of securities for consideration other than cash pursuant to a merger, consolidation, acquisition, or similar business combination; (e) the issuance of securities to financial institutions or lessors in connection with commercial credit arrangements, equipment financings, commercial property lease transactions, debt financing or similar transactions with such financial institutions or lessors; (f) the issuance of securities to an entity as a component of any business relationship with such entity primarily for the purpose of (i) joint venture, technology licensing or development activities, (ii) distribution, supply or manufacture of the Company’s products or services or (iii) any other arrangements involving corporate partners that are primarily for purposes other than raising capital; or (g) any public offering of the Licensee’s capital stock.</w:t>
      </w:r>
    </w:p>
    <w:p>
      <w:pPr>
        <w:spacing w:after="0" w:line="18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TSRI’s (and its Equity Assignee’s) rights under this Section 3.5 shall terminate: (a) on the date that TSRI (or its Equity Assignee, if applicable) ceases to own shares of the Licensee’s common stock, (b) immediately prior to consummation of any public offering by Licensee of shares of its common stock, or (c) immediately prior to consummation of (i) any merger or consolidation involving Licensee (except any such merger or consolidation involving Licensee in which the shares of capital stock of the Licensee outstanding immediately prior to such merger or consolidation continue to represent, or are converted into or exchanged for shares of capital stock that represent, immediately following such merger or consolidation, at least a majority, by voting power, of the capital stock of (A) the surviving or resulting corporation or (B) if the surviving or resulting corporation is a wholly owned subsidiary of another corporation immediately following such merger or consolidation, the parent corporation of such surviving or resulting corporation) or (ii) the sale, lease, transfer, exclusive license or other disposition, in a single transaction or series of related transactions, by Licensee or any subsidiary of Licensee of all or substantially all the assets of Licensee and its subsidiaries taken as a whole.</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u w:val="single" w:color="auto"/>
          <w:color w:val="auto"/>
        </w:rPr>
        <w:t>Board Observer</w:t>
      </w:r>
      <w:r>
        <w:rPr>
          <w:rFonts w:ascii="Arial" w:cs="Arial" w:eastAsia="Arial" w:hAnsi="Arial"/>
          <w:sz w:val="17"/>
          <w:szCs w:val="17"/>
          <w:color w:val="auto"/>
        </w:rPr>
        <w:t>. Subject to the conditions of this Section 3.6, tor a period of [***] years following the Effective Date, TSRI may appoint a TRSI representative to act as a non-voting observer to all meetings of the Licensee’s Board of Directors (the “TSRI Observer”). The TSRI Observer may attend the meetings of the Board of Directors in person and will attend only the general sessions of such meetings. Licensee shall provide prior written notice to TSRI of all meetings of Licensee’s Board of Directors and shall also deliver to TSRI copies of all notices, minutes, documents and other materials that it provides to all of its Directors. The Board observed rights may not be assigned. The rights set forth in this Section 3.6 shall terminate upon the earlier of (a) Change in Control Transaction (as defined in Section 10.1), (b) such time as the Licensee becomes subject to the reporting requirements of the Securities Exchange Act of 1934, as amended, whether by an initial public offering of the Company’s common stock or otherwise or (c) the termination of this License Agreement. The Board Observer shall be subject to the confidentiality provisions in Article 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FOUR. </w:t>
      </w:r>
      <w:r>
        <w:rPr>
          <w:rFonts w:ascii="Arial" w:cs="Arial" w:eastAsia="Arial" w:hAnsi="Arial"/>
          <w:sz w:val="18"/>
          <w:szCs w:val="18"/>
          <w:b w:val="1"/>
          <w:bCs w:val="1"/>
          <w:u w:val="single" w:color="auto"/>
          <w:color w:val="auto"/>
        </w:rPr>
        <w:t>Fees, Success Payments, Milestones, Royalties and other Payments</w:t>
      </w:r>
      <w:r>
        <w:rPr>
          <w:rFonts w:ascii="Arial" w:cs="Arial" w:eastAsia="Arial" w:hAnsi="Arial"/>
          <w:sz w:val="18"/>
          <w:szCs w:val="18"/>
          <w:b w:val="1"/>
          <w:bCs w:val="1"/>
          <w:color w:val="auto"/>
        </w:rPr>
        <w:t>.</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Annual License Fee</w:t>
      </w:r>
      <w:r>
        <w:rPr>
          <w:rFonts w:ascii="Arial" w:cs="Arial" w:eastAsia="Arial" w:hAnsi="Arial"/>
          <w:sz w:val="18"/>
          <w:szCs w:val="18"/>
          <w:color w:val="auto"/>
        </w:rPr>
        <w:t>. Licensee shall pay to TSRI a nonrefundable minimum annual license fee in the amount of [***]. The first payment is due on January 1, 2017 and on January 1 of each subsequent calendar year during the remaining term of this Agreement. After the [***] anniversary of the Effective Date, the minimum annual fee shall be credited only against running Royalties due for that calendar year and Licensee’s Royalty Reports shall reflect such a credit.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74" w:name="page475"/>
    <w:bookmarkEnd w:id="474"/>
    <w:p>
      <w:pPr>
        <w:ind w:right="1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Arial" w:cs="Arial" w:eastAsia="Arial" w:hAnsi="Arial"/>
          <w:sz w:val="18"/>
          <w:szCs w:val="18"/>
          <w:b w:val="1"/>
          <w:bCs w:val="1"/>
          <w:u w:val="single" w:color="auto"/>
          <w:color w:val="auto"/>
        </w:rPr>
        <w:t>Success Payments</w:t>
      </w:r>
      <w:r>
        <w:rPr>
          <w:rFonts w:ascii="Arial" w:cs="Arial" w:eastAsia="Arial" w:hAnsi="Arial"/>
          <w:sz w:val="18"/>
          <w:szCs w:val="18"/>
          <w:color w:val="auto"/>
        </w:rPr>
        <w:t>. The following payments shall be made in cash (unless otherwise specified below) by Licensee to TSRI within [***] days of the occurrence of any of the following events:</w:t>
      </w:r>
    </w:p>
    <w:p>
      <w:pPr>
        <w:spacing w:after="0" w:line="184"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Event</w:t>
            </w:r>
          </w:p>
        </w:tc>
        <w:tc>
          <w:tcPr>
            <w:tcW w:w="5000" w:type="dxa"/>
            <w:vAlign w:val="bottom"/>
          </w:tcPr>
          <w:p>
            <w:pPr>
              <w:jc w:val="center"/>
              <w:spacing w:after="0"/>
              <w:rPr>
                <w:sz w:val="20"/>
                <w:szCs w:val="20"/>
                <w:color w:val="auto"/>
              </w:rPr>
            </w:pPr>
            <w:r>
              <w:rPr>
                <w:rFonts w:ascii="Arial" w:cs="Arial" w:eastAsia="Arial" w:hAnsi="Arial"/>
                <w:sz w:val="14"/>
                <w:szCs w:val="14"/>
                <w:b w:val="1"/>
                <w:bCs w:val="1"/>
                <w:color w:val="auto"/>
                <w:w w:val="95"/>
              </w:rPr>
              <w:t>Payment</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2120" w:type="dxa"/>
            <w:vAlign w:val="bottom"/>
          </w:tcPr>
          <w:p>
            <w:pPr>
              <w:spacing w:after="0"/>
              <w:rPr>
                <w:sz w:val="16"/>
                <w:szCs w:val="16"/>
                <w:color w:val="auto"/>
              </w:rPr>
            </w:pPr>
          </w:p>
        </w:tc>
        <w:tc>
          <w:tcPr>
            <w:tcW w:w="50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w:t>
            </w:r>
          </w:p>
        </w:tc>
        <w:tc>
          <w:tcPr>
            <w:tcW w:w="50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w:t>
            </w:r>
          </w:p>
        </w:tc>
        <w:tc>
          <w:tcPr>
            <w:tcW w:w="500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u w:val="single" w:color="auto"/>
          <w:color w:val="auto"/>
        </w:rPr>
        <w:t>Milestones</w:t>
      </w:r>
      <w:r>
        <w:rPr>
          <w:rFonts w:ascii="Arial" w:cs="Arial" w:eastAsia="Arial" w:hAnsi="Arial"/>
          <w:sz w:val="17"/>
          <w:szCs w:val="17"/>
          <w:color w:val="auto"/>
        </w:rPr>
        <w:t>. The following product development Milestones are paid one-time per Program for the first Product from the Program to achieve such event. Notwithstanding the foregoing, in the event the first Product from a Program to achieve the milestone events is a Derivative Product or Know-How Product, the first Licensed Product from the same Program to subsequently achieve the same milestone event as the Derivative Product or Know-How Product, will earn the milestone payment at [***of the rate for a first Licensed Product. All such Milestone Payments shall be paid by Licensee to TSRI within [***] days of the occurrence of any of the Milestone Events.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Licensed Product and</w:t>
            </w:r>
          </w:p>
        </w:tc>
        <w:tc>
          <w:tcPr>
            <w:tcW w:w="3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Derivative Product</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Know-How Product</w:t>
            </w: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1"/>
              </w:rPr>
              <w:t>Milestone Event</w:t>
            </w:r>
          </w:p>
        </w:tc>
        <w:tc>
          <w:tcPr>
            <w:tcW w:w="2400" w:type="dxa"/>
            <w:vAlign w:val="bottom"/>
          </w:tcPr>
          <w:p>
            <w:pPr>
              <w:spacing w:after="0"/>
              <w:rPr>
                <w:sz w:val="12"/>
                <w:szCs w:val="12"/>
                <w:color w:val="auto"/>
              </w:rPr>
            </w:pPr>
          </w:p>
        </w:tc>
        <w:tc>
          <w:tcPr>
            <w:tcW w:w="3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 Product</w:t>
            </w:r>
          </w:p>
        </w:tc>
        <w:tc>
          <w:tcPr>
            <w:tcW w:w="310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vMerge w:val="continue"/>
          </w:tcPr>
          <w:p>
            <w:pPr>
              <w:spacing w:after="0"/>
              <w:rPr>
                <w:sz w:val="16"/>
                <w:szCs w:val="16"/>
                <w:color w:val="auto"/>
              </w:rPr>
            </w:pPr>
          </w:p>
        </w:tc>
        <w:tc>
          <w:tcPr>
            <w:tcW w:w="2400" w:type="dxa"/>
            <w:vAlign w:val="bottom"/>
          </w:tcPr>
          <w:p>
            <w:pPr>
              <w:spacing w:after="0"/>
              <w:rPr>
                <w:sz w:val="16"/>
                <w:szCs w:val="16"/>
                <w:color w:val="auto"/>
              </w:rPr>
            </w:pPr>
          </w:p>
        </w:tc>
        <w:tc>
          <w:tcPr>
            <w:tcW w:w="3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Payments</w:t>
            </w:r>
          </w:p>
        </w:tc>
        <w:tc>
          <w:tcPr>
            <w:tcW w:w="3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Payment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2400" w:type="dxa"/>
            <w:vAlign w:val="bottom"/>
          </w:tcPr>
          <w:p>
            <w:pPr>
              <w:spacing w:after="0"/>
              <w:rPr>
                <w:sz w:val="16"/>
                <w:szCs w:val="16"/>
                <w:color w:val="auto"/>
              </w:rPr>
            </w:pPr>
          </w:p>
        </w:tc>
        <w:tc>
          <w:tcPr>
            <w:tcW w:w="29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9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4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360" w:type="dxa"/>
            <w:vAlign w:val="bottom"/>
            <w:gridSpan w:val="2"/>
          </w:tcPr>
          <w:p>
            <w:pPr>
              <w:jc w:val="center"/>
              <w:ind w:left="2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360" w:type="dxa"/>
            <w:vAlign w:val="bottom"/>
            <w:gridSpan w:val="2"/>
          </w:tcPr>
          <w:p>
            <w:pPr>
              <w:jc w:val="center"/>
              <w:ind w:left="2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360" w:type="dxa"/>
            <w:vAlign w:val="bottom"/>
            <w:gridSpan w:val="2"/>
          </w:tcPr>
          <w:p>
            <w:pPr>
              <w:jc w:val="center"/>
              <w:ind w:left="2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360" w:type="dxa"/>
            <w:vAlign w:val="bottom"/>
            <w:gridSpan w:val="2"/>
          </w:tcPr>
          <w:p>
            <w:pPr>
              <w:jc w:val="center"/>
              <w:ind w:left="2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5360" w:type="dxa"/>
            <w:vAlign w:val="bottom"/>
            <w:gridSpan w:val="2"/>
          </w:tcPr>
          <w:p>
            <w:pPr>
              <w:jc w:val="center"/>
              <w:ind w:left="2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Except as set forth above, in the event that a Product is discontinued in the course of development, only those milestones that have not been paid at the time the Product has been discontinued will be available for payment for a future Product achieving the Milestone Event.</w:t>
      </w:r>
    </w:p>
    <w:p>
      <w:pPr>
        <w:spacing w:after="0" w:line="14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Running Royalties</w:t>
      </w:r>
      <w:r>
        <w:rPr>
          <w:rFonts w:ascii="Arial" w:cs="Arial" w:eastAsia="Arial" w:hAnsi="Arial"/>
          <w:sz w:val="18"/>
          <w:szCs w:val="18"/>
          <w:color w:val="auto"/>
        </w:rPr>
        <w:t>. Licensee shall pay to TSRI running royalties on a Program by Program basis, and a Product by Product and country-by country basis, on Net Sales of Product in the Territory (“Royalties”) as set forth below:</w:t>
      </w:r>
    </w:p>
    <w:p>
      <w:pPr>
        <w:spacing w:after="0" w:line="58" w:lineRule="exact"/>
        <w:rPr>
          <w:sz w:val="20"/>
          <w:szCs w:val="20"/>
          <w:color w:val="auto"/>
        </w:rPr>
      </w:pPr>
    </w:p>
    <w:p>
      <w:pPr>
        <w:ind w:left="1240" w:hanging="253"/>
        <w:spacing w:after="0"/>
        <w:tabs>
          <w:tab w:leader="none" w:pos="124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For Licensed Products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Net Sales</w:t>
            </w:r>
          </w:p>
        </w:tc>
        <w:tc>
          <w:tcPr>
            <w:tcW w:w="144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4"/>
              </w:rPr>
              <w:t>Royalty</w:t>
            </w:r>
          </w:p>
        </w:tc>
      </w:tr>
      <w:tr>
        <w:trPr>
          <w:trHeight w:val="189"/>
        </w:trPr>
        <w:tc>
          <w:tcPr>
            <w:tcW w:w="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4"/>
              </w:rPr>
              <w:t>Licensed</w:t>
            </w:r>
          </w:p>
        </w:tc>
        <w:tc>
          <w:tcPr>
            <w:tcW w:w="3740" w:type="dxa"/>
            <w:vAlign w:val="bottom"/>
          </w:tcPr>
          <w:p>
            <w:pPr>
              <w:ind w:left="140"/>
              <w:spacing w:after="0" w:line="189" w:lineRule="exact"/>
              <w:rPr>
                <w:sz w:val="20"/>
                <w:szCs w:val="20"/>
                <w:color w:val="auto"/>
              </w:rPr>
            </w:pPr>
            <w:r>
              <w:rPr>
                <w:rFonts w:ascii="Arial" w:cs="Arial" w:eastAsia="Arial" w:hAnsi="Arial"/>
                <w:sz w:val="18"/>
                <w:szCs w:val="18"/>
                <w:color w:val="auto"/>
              </w:rPr>
              <w:t>Product less than or equal to [***]</w:t>
            </w:r>
          </w:p>
        </w:tc>
        <w:tc>
          <w:tcPr>
            <w:tcW w:w="1440" w:type="dxa"/>
            <w:vAlign w:val="bottom"/>
          </w:tcPr>
          <w:p>
            <w:pPr>
              <w:spacing w:after="0"/>
              <w:rPr>
                <w:sz w:val="16"/>
                <w:szCs w:val="16"/>
                <w:color w:val="auto"/>
              </w:rPr>
            </w:pPr>
          </w:p>
        </w:tc>
        <w:tc>
          <w:tcPr>
            <w:tcW w:w="52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Licensed Product greater than [***]</w:t>
            </w:r>
          </w:p>
        </w:tc>
        <w:tc>
          <w:tcPr>
            <w:tcW w:w="6720" w:type="dxa"/>
            <w:vAlign w:val="bottom"/>
            <w:gridSpan w:val="2"/>
          </w:tcPr>
          <w:p>
            <w:pPr>
              <w:jc w:val="center"/>
              <w:ind w:left="1330"/>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Option Product</w:t>
            </w:r>
          </w:p>
        </w:tc>
        <w:tc>
          <w:tcPr>
            <w:tcW w:w="6720" w:type="dxa"/>
            <w:vAlign w:val="bottom"/>
            <w:gridSpan w:val="2"/>
          </w:tcPr>
          <w:p>
            <w:pPr>
              <w:jc w:val="center"/>
              <w:ind w:left="1330"/>
              <w:spacing w:after="0"/>
              <w:rPr>
                <w:sz w:val="20"/>
                <w:szCs w:val="20"/>
                <w:color w:val="auto"/>
              </w:rPr>
            </w:pPr>
            <w:r>
              <w:rPr>
                <w:rFonts w:ascii="Arial" w:cs="Arial" w:eastAsia="Arial" w:hAnsi="Arial"/>
                <w:sz w:val="18"/>
                <w:szCs w:val="18"/>
                <w:color w:val="auto"/>
              </w:rPr>
              <w:t>[***]</w:t>
            </w:r>
          </w:p>
        </w:tc>
      </w:tr>
      <w:tr>
        <w:trPr>
          <w:trHeight w:val="365"/>
        </w:trPr>
        <w:tc>
          <w:tcPr>
            <w:tcW w:w="5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75" w:name="page476"/>
    <w:bookmarkEnd w:id="475"/>
    <w:p>
      <w:pPr>
        <w:ind w:right="4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(i) one or more Generic Products are commercially sold in any country in the Territory in which there are no Licensed Patent Rights that would be infringed by the making, using or selling of the Generic Product, and (ii) Licensee demonstrates to TSRI that sales of such Generic Products account for [***] or more of Licensee’s or Sublicensees’ sales of Licensed Products or Option Products in such country in a calendar quarter (as determined by reference to applicable sales data published by IMS Health or another third party source that is generally recognized in the pharmaceutical industry as a reliable source for pharmaceutical sales data), then Licensee shall have no obligation to make Royalty payments to TSRI with respect to its sales of such Licensed Products or Option Products in such country that occur after the end of such calendar quarter for so long as sales of Generic Products continue to account for [***]% or more of Licensee’s or its Sublicensees’ sales of Licensed Products or Option Products in such country on a calendar quarter-by-calendar quarter basis; Licensee’s obligation to make such Royalty payments to TSRI with respect to Licensee’s or its Sublicensees’ sales of Licensed Products or Option Products in such country shall resume if sales of Generic Products account for less than [***]% of Licensee’s or its Sublicensees’ sales of Licensed Products or Option Products in such country on a calendar quarter-by-calendar quarter basis.</w:t>
      </w:r>
    </w:p>
    <w:p>
      <w:pPr>
        <w:spacing w:after="0" w:line="168" w:lineRule="exact"/>
        <w:rPr>
          <w:sz w:val="20"/>
          <w:szCs w:val="20"/>
          <w:color w:val="auto"/>
        </w:rPr>
      </w:pPr>
    </w:p>
    <w:p>
      <w:pPr>
        <w:ind w:right="120" w:firstLine="440"/>
        <w:spacing w:after="0" w:line="269" w:lineRule="auto"/>
        <w:rPr>
          <w:sz w:val="20"/>
          <w:szCs w:val="20"/>
          <w:color w:val="auto"/>
        </w:rPr>
      </w:pPr>
      <w:r>
        <w:rPr>
          <w:rFonts w:ascii="Arial" w:cs="Arial" w:eastAsia="Arial" w:hAnsi="Arial"/>
          <w:sz w:val="17"/>
          <w:szCs w:val="17"/>
          <w:color w:val="auto"/>
        </w:rPr>
        <w:t>If no U.S. Licensed Patent Rights are allowed within [***] years from the date of first examination on the merits of the applicable patent application, and/or upon the expiration of the last to expire Valid Claim of the U.S. Licensed Patent Rights and until the tenth (10th) anniversary of the first commercial sale of a particular Licensed Product or Option Product in the United States (“10</w:t>
      </w:r>
      <w:r>
        <w:rPr>
          <w:rFonts w:ascii="Arial" w:cs="Arial" w:eastAsia="Arial" w:hAnsi="Arial"/>
          <w:sz w:val="14"/>
          <w:szCs w:val="14"/>
          <w:color w:val="auto"/>
        </w:rPr>
        <w:t>th</w:t>
      </w:r>
      <w:r>
        <w:rPr>
          <w:rFonts w:ascii="Arial" w:cs="Arial" w:eastAsia="Arial" w:hAnsi="Arial"/>
          <w:sz w:val="17"/>
          <w:szCs w:val="17"/>
          <w:color w:val="auto"/>
        </w:rPr>
        <w:t xml:space="preserve"> Anniversary Date”) (provided that the last to expire Valid Claim of the U.S. Licensed Patent Rights expires prior to such 10th Anniversary Date), the parties agree that in recognition of Licensee’s use of the Licensed Know-How and the significant value of the Licensed Know-How to Licensee’s research, discovery, development and manufacture of Licensed Products and Option Products, the royalty rates set forth below in subclause (b) shall apply. For clarity, if the last to expire Valid Claim of the U.S. Licensed Patent Rights continues in existence beyond the 10th Anniversary Date of a particular Licensed Product or Option Product (i.e., has not expired prior to such 10th Anniversary Date), the royalty rates in subclause (b) below will not apply because the expiration of the last to expire Valid Claim of the U.S. Licensed Patent Rights has not occurred, and instead the royalty rates set forth above in this sub-clause (a) shall apply until the last to expire Valid Claim of the U.S. Licensed Patent Rights expires.</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 For Know-How Products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5280" w:type="dxa"/>
            <w:vAlign w:val="bottom"/>
          </w:tcPr>
          <w:p>
            <w:pPr>
              <w:jc w:val="center"/>
              <w:spacing w:after="0"/>
              <w:rPr>
                <w:sz w:val="20"/>
                <w:szCs w:val="20"/>
                <w:color w:val="auto"/>
              </w:rPr>
            </w:pPr>
            <w:r>
              <w:rPr>
                <w:rFonts w:ascii="Arial" w:cs="Arial" w:eastAsia="Arial" w:hAnsi="Arial"/>
                <w:sz w:val="14"/>
                <w:szCs w:val="14"/>
                <w:color w:val="auto"/>
                <w:w w:val="98"/>
              </w:rPr>
              <w:t>Royalty</w:t>
            </w:r>
          </w:p>
        </w:tc>
      </w:tr>
      <w:tr>
        <w:trPr>
          <w:trHeight w:val="189"/>
        </w:trPr>
        <w:tc>
          <w:tcPr>
            <w:tcW w:w="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Know-</w:t>
            </w:r>
          </w:p>
        </w:tc>
        <w:tc>
          <w:tcPr>
            <w:tcW w:w="5200" w:type="dxa"/>
            <w:vAlign w:val="bottom"/>
          </w:tcPr>
          <w:p>
            <w:pPr>
              <w:spacing w:after="0" w:line="189" w:lineRule="exact"/>
              <w:rPr>
                <w:sz w:val="20"/>
                <w:szCs w:val="20"/>
                <w:color w:val="auto"/>
              </w:rPr>
            </w:pPr>
            <w:r>
              <w:rPr>
                <w:rFonts w:ascii="Arial" w:cs="Arial" w:eastAsia="Arial" w:hAnsi="Arial"/>
                <w:sz w:val="18"/>
                <w:szCs w:val="18"/>
                <w:color w:val="auto"/>
              </w:rPr>
              <w:t>How Product less than or equal to [***]</w:t>
            </w:r>
          </w:p>
        </w:tc>
        <w:tc>
          <w:tcPr>
            <w:tcW w:w="52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Know-How Product greater than [***]</w:t>
            </w:r>
          </w:p>
        </w:tc>
        <w:tc>
          <w:tcPr>
            <w:tcW w:w="528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100" w:hanging="241"/>
        <w:spacing w:after="0"/>
        <w:tabs>
          <w:tab w:leader="none" w:pos="110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For Derivative Products: [***]%</w:t>
      </w:r>
    </w:p>
    <w:p>
      <w:pPr>
        <w:spacing w:after="0" w:line="117" w:lineRule="exact"/>
        <w:rPr>
          <w:sz w:val="20"/>
          <w:szCs w:val="20"/>
          <w:color w:val="auto"/>
        </w:rPr>
      </w:pPr>
    </w:p>
    <w:p>
      <w:pPr>
        <w:ind w:left="440" w:right="80" w:firstLine="423"/>
        <w:spacing w:after="0" w:line="259"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Royalty Payments</w:t>
      </w:r>
      <w:r>
        <w:rPr>
          <w:rFonts w:ascii="Arial" w:cs="Arial" w:eastAsia="Arial" w:hAnsi="Arial"/>
          <w:sz w:val="18"/>
          <w:szCs w:val="18"/>
          <w:color w:val="auto"/>
        </w:rPr>
        <w:t>. Licensee shall pay to TSRI all Royalties required by this Section 4 within [***] days after the end of each calendar quarter, based upon Net Sales during the immediately preceding calendar quarter. Licensee shall make all such Royalty payments itself to TSRI, and/or cause its Affiliates or Sublicensees to pay to TSRI all Royalties resulting from Net Sales by its Affiliates or Sublicensees, within the time period specified in the preceding sentence.</w:t>
      </w:r>
    </w:p>
    <w:p>
      <w:pPr>
        <w:spacing w:after="0" w:line="79" w:lineRule="exact"/>
        <w:rPr>
          <w:sz w:val="20"/>
          <w:szCs w:val="20"/>
          <w:color w:val="auto"/>
        </w:rPr>
      </w:pPr>
    </w:p>
    <w:p>
      <w:pPr>
        <w:ind w:left="440" w:right="200" w:firstLine="423"/>
        <w:spacing w:after="0" w:line="263" w:lineRule="auto"/>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Royalty Credit</w:t>
      </w:r>
      <w:r>
        <w:rPr>
          <w:rFonts w:ascii="Arial" w:cs="Arial" w:eastAsia="Arial" w:hAnsi="Arial"/>
          <w:sz w:val="18"/>
          <w:szCs w:val="18"/>
          <w:color w:val="auto"/>
        </w:rPr>
        <w:t>. If Licensee is required, upon the advice of patent counsel, to obtain a license under valid and issued patent rights of one or more third parties that cover compositions of matter or methods that encompass the composition or method claims of the Licensed Patent Rights, then License, its Affiliates or Sublicensees shall be entitled to deduct from the Royalties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476" w:name="page477"/>
    <w:bookmarkEnd w:id="476"/>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to TSRI under Section 4.4 with respect to sales of Licensed Product or Option Product up to [***] of the royalties Licensee actually paid to such third parties. The above offset right is subject to the requirement that the Royalties paid to TSRI hereunder with respect to such Licensed Product or Option Product shall not be reduced below [***] of the Royalties for that Licensed Product or Option Product that would otherwise be due hereunder without such credit. For clarity, only one of Licensee, its Affiliates or Sublicensees may exercise such right to deduct with respect to a given third-party royalty obligation. [***] Licensee will give TSRI prior written notice of any third party license that would satisfy the above requirements for a Royalty credit sufficiently in advance of deducting such credit from Royalties due to TSRI hereunder in order to allow TSRI and Licensee to mutually determine whether the requirements of this Section have been satisfied.</w:t>
      </w:r>
    </w:p>
    <w:p>
      <w:pPr>
        <w:spacing w:after="0" w:line="69" w:lineRule="exact"/>
        <w:rPr>
          <w:sz w:val="20"/>
          <w:szCs w:val="20"/>
          <w:color w:val="auto"/>
        </w:rPr>
      </w:pPr>
    </w:p>
    <w:p>
      <w:pPr>
        <w:jc w:val="both"/>
        <w:ind w:right="180" w:firstLine="423"/>
        <w:spacing w:after="0" w:line="311" w:lineRule="auto"/>
        <w:rPr>
          <w:sz w:val="20"/>
          <w:szCs w:val="20"/>
          <w:color w:val="auto"/>
        </w:rPr>
      </w:pPr>
      <w:r>
        <w:rPr>
          <w:rFonts w:ascii="Arial" w:cs="Arial" w:eastAsia="Arial" w:hAnsi="Arial"/>
          <w:sz w:val="16"/>
          <w:szCs w:val="16"/>
          <w:color w:val="auto"/>
        </w:rPr>
        <w:t xml:space="preserve">4.4.3 </w:t>
      </w:r>
      <w:r>
        <w:rPr>
          <w:rFonts w:ascii="Arial" w:cs="Arial" w:eastAsia="Arial" w:hAnsi="Arial"/>
          <w:sz w:val="16"/>
          <w:szCs w:val="16"/>
          <w:u w:val="single" w:color="auto"/>
          <w:color w:val="auto"/>
        </w:rPr>
        <w:t>Duration of Royalty Obligations</w:t>
      </w:r>
      <w:r>
        <w:rPr>
          <w:rFonts w:ascii="Arial" w:cs="Arial" w:eastAsia="Arial" w:hAnsi="Arial"/>
          <w:sz w:val="16"/>
          <w:szCs w:val="16"/>
          <w:color w:val="auto"/>
        </w:rPr>
        <w:t>. The royalty obligations of Licensee, its Affiliates or Sublicensees as to each Product shall continue on a country-by-country basis until the later of (a) the expiration of the last to expire Valid Claim of the Licensed Patent Rights in the Territory, and (b) the tenth (10th) anniversary of the first commercial sale of such Product in such country, except as otherwise provided in Section 4.4(a).</w:t>
      </w:r>
    </w:p>
    <w:p>
      <w:pPr>
        <w:spacing w:after="0" w:line="41" w:lineRule="exact"/>
        <w:rPr>
          <w:sz w:val="20"/>
          <w:szCs w:val="20"/>
          <w:color w:val="auto"/>
        </w:rPr>
      </w:pPr>
    </w:p>
    <w:p>
      <w:pPr>
        <w:ind w:firstLine="423"/>
        <w:spacing w:after="0" w:line="308"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u w:val="single" w:color="auto"/>
          <w:color w:val="auto"/>
        </w:rPr>
        <w:t>No Multiple Royalties</w:t>
      </w:r>
      <w:r>
        <w:rPr>
          <w:rFonts w:ascii="Arial" w:cs="Arial" w:eastAsia="Arial" w:hAnsi="Arial"/>
          <w:sz w:val="17"/>
          <w:szCs w:val="17"/>
          <w:color w:val="auto"/>
        </w:rPr>
        <w:t>. No multiple Royalties shall be due because a Licensed Product is covered by more than one Valid Claim within the Licensed Patent Rights. In such case, Licensee shall pay only one Royalty at the applicable rate pursuant to Section 4.4 above.</w:t>
      </w:r>
    </w:p>
    <w:p>
      <w:pPr>
        <w:spacing w:after="0" w:line="38" w:lineRule="exact"/>
        <w:rPr>
          <w:sz w:val="20"/>
          <w:szCs w:val="20"/>
          <w:color w:val="auto"/>
        </w:rPr>
      </w:pPr>
    </w:p>
    <w:p>
      <w:pPr>
        <w:ind w:right="40" w:firstLine="423"/>
        <w:spacing w:after="0" w:line="273" w:lineRule="auto"/>
        <w:rPr>
          <w:sz w:val="20"/>
          <w:szCs w:val="20"/>
          <w:color w:val="auto"/>
        </w:rPr>
      </w:pPr>
      <w:r>
        <w:rPr>
          <w:rFonts w:ascii="Arial" w:cs="Arial" w:eastAsia="Arial" w:hAnsi="Arial"/>
          <w:sz w:val="17"/>
          <w:szCs w:val="17"/>
          <w:color w:val="auto"/>
        </w:rPr>
        <w:t xml:space="preserve">4.4.5 </w:t>
      </w:r>
      <w:r>
        <w:rPr>
          <w:rFonts w:ascii="Arial" w:cs="Arial" w:eastAsia="Arial" w:hAnsi="Arial"/>
          <w:sz w:val="17"/>
          <w:szCs w:val="17"/>
          <w:u w:val="single" w:color="auto"/>
          <w:color w:val="auto"/>
        </w:rPr>
        <w:t>Non-Arms-Length Transactions</w:t>
      </w:r>
      <w:r>
        <w:rPr>
          <w:rFonts w:ascii="Arial" w:cs="Arial" w:eastAsia="Arial" w:hAnsi="Arial"/>
          <w:sz w:val="17"/>
          <w:szCs w:val="17"/>
          <w:color w:val="auto"/>
        </w:rPr>
        <w:t>. On sales of Products which are made in a Non-Arm’s-Length Transaction, the value of the Net Sales attributed under this Section 4 to such a transaction shall be that which would have been received in an arm’s-length transaction, based on sales of like quality and quantity products, services or processes on or about the time of such transaction. “Non-Arm’s-Length Transaction” means any sale, loan, lease, consignment, distribution or transfer or use of Products wherein the entity receiving the Products enjoys a special course of dealing with Licensee and where such entity receives preferred pricing for Products. For clarification, reasonable and customary discounts provided to purchasers in an arm’s length negotiation shall not be considered a Non-Arm’s-Length Transaction.</w:t>
      </w:r>
    </w:p>
    <w:p>
      <w:pPr>
        <w:spacing w:after="0" w:line="70" w:lineRule="exact"/>
        <w:rPr>
          <w:sz w:val="20"/>
          <w:szCs w:val="20"/>
          <w:color w:val="auto"/>
        </w:rPr>
      </w:pPr>
    </w:p>
    <w:p>
      <w:pPr>
        <w:ind w:right="280" w:firstLine="423"/>
        <w:spacing w:after="0" w:line="263"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Royalty Reports</w:t>
      </w:r>
      <w:r>
        <w:rPr>
          <w:rFonts w:ascii="Arial" w:cs="Arial" w:eastAsia="Arial" w:hAnsi="Arial"/>
          <w:sz w:val="18"/>
          <w:szCs w:val="18"/>
          <w:color w:val="auto"/>
        </w:rPr>
        <w:t>. Licensee shall submit to TSRI, no later than [***] days after the end of each calendar quarter starting with the calendar quarter in which the first commercial sale of a Product occurs, a royalty report (the “Royalty Report”) setting forth for such quarter at least the following information on a country-by-country and Product-by-Product basis:</w:t>
      </w:r>
    </w:p>
    <w:p>
      <w:pPr>
        <w:spacing w:after="0" w:line="76" w:lineRule="exact"/>
        <w:rPr>
          <w:sz w:val="20"/>
          <w:szCs w:val="20"/>
          <w:color w:val="auto"/>
        </w:rPr>
      </w:pPr>
    </w:p>
    <w:p>
      <w:pPr>
        <w:ind w:left="1200" w:hanging="252"/>
        <w:spacing w:after="0"/>
        <w:tabs>
          <w:tab w:leader="none" w:pos="12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number of units of Products sold by Licensee, its Affiliates and its Sublicensees;</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gross amounts due or invoiced for such Products sold by Licensee, its Affiliates and its Sublicensees;</w:t>
      </w:r>
    </w:p>
    <w:p>
      <w:pPr>
        <w:spacing w:after="0" w:line="117" w:lineRule="exact"/>
        <w:rPr>
          <w:rFonts w:ascii="Arial" w:cs="Arial" w:eastAsia="Arial" w:hAnsi="Arial"/>
          <w:sz w:val="18"/>
          <w:szCs w:val="18"/>
          <w:color w:val="auto"/>
        </w:rPr>
      </w:pPr>
    </w:p>
    <w:p>
      <w:pPr>
        <w:ind w:left="540" w:right="80" w:firstLine="408"/>
        <w:spacing w:after="0" w:line="263" w:lineRule="auto"/>
        <w:tabs>
          <w:tab w:leader="none" w:pos="118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 detailed listing of any Royalty credits permitted under Section 4.4.2 and deductions applicable to determine Net Sales of Products pursuant to Section 1.16, and any refunds or reimbursed amounts previously deducted and which are deemed Net Sales pursuant to Section 1.16; and</w:t>
      </w:r>
    </w:p>
    <w:p>
      <w:pPr>
        <w:spacing w:after="0" w:line="75" w:lineRule="exact"/>
        <w:rPr>
          <w:rFonts w:ascii="Arial" w:cs="Arial" w:eastAsia="Arial" w:hAnsi="Arial"/>
          <w:sz w:val="18"/>
          <w:szCs w:val="18"/>
          <w:color w:val="auto"/>
        </w:rPr>
      </w:pPr>
    </w:p>
    <w:p>
      <w:pPr>
        <w:ind w:left="540" w:right="240" w:firstLine="408"/>
        <w:spacing w:after="0" w:line="277" w:lineRule="auto"/>
        <w:tabs>
          <w:tab w:leader="none" w:pos="119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amount of Royalties due under Section 4, or if no Royalties are due to TSRI for any reporting period, the statement that no Royalties are due and a [***] explanation why they are not due for that quarterly period.</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40"/>
          </w:cols>
          <w:pgMar w:left="880" w:top="273" w:right="479" w:bottom="1440" w:gutter="0" w:footer="0" w:header="0"/>
        </w:sectPr>
      </w:pPr>
    </w:p>
    <w:bookmarkStart w:id="477" w:name="page478"/>
    <w:bookmarkEnd w:id="47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Royalty Report shall be certified as correct by an officer of Licensee, its Affiliate or Sublicensee.</w:t>
      </w:r>
    </w:p>
    <w:p>
      <w:pPr>
        <w:spacing w:after="0" w:line="117" w:lineRule="exact"/>
        <w:rPr>
          <w:sz w:val="20"/>
          <w:szCs w:val="20"/>
          <w:color w:val="auto"/>
        </w:rPr>
      </w:pPr>
    </w:p>
    <w:p>
      <w:pPr>
        <w:ind w:left="440" w:right="160" w:firstLine="423"/>
        <w:spacing w:after="0" w:line="257" w:lineRule="auto"/>
        <w:rPr>
          <w:sz w:val="20"/>
          <w:szCs w:val="20"/>
          <w:color w:val="auto"/>
        </w:rPr>
      </w:pPr>
      <w:r>
        <w:rPr>
          <w:rFonts w:ascii="Arial" w:cs="Arial" w:eastAsia="Arial" w:hAnsi="Arial"/>
          <w:sz w:val="18"/>
          <w:szCs w:val="18"/>
          <w:color w:val="auto"/>
        </w:rPr>
        <w:t xml:space="preserve">4.4.7 </w:t>
      </w:r>
      <w:r>
        <w:rPr>
          <w:rFonts w:ascii="Arial" w:cs="Arial" w:eastAsia="Arial" w:hAnsi="Arial"/>
          <w:sz w:val="18"/>
          <w:szCs w:val="18"/>
          <w:u w:val="single" w:color="auto"/>
          <w:color w:val="auto"/>
        </w:rPr>
        <w:t>Payments</w:t>
      </w:r>
      <w:r>
        <w:rPr>
          <w:rFonts w:ascii="Arial" w:cs="Arial" w:eastAsia="Arial" w:hAnsi="Arial"/>
          <w:sz w:val="18"/>
          <w:szCs w:val="18"/>
          <w:color w:val="auto"/>
        </w:rPr>
        <w:t>. Licensee shall pay to TSRI with each Royalty Report the amount of Royalties due with respect to such quarter. If multiple technologies are covered by the licenses granted hereunder and Products are based on different technologies, Licensee shall specify which Licensed Patent Rights are utilized for each Product included in the Royalty Report. All payments due under this Agreement shall be deemed received when funds are credited to TSRI’s bank account and shall be payable by check or wire transfer in United States Dollars to an account designated by TSRI.</w:t>
      </w:r>
    </w:p>
    <w:p>
      <w:pPr>
        <w:spacing w:after="0" w:line="80" w:lineRule="exact"/>
        <w:rPr>
          <w:sz w:val="20"/>
          <w:szCs w:val="20"/>
          <w:color w:val="auto"/>
        </w:rPr>
      </w:pPr>
    </w:p>
    <w:p>
      <w:pPr>
        <w:ind w:left="440" w:right="80" w:firstLine="423"/>
        <w:spacing w:after="0" w:line="272" w:lineRule="auto"/>
        <w:rPr>
          <w:sz w:val="20"/>
          <w:szCs w:val="20"/>
          <w:color w:val="auto"/>
        </w:rPr>
      </w:pPr>
      <w:r>
        <w:rPr>
          <w:rFonts w:ascii="Arial" w:cs="Arial" w:eastAsia="Arial" w:hAnsi="Arial"/>
          <w:sz w:val="17"/>
          <w:szCs w:val="17"/>
          <w:color w:val="auto"/>
        </w:rPr>
        <w:t xml:space="preserve">4.4.8 </w:t>
      </w:r>
      <w:r>
        <w:rPr>
          <w:rFonts w:ascii="Arial" w:cs="Arial" w:eastAsia="Arial" w:hAnsi="Arial"/>
          <w:sz w:val="17"/>
          <w:szCs w:val="17"/>
          <w:u w:val="single" w:color="auto"/>
          <w:color w:val="auto"/>
        </w:rPr>
        <w:t>Foreign Sales</w:t>
      </w:r>
      <w:r>
        <w:rPr>
          <w:rFonts w:ascii="Arial" w:cs="Arial" w:eastAsia="Arial" w:hAnsi="Arial"/>
          <w:sz w:val="17"/>
          <w:szCs w:val="17"/>
          <w:color w:val="auto"/>
        </w:rPr>
        <w:t>. The remittance of Royalties payable on sales outside the United States shall be payable to TSRI in United States Dollar equivalents at the official rate of exchange of the currency of the country from which the Royalties are payable, as quoted in The Wall Street Journal for the last business day of the calendar quarter in which the royalties are payable. If the transfer of or the conversion into the United States Dollar equivalents of any such remittance in any such instance is not lawful or possible, the payment of such part of the Royalties as is necessary shall be made by the deposit thereof, in the currency of the country where the sale was made on which the Royalty was based, to the credit and account of TSRI or its nominee in any commercial bank or trust company designated by TSRI and located in that country, prompt written notice of which shall be given by Licensee to TSRI.</w:t>
      </w:r>
    </w:p>
    <w:p>
      <w:pPr>
        <w:spacing w:after="0" w:line="69" w:lineRule="exact"/>
        <w:rPr>
          <w:sz w:val="20"/>
          <w:szCs w:val="20"/>
          <w:color w:val="auto"/>
        </w:rPr>
      </w:pPr>
    </w:p>
    <w:p>
      <w:pPr>
        <w:ind w:left="440" w:firstLine="423"/>
        <w:spacing w:after="0" w:line="286" w:lineRule="auto"/>
        <w:rPr>
          <w:sz w:val="20"/>
          <w:szCs w:val="20"/>
          <w:color w:val="auto"/>
        </w:rPr>
      </w:pPr>
      <w:r>
        <w:rPr>
          <w:rFonts w:ascii="Arial" w:cs="Arial" w:eastAsia="Arial" w:hAnsi="Arial"/>
          <w:sz w:val="16"/>
          <w:szCs w:val="16"/>
          <w:color w:val="auto"/>
        </w:rPr>
        <w:t xml:space="preserve">4.4.9 </w:t>
      </w:r>
      <w:r>
        <w:rPr>
          <w:rFonts w:ascii="Arial" w:cs="Arial" w:eastAsia="Arial" w:hAnsi="Arial"/>
          <w:sz w:val="16"/>
          <w:szCs w:val="16"/>
          <w:u w:val="single" w:color="auto"/>
          <w:color w:val="auto"/>
        </w:rPr>
        <w:t>Record Keeping</w:t>
      </w:r>
      <w:r>
        <w:rPr>
          <w:rFonts w:ascii="Arial" w:cs="Arial" w:eastAsia="Arial" w:hAnsi="Arial"/>
          <w:sz w:val="16"/>
          <w:szCs w:val="16"/>
          <w:color w:val="auto"/>
        </w:rPr>
        <w:t>. Licensee shall keep, and shall require its Affiliates and Sublicensees to keep, accurate records (together with supporting documentation) of all Products made, used and sold under this Agreement, as appropriate to determine the amount of Royalties (including the calculations of Royalty credits, Milestone payments and other monies due to TSRI hereunder, as well as records regarding Sublicense Revenues, and Licensee’s compliance with this Agreement. Such records shall be retained for at least [***] years following the end of the reporting period to which such records relate. Such records shall be available, upon prior written notice to Licensee, during normal business hours for examination and copying [***] by TSRI’s designated certified public accountant in confidence for the purpose of verifying the accuracy of Licensee’s reports and payments hereunder and its compliance with this Agreement. In conducting examinations pursuant to this Section, [***] accountant shall have access to, [***], all records which [***] accountant reasonably believes to be relevant to the calculation of royalties and other payments under this Article Four, other financial obligations under this Agreement and to Licensee’s compliance with this Agreement. These examinations shall be at TSRI’s expense, except that if an examination shows an underreporting or underpayment of [***] or more for any [***] month period, then Licensee shall pay the reasonable cost of such examination (including without limitation TSRI’s attorney’s fees, accountant’s fees and other costs), as well as any additional payments that would have been payable to TSRI had Licensee reported correctly, plus interest on such amounts at the rate of [***] per month. All payments due hereunder shall be made within [***] days of Licensee’s receipt of a copy of the audit report. TSRI may exercise its audit rights under this Section 4.4.9 no more frequently than [***] in any calendar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Payment Increase in the Event of a Challenge</w:t>
      </w:r>
      <w:r>
        <w:rPr>
          <w:rFonts w:ascii="Arial" w:cs="Arial" w:eastAsia="Arial" w:hAnsi="Arial"/>
          <w:sz w:val="18"/>
          <w:szCs w:val="18"/>
          <w:color w:val="auto"/>
        </w:rPr>
        <w:t>.</w:t>
      </w:r>
    </w:p>
    <w:p>
      <w:pPr>
        <w:spacing w:after="0" w:line="121" w:lineRule="exact"/>
        <w:rPr>
          <w:sz w:val="20"/>
          <w:szCs w:val="20"/>
          <w:color w:val="auto"/>
        </w:rPr>
      </w:pPr>
    </w:p>
    <w:p>
      <w:pPr>
        <w:ind w:left="440" w:right="100" w:firstLine="423"/>
        <w:spacing w:after="0" w:line="255" w:lineRule="auto"/>
        <w:rPr>
          <w:sz w:val="20"/>
          <w:szCs w:val="20"/>
          <w:color w:val="auto"/>
        </w:rPr>
      </w:pPr>
      <w:r>
        <w:rPr>
          <w:rFonts w:ascii="Arial" w:cs="Arial" w:eastAsia="Arial" w:hAnsi="Arial"/>
          <w:sz w:val="18"/>
          <w:szCs w:val="18"/>
          <w:color w:val="auto"/>
        </w:rPr>
        <w:t xml:space="preserve">4.5.1 </w:t>
      </w:r>
      <w:r>
        <w:rPr>
          <w:rFonts w:ascii="Arial" w:cs="Arial" w:eastAsia="Arial" w:hAnsi="Arial"/>
          <w:sz w:val="18"/>
          <w:szCs w:val="18"/>
          <w:u w:val="single" w:color="auto"/>
          <w:color w:val="auto"/>
        </w:rPr>
        <w:t>Increase</w:t>
      </w:r>
      <w:r>
        <w:rPr>
          <w:rFonts w:ascii="Arial" w:cs="Arial" w:eastAsia="Arial" w:hAnsi="Arial"/>
          <w:sz w:val="18"/>
          <w:szCs w:val="18"/>
          <w:color w:val="auto"/>
        </w:rPr>
        <w:t>. Notwithstanding anything to the contrary in this Agreement, in the event Licensee or a Sublicensee directly or indirectly institutes or makes any Challenges, the amount of the minimum annual license fee, the amount of the Milestone payments and the Royalty rates for Licensed Products and Option Products, and the rates for Sublicense Payments due under this Article Four shall be [***] during the pendency of such Challenges from the date the challenging party first institutes or makes such Challenges and during the pendency of such Challenges, and shall continue to apply after the conclusion of such Challenges in the event that at least one (1) Valid Claim that covers a Licensed Product or Option Product is held to be valid and enforceable.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3" w:right="459" w:bottom="1440" w:gutter="0" w:footer="0" w:header="0"/>
        </w:sectPr>
      </w:pPr>
    </w:p>
    <w:bookmarkStart w:id="478" w:name="page479"/>
    <w:bookmarkEnd w:id="478"/>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4.5.2 </w:t>
      </w:r>
      <w:r>
        <w:rPr>
          <w:rFonts w:ascii="Arial" w:cs="Arial" w:eastAsia="Arial" w:hAnsi="Arial"/>
          <w:sz w:val="18"/>
          <w:szCs w:val="18"/>
          <w:u w:val="single" w:color="auto"/>
          <w:color w:val="auto"/>
        </w:rPr>
        <w:t>[***]</w:t>
      </w:r>
      <w:r>
        <w:rPr>
          <w:rFonts w:ascii="Arial" w:cs="Arial" w:eastAsia="Arial" w:hAnsi="Arial"/>
          <w:sz w:val="18"/>
          <w:szCs w:val="18"/>
          <w:color w:val="auto"/>
        </w:rPr>
        <w:t>. In the event Licensee or a Sublicensee directly or indirectly institutes or makes any Challenges, Licensee [***].</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4.5.3 </w:t>
      </w:r>
      <w:r>
        <w:rPr>
          <w:rFonts w:ascii="Arial" w:cs="Arial" w:eastAsia="Arial" w:hAnsi="Arial"/>
          <w:sz w:val="18"/>
          <w:szCs w:val="18"/>
          <w:u w:val="single" w:color="auto"/>
          <w:color w:val="auto"/>
        </w:rPr>
        <w:t>[***]</w:t>
      </w:r>
      <w:r>
        <w:rPr>
          <w:rFonts w:ascii="Arial" w:cs="Arial" w:eastAsia="Arial" w:hAnsi="Arial"/>
          <w:sz w:val="18"/>
          <w:szCs w:val="18"/>
          <w:color w:val="auto"/>
        </w:rPr>
        <w:t>. Licensee will provide [***], and Licensee agrees that [***]. Licensee will [***]. During such [***], the parties will [***].</w:t>
      </w:r>
    </w:p>
    <w:p>
      <w:pPr>
        <w:spacing w:after="0" w:line="117" w:lineRule="exact"/>
        <w:rPr>
          <w:sz w:val="20"/>
          <w:szCs w:val="20"/>
          <w:color w:val="auto"/>
        </w:rPr>
      </w:pPr>
    </w:p>
    <w:p>
      <w:pPr>
        <w:ind w:left="440" w:right="60" w:firstLine="423"/>
        <w:spacing w:after="0" w:line="291" w:lineRule="auto"/>
        <w:rPr>
          <w:sz w:val="20"/>
          <w:szCs w:val="20"/>
          <w:color w:val="auto"/>
        </w:rPr>
      </w:pPr>
      <w:r>
        <w:rPr>
          <w:rFonts w:ascii="Arial" w:cs="Arial" w:eastAsia="Arial" w:hAnsi="Arial"/>
          <w:sz w:val="16"/>
          <w:szCs w:val="16"/>
          <w:color w:val="auto"/>
        </w:rPr>
        <w:t xml:space="preserve">4.5.4 </w:t>
      </w:r>
      <w:r>
        <w:rPr>
          <w:rFonts w:ascii="Arial" w:cs="Arial" w:eastAsia="Arial" w:hAnsi="Arial"/>
          <w:sz w:val="16"/>
          <w:szCs w:val="16"/>
          <w:u w:val="single" w:color="auto"/>
          <w:color w:val="auto"/>
        </w:rPr>
        <w:t>Reasonable Provisions</w:t>
      </w:r>
      <w:r>
        <w:rPr>
          <w:rFonts w:ascii="Arial" w:cs="Arial" w:eastAsia="Arial" w:hAnsi="Arial"/>
          <w:sz w:val="16"/>
          <w:szCs w:val="16"/>
          <w:color w:val="auto"/>
        </w:rPr>
        <w:t>. The parties agree that neither of them is entering into this Agreement with the anticipation that any Challenges will be instituted or made by Licensee or any of its Sublicensees against TSRI, and consequently the amount of annual license fees, Milestone payments, Royalties and Sublicense Payments reflect that understanding. Licensee and TSRI further agree that if the parties did expect that such Challenges would be made against TSRI, the annual license fees, Milestone payments, Royalties and Sublicense Payments would have been higher. Accordingly, the parties agree that the provisions for increasing the amounts set forth in Section 4.5.1 are reasonable and reflect a mutual adjustment of certain financial provisions of this Agreement to accommodate those situations in which an unsuccessful Challenge is made against TSRI instead of increasing those amounts in this Agreement as of the Effective Date.</w:t>
      </w:r>
    </w:p>
    <w:p>
      <w:pPr>
        <w:spacing w:after="0" w:line="37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u w:val="single" w:color="auto"/>
          <w:color w:val="auto"/>
        </w:rPr>
        <w:t>Sublicense Payments</w:t>
      </w:r>
      <w:r>
        <w:rPr>
          <w:rFonts w:ascii="Arial" w:cs="Arial" w:eastAsia="Arial" w:hAnsi="Arial"/>
          <w:sz w:val="16"/>
          <w:szCs w:val="16"/>
          <w:color w:val="auto"/>
        </w:rPr>
        <w:t>. All Sublicense Revenues shall be reported and Sublicense Payments (defined below) paid to TSRI by Licensee within [***] days of Licensee’s receipt of such Sublicense Revenues. Licensee’s reports to TSRI regarding Sublicense Revenues shall contain an explanation and calculation of the amount of Sublicense Payments due to TSRI pursuant to the schedule below. Licensee’s obligation to pay Sublicense Payments to TSRI shall continue on a country by country and Product by Product basis for as long as Royalties are due to TSRI pursuant to Section 4.4. Licensee shall pay to TSRI a non-creditable, non-refundable percentage of Sublicense Revenues according to the following schedule (“Sublicense Payments”):</w:t>
      </w:r>
    </w:p>
    <w:p>
      <w:pPr>
        <w:spacing w:after="0" w:line="16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540" w:type="dxa"/>
            <w:vAlign w:val="bottom"/>
          </w:tcPr>
          <w:p>
            <w:pPr>
              <w:spacing w:after="0"/>
              <w:rPr>
                <w:sz w:val="20"/>
                <w:szCs w:val="20"/>
                <w:color w:val="auto"/>
              </w:rPr>
            </w:pPr>
            <w:r>
              <w:rPr>
                <w:rFonts w:ascii="Arial" w:cs="Arial" w:eastAsia="Arial" w:hAnsi="Arial"/>
                <w:sz w:val="14"/>
                <w:szCs w:val="14"/>
                <w:b w:val="1"/>
                <w:bCs w:val="1"/>
                <w:color w:val="auto"/>
              </w:rPr>
              <w:t>Date of Sublicense</w:t>
            </w:r>
          </w:p>
        </w:tc>
        <w:tc>
          <w:tcPr>
            <w:tcW w:w="54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1"/>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(from the Effective Date)</w:t>
            </w:r>
          </w:p>
        </w:tc>
        <w:tc>
          <w:tcPr>
            <w:tcW w:w="5940" w:type="dxa"/>
            <w:vAlign w:val="bottom"/>
            <w:gridSpan w:val="2"/>
          </w:tcPr>
          <w:p>
            <w:pPr>
              <w:jc w:val="center"/>
              <w:ind w:left="5396"/>
              <w:spacing w:after="0"/>
              <w:rPr>
                <w:sz w:val="20"/>
                <w:szCs w:val="20"/>
                <w:color w:val="auto"/>
              </w:rPr>
            </w:pPr>
            <w:r>
              <w:rPr>
                <w:rFonts w:ascii="Arial" w:cs="Arial" w:eastAsia="Arial" w:hAnsi="Arial"/>
                <w:sz w:val="14"/>
                <w:szCs w:val="14"/>
                <w:b w:val="1"/>
                <w:bCs w:val="1"/>
                <w:color w:val="auto"/>
              </w:rPr>
              <w:t>%</w:t>
            </w:r>
          </w:p>
        </w:tc>
      </w:tr>
      <w:tr>
        <w:trPr>
          <w:trHeight w:val="189"/>
        </w:trPr>
        <w:tc>
          <w:tcPr>
            <w:tcW w:w="1540" w:type="dxa"/>
            <w:vAlign w:val="bottom"/>
          </w:tcPr>
          <w:p>
            <w:pPr>
              <w:spacing w:after="0" w:line="189" w:lineRule="exact"/>
              <w:rPr>
                <w:sz w:val="20"/>
                <w:szCs w:val="20"/>
                <w:color w:val="auto"/>
              </w:rPr>
            </w:pPr>
            <w:r>
              <w:rPr>
                <w:rFonts w:ascii="Arial" w:cs="Arial" w:eastAsia="Arial" w:hAnsi="Arial"/>
                <w:sz w:val="18"/>
                <w:szCs w:val="18"/>
                <w:color w:val="auto"/>
              </w:rPr>
              <w:t>[***] years</w:t>
            </w:r>
          </w:p>
        </w:tc>
        <w:tc>
          <w:tcPr>
            <w:tcW w:w="5480" w:type="dxa"/>
            <w:vAlign w:val="bottom"/>
          </w:tcPr>
          <w:p>
            <w:pPr>
              <w:spacing w:after="0"/>
              <w:rPr>
                <w:sz w:val="16"/>
                <w:szCs w:val="16"/>
                <w:color w:val="auto"/>
              </w:rPr>
            </w:pPr>
          </w:p>
        </w:tc>
        <w:tc>
          <w:tcPr>
            <w:tcW w:w="4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 years</w:t>
            </w:r>
          </w:p>
        </w:tc>
        <w:tc>
          <w:tcPr>
            <w:tcW w:w="5940" w:type="dxa"/>
            <w:vAlign w:val="bottom"/>
            <w:gridSpan w:val="2"/>
          </w:tcPr>
          <w:p>
            <w:pPr>
              <w:jc w:val="center"/>
              <w:ind w:left="5396"/>
              <w:spacing w:after="0"/>
              <w:rPr>
                <w:sz w:val="20"/>
                <w:szCs w:val="20"/>
                <w:color w:val="auto"/>
              </w:rPr>
            </w:pPr>
            <w:r>
              <w:rPr>
                <w:rFonts w:ascii="Arial" w:cs="Arial" w:eastAsia="Arial" w:hAnsi="Arial"/>
                <w:sz w:val="18"/>
                <w:szCs w:val="18"/>
                <w:color w:val="auto"/>
              </w:rPr>
              <w:t>[***]</w:t>
            </w: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 years</w:t>
            </w:r>
          </w:p>
        </w:tc>
        <w:tc>
          <w:tcPr>
            <w:tcW w:w="5940" w:type="dxa"/>
            <w:vAlign w:val="bottom"/>
            <w:gridSpan w:val="2"/>
          </w:tcPr>
          <w:p>
            <w:pPr>
              <w:jc w:val="center"/>
              <w:ind w:left="5396"/>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FIVE. </w:t>
      </w:r>
      <w:r>
        <w:rPr>
          <w:rFonts w:ascii="Arial" w:cs="Arial" w:eastAsia="Arial" w:hAnsi="Arial"/>
          <w:sz w:val="18"/>
          <w:szCs w:val="18"/>
          <w:b w:val="1"/>
          <w:bCs w:val="1"/>
          <w:u w:val="single" w:color="auto"/>
          <w:color w:val="auto"/>
        </w:rPr>
        <w:t>Development and Commercialization</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right="100"/>
        <w:spacing w:after="0" w:line="31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R&amp;D Plan</w:t>
      </w:r>
      <w:r>
        <w:rPr>
          <w:rFonts w:ascii="Arial" w:cs="Arial" w:eastAsia="Arial" w:hAnsi="Arial"/>
          <w:sz w:val="16"/>
          <w:szCs w:val="16"/>
          <w:color w:val="auto"/>
        </w:rPr>
        <w:t>. Licensee will conduct the research and development of Products for each Program in accordance with a research and development plan (the “R&amp;D Plan”). The R&amp;D Plan for each Program for the first [***] years after the Effective Date is attached hereto as Exhibit C. The R&amp;D Plan for each Program will be updated [***] by Licensee and delivered to TSRI in conjunction with Licensee’s progress reports under Section 5.4 until [***].</w:t>
      </w:r>
    </w:p>
    <w:p>
      <w:pPr>
        <w:spacing w:after="0" w:line="142"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JRC</w:t>
      </w:r>
      <w:r>
        <w:rPr>
          <w:rFonts w:ascii="Arial" w:cs="Arial" w:eastAsia="Arial" w:hAnsi="Arial"/>
          <w:sz w:val="17"/>
          <w:szCs w:val="17"/>
          <w:color w:val="auto"/>
        </w:rPr>
        <w:t>. The parties will establish a Joint Research Committee (“JRC”) comprised of an equal number of representatives of each of TSRI and Licensee. All decisions of the JRC will be unanimous. The JRC will meet [***] a year for the first [***] years and [***] thereafter to review the R&amp;D Plan for each Program, review progress and set Benchmark Events and Benchmark Dates (as defined below) for each Program. Upon NDA approval of Products in all Programs, the JRC will be disbanded. JRC meetings may be in person or by teleconference or by videoconference.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3" w:right="459" w:bottom="1440" w:gutter="0" w:footer="0" w:header="0"/>
        </w:sectPr>
      </w:pPr>
    </w:p>
    <w:bookmarkStart w:id="479" w:name="page480"/>
    <w:bookmarkEnd w:id="4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5.3 </w:t>
      </w:r>
      <w:r>
        <w:rPr>
          <w:rFonts w:ascii="Arial" w:cs="Arial" w:eastAsia="Arial" w:hAnsi="Arial"/>
          <w:sz w:val="18"/>
          <w:szCs w:val="18"/>
          <w:b w:val="1"/>
          <w:bCs w:val="1"/>
          <w:u w:val="single" w:color="auto"/>
          <w:color w:val="auto"/>
        </w:rPr>
        <w:t>Diligence</w:t>
      </w:r>
      <w:r>
        <w:rPr>
          <w:rFonts w:ascii="Arial" w:cs="Arial" w:eastAsia="Arial" w:hAnsi="Arial"/>
          <w:sz w:val="18"/>
          <w:szCs w:val="18"/>
          <w:color w:val="auto"/>
        </w:rPr>
        <w:t>.</w:t>
      </w:r>
    </w:p>
    <w:p>
      <w:pPr>
        <w:spacing w:after="0" w:line="121" w:lineRule="exact"/>
        <w:rPr>
          <w:sz w:val="20"/>
          <w:szCs w:val="20"/>
          <w:color w:val="auto"/>
        </w:rPr>
      </w:pPr>
    </w:p>
    <w:p>
      <w:pPr>
        <w:ind w:left="440" w:firstLine="419"/>
        <w:spacing w:after="0" w:line="271" w:lineRule="auto"/>
        <w:tabs>
          <w:tab w:leader="none" w:pos="1107"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Benchmarks</w:t>
      </w:r>
      <w:r>
        <w:rPr>
          <w:rFonts w:ascii="Arial" w:cs="Arial" w:eastAsia="Arial" w:hAnsi="Arial"/>
          <w:sz w:val="17"/>
          <w:szCs w:val="17"/>
          <w:color w:val="auto"/>
        </w:rPr>
        <w:t>. Licensee’s progress in the conduct of the Programs will be measured through the achievement of research and development milestone events (“Benchmark Events”) by specified achievement dates (“Benchmark Dates”). The initial [***] Benchmark Events and their associated Benchmark Dates for each Program are included in the R&amp;D Plan attached hereto as Exhibit C. After the initial [***] Benchmark Events have been achieved, the JRC will set a maximum of [***] subsequent Benchmark Events and Benchmark Dates for each Program based on Commercially Reasonable plans and projections. On [***] basis, the JRC will review the progress of each Program and may, if necessary and justified, reset Benchmark Events and Benchmark Dates based on available data and relevant circumstances for each Program and Commercially Reasonable expectations. If the JRC is unable to agree upon the subsequent Benchmark Events or Benchmark Dates for each Program, the parties will follow the escalation process described below in Section 5.3(b).</w:t>
      </w:r>
    </w:p>
    <w:p>
      <w:pPr>
        <w:spacing w:after="0" w:line="70" w:lineRule="exact"/>
        <w:rPr>
          <w:rFonts w:ascii="Arial" w:cs="Arial" w:eastAsia="Arial" w:hAnsi="Arial"/>
          <w:sz w:val="17"/>
          <w:szCs w:val="17"/>
          <w:color w:val="auto"/>
        </w:rPr>
      </w:pPr>
    </w:p>
    <w:p>
      <w:pPr>
        <w:ind w:left="440" w:right="20" w:firstLine="419"/>
        <w:spacing w:after="0" w:line="267" w:lineRule="auto"/>
        <w:tabs>
          <w:tab w:leader="none" w:pos="1118"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Disputes</w:t>
      </w:r>
      <w:r>
        <w:rPr>
          <w:rFonts w:ascii="Arial" w:cs="Arial" w:eastAsia="Arial" w:hAnsi="Arial"/>
          <w:sz w:val="17"/>
          <w:szCs w:val="17"/>
          <w:color w:val="auto"/>
        </w:rPr>
        <w:t>. In the event Licensee fails to achieve any Benchmark Event for a particular Program by the specified Benchmark Date or there is a dispute regarding Licensee’s use of Commercially Reasonable efforts to meet the goals of the R&amp;D Plan for that Program, the parties will first attempt to adjudicate the issue in the JRC. The JRC shall be empowered to adjust the Benchmark Events, the Benchmark Dates and/or adopt an action plan to expedite the achievement of the Benchmark Events for the Program. If the JRC is unable to reach agreement on any of these issues in dispute, the matter will be elevated to the CEO of Licensee and the President of TSRI, or his/her designee, for resolution. If the CEO of Licensee and the President of TSRI, or his/her designee, are unable to reach agreement on such issues, TSRI may issue to Licensee a written performance notice. Following receipt of such a performance notice, Licensee will have a period of [***] months to (i) make demonstrative, substantial progress towards achieving the goals of the R&amp;D Plan for a particular Program if TSRI’s performance notice claims that Licensee has not used Commercially Reasonable efforts to achieve the goals for a particular Program; and/or (ii) achieve the Benchmark Event(s) at issue for a particular Program if TSRI’s performance notice claims that Licensee has not used Commercially Reasonable efforts to achieve the Benchmark Events by their respective Benchmark Dates previously set forth in Exhibit C to this Agreement or by the JRC or as adjusted by the JRC. If, at the end of this performance period, TSRI does not believe Licensee has (a) made demonstrative, substantial progress towards achieving the goals of the R&amp;D Plan for a particular Program under the circumstances described in sub-section (i) above, or (b) achieved the Benchmark Event(s) at issue for a particular Program by the end of the [***] month cure period under the circumstances described in sub-section (ii) above, the issue of whether Licensee has used Commercially Reasonable efforts to achieve the goals of the R&amp;D Plan or to meet the Benchmark Events by the specified Benchmark Dates will be submitted to binding arbitration. The scope of the arbitration will be limited to a determination of whether Licensee has used Commercially Reasonable efforts or is in default of its obligations and whether this Agreement should be terminated in its entirety and whether Licensee’s rights to the Licensed Patent Rights and Licensed Know-How should be terminated with respect to a particular Program.</w:t>
      </w:r>
    </w:p>
    <w:p>
      <w:pPr>
        <w:spacing w:after="0" w:line="80" w:lineRule="exact"/>
        <w:rPr>
          <w:rFonts w:ascii="Arial" w:cs="Arial" w:eastAsia="Arial" w:hAnsi="Arial"/>
          <w:sz w:val="17"/>
          <w:szCs w:val="17"/>
          <w:color w:val="auto"/>
        </w:rPr>
      </w:pPr>
    </w:p>
    <w:p>
      <w:pPr>
        <w:ind w:left="440" w:right="80" w:firstLine="419"/>
        <w:spacing w:after="0" w:line="263" w:lineRule="auto"/>
        <w:tabs>
          <w:tab w:leader="none" w:pos="1107"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Discontinuance of a Program</w:t>
      </w:r>
      <w:r>
        <w:rPr>
          <w:rFonts w:ascii="Arial" w:cs="Arial" w:eastAsia="Arial" w:hAnsi="Arial"/>
          <w:sz w:val="18"/>
          <w:szCs w:val="18"/>
          <w:color w:val="auto"/>
        </w:rPr>
        <w:t>. In the event Licensee discontinues research and development work on a Program (as determined by Licensee’s Board of Directors) or fails to pursue the out-licensing of a particular Program within a Commercially Reasonable period of time, then [***].</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69" w:right="459" w:bottom="1440" w:gutter="0" w:footer="0" w:header="0"/>
        </w:sectPr>
      </w:pPr>
    </w:p>
    <w:bookmarkStart w:id="480" w:name="page481"/>
    <w:bookmarkEnd w:id="480"/>
    <w:p>
      <w:pPr>
        <w:ind w:right="10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Arial" w:cs="Arial" w:eastAsia="Arial" w:hAnsi="Arial"/>
          <w:sz w:val="18"/>
          <w:szCs w:val="18"/>
          <w:b w:val="1"/>
          <w:bCs w:val="1"/>
          <w:u w:val="single" w:color="auto"/>
          <w:color w:val="auto"/>
        </w:rPr>
        <w:t>Progress Reports</w:t>
      </w:r>
      <w:r>
        <w:rPr>
          <w:rFonts w:ascii="Arial" w:cs="Arial" w:eastAsia="Arial" w:hAnsi="Arial"/>
          <w:sz w:val="18"/>
          <w:szCs w:val="18"/>
          <w:color w:val="auto"/>
        </w:rPr>
        <w:t>. Licensee shall keep TSRI generally informed as to Licensee’s progress with respect to its development of Products, including without limitation its regulatory filings and approvals, marketing, production, sale and its efforts to sublicense the Licensed Patent Rights and Licensed Know-How. Licensee shall also provide to TSRI written [***] reports on its progress in the development and commercialization of Products for each Program and its achievement of the goals set forth in the R&amp;D Plan by [***]. These progress reports shall include without limitation: [***]; upon TSRI’s request, Licensee shall also provide to TSRI [***].</w:t>
      </w:r>
    </w:p>
    <w:p>
      <w:pPr>
        <w:spacing w:after="0" w:line="183"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Commercialization</w:t>
      </w:r>
      <w:r>
        <w:rPr>
          <w:rFonts w:ascii="Arial" w:cs="Arial" w:eastAsia="Arial" w:hAnsi="Arial"/>
          <w:sz w:val="18"/>
          <w:szCs w:val="18"/>
          <w:color w:val="auto"/>
        </w:rPr>
        <w:t>. Licensee shall use Commercially Reasonable efforts, itself or through its Sublicensees, to obtain necessary regulatory approvals and to market and sell Products.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SIX. </w:t>
      </w:r>
      <w:r>
        <w:rPr>
          <w:rFonts w:ascii="Arial" w:cs="Arial" w:eastAsia="Arial" w:hAnsi="Arial"/>
          <w:sz w:val="18"/>
          <w:szCs w:val="18"/>
          <w:b w:val="1"/>
          <w:bCs w:val="1"/>
          <w:u w:val="single" w:color="auto"/>
          <w:color w:val="auto"/>
        </w:rPr>
        <w:t>Patent Matters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Patent Prosecution and Maintenance</w:t>
      </w:r>
      <w:r>
        <w:rPr>
          <w:rFonts w:ascii="Arial" w:cs="Arial" w:eastAsia="Arial" w:hAnsi="Arial"/>
          <w:sz w:val="17"/>
          <w:szCs w:val="17"/>
          <w:color w:val="auto"/>
        </w:rPr>
        <w:t>. From and after the Effective Date, the provisions of this Article 6 shall control the prosecution of any patent application and maintenance of any patent included within Licensed Patent Rights. TSRI and Licensee shall retain outside patent counsel to jointly represent the parties to (a) direct and control the preparation, filing and prosecution of the United States and foreign patent applications within Licensed Patent Rights (including without limitation any reissues, reexaminations, appeals to appropriate patent offices and/or courts, interferences and foreign oppositions); and (b) maintain the patents issuing therefrom. TSRI shall also have the right to continue to use its Office of Patent Counsel (“OPC”) to assist in such patent matters. The reasonable and documented fees and expenses with regard to the preparation, filing and prosecution of patent applications and maintenance of patents (including without limitation inter partes proceedings) included within Licensed Patent Rights incurred by the joint outside patent counsel and TSRI’s OPC (“Patent Costs”) shall be paid as set forth below. Both Parties shall have full right of consultation with such outside patent counsel on all matters relating to Licensed Patent Rights. The Parties shall consult with one another, and shall jointly instruct outside counsel as to the preparation, filing, prosecution and maintenance of the Licensed Patent Rights (including, without limitation, any reissues, reexaminations, appeals to appropriate patent offices and/or courts, interferences and foreign oppositions), and outside counsel shall furnish to both Parties copies of all relevant documents reasonably in advance of such consultation. Each Party will consider in good faith the other Party’s comments and suggestions with regard to such preparation, filing, prosecution and/or maintenance (including without limitation any inter partes proceedings) of the patent applications and/or patents within Licensed Patent Rights; provided, however, that in the event of a disagreement between TSRI and Licensee on any such patent prosecution or maintenance matters, [***] shall have final decision-making authority over all such patent matters. Each Party shall have the right, but not the obligation, to be present at any court or patent office proceedings relating to Licensed Patent Rights. Provided that Licensee is not in material breach of its obligations under this Agreement, no patent or patent application within the Licensed Patent Rights will be abandoned without Licensee’s prior written consent.</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Patent Costs</w:t>
      </w:r>
      <w:r>
        <w:rPr>
          <w:rFonts w:ascii="Arial" w:cs="Arial" w:eastAsia="Arial" w:hAnsi="Arial"/>
          <w:sz w:val="17"/>
          <w:szCs w:val="17"/>
          <w:color w:val="auto"/>
        </w:rPr>
        <w:t>. Licensee acknowledges and agrees that the licenses granted hereunder are in partial consideration for Licensee’s agreement to reimburse TSRI for certain Patent Costs incurred prior to the Effective Date. Accordingly, Licensee will reimburse TSRI for [***] of Patent Costs incurred by TSRI prior to the Effective Date within [***] days after the Effective Date. Licensee shall also be responsible for paying all future Patent Costs. Licensee shall pay to TSRI all such future Patent Costs within [***] days after Licensee receives an invoice itemizing such expenses. If Licensee does not timely pay any Patent Costs due to TSRI for work performed by TSRI’s OPC or due to outside patent counsel for work performed by such outside patent counsel pursuant to this Section 6.2, and Licensee fails to cure such nonpayment within [***] days after receiving TSRI’s written notice regarding the same, then TSRI shall have the right to cease all further patent prosecution and maintenance and allow the Licensed Patent Rights to go abandoned, and to instruct the joint outside patent counsel to do the same. Licensee may elect with a minimum of [***] days’ prior written notice to TSRI, to discontinue payment for the filing, prosecution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69" w:right="479" w:bottom="1440" w:gutter="0" w:footer="0" w:header="0"/>
        </w:sectPr>
      </w:pPr>
    </w:p>
    <w:bookmarkStart w:id="481" w:name="page482"/>
    <w:bookmarkEnd w:id="48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and/or maintenance of any patent application and/or patent within Licensed Patent Rights. Licensee shall remain liable for all patent prosecution and maintenance fees and costs incurred prior to the date of such notice of election and during such [***] day notice period. Any such patent application or patent so elected shall immediately be excluded from the definition of Licensed Patent Rights and from the scope of the licenses granted under this Agreement, and all rights relating thereto shall revert exclusively to TSRI.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Ownership</w:t>
      </w:r>
      <w:r>
        <w:rPr>
          <w:rFonts w:ascii="Arial" w:cs="Arial" w:eastAsia="Arial" w:hAnsi="Arial"/>
          <w:sz w:val="18"/>
          <w:szCs w:val="18"/>
          <w:color w:val="auto"/>
        </w:rPr>
        <w:t>. TSRI exclusively owns all right, title and interest in and to the Licensed Patent Rights.</w:t>
      </w:r>
    </w:p>
    <w:p>
      <w:pPr>
        <w:spacing w:after="0" w:line="22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TSRI Right to Pursue Patent</w:t>
      </w:r>
      <w:r>
        <w:rPr>
          <w:rFonts w:ascii="Arial" w:cs="Arial" w:eastAsia="Arial" w:hAnsi="Arial"/>
          <w:sz w:val="18"/>
          <w:szCs w:val="18"/>
          <w:color w:val="auto"/>
        </w:rPr>
        <w:t>. If at any time during the term of this Agreement, Licensee’s rights with respect to any of the Licensed Patent Rights are terminated, TSRI has the right, but not the obligation, to take whatever action TSRI deems appropriate to obtain or maintain the corresponding patent protection. If TSRI pursues such patent protection under this Section 6.4, Licensee agrees to cooperate fully, including by providing, at TSRI’s expense, all appropriate technical data and executing all necessary legal documents.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Infringement Actions</w:t>
      </w:r>
      <w:r>
        <w:rPr>
          <w:rFonts w:ascii="Arial" w:cs="Arial" w:eastAsia="Arial" w:hAnsi="Arial"/>
          <w:sz w:val="18"/>
          <w:szCs w:val="18"/>
          <w:color w:val="auto"/>
        </w:rPr>
        <w:t>.</w:t>
      </w:r>
    </w:p>
    <w:p>
      <w:pPr>
        <w:spacing w:after="0" w:line="121"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 xml:space="preserve">6.5.1 </w:t>
      </w:r>
      <w:r>
        <w:rPr>
          <w:rFonts w:ascii="Arial" w:cs="Arial" w:eastAsia="Arial" w:hAnsi="Arial"/>
          <w:sz w:val="17"/>
          <w:szCs w:val="17"/>
          <w:u w:val="single" w:color="auto"/>
          <w:color w:val="auto"/>
        </w:rPr>
        <w:t>Prosecution of Infringements</w:t>
      </w:r>
      <w:r>
        <w:rPr>
          <w:rFonts w:ascii="Arial" w:cs="Arial" w:eastAsia="Arial" w:hAnsi="Arial"/>
          <w:sz w:val="17"/>
          <w:szCs w:val="17"/>
          <w:color w:val="auto"/>
        </w:rPr>
        <w:t>. Licensee agrees to promptly notify TSRI in the event that Licensee becomes aware of any infringement or threatened infringement by a third party of any of the Licensed Patent Rights. TSRI and Licensee will mutually confer with one another with respect to any actions to be undertaken by either Party with respect to third party infringement of the Licensed Patent Rights. If Licensee undertakes to prosecute any infringement, Licensee may enter into settlements, stipulated judgments or other arrangements respecting such infringement, at its own expense, but only with TSRI’s prior written consent if such settlements, stipulated judgments or other arrangements would affect TSRI’s business or its rights in the Licensed Patent Rights. Licensee shall hold TSRI harmless from all liabilities and expenses with respect to such infringements. If Licensee declines to prosecute any such infringement, Licensee shall notify TSRI in writing of its decision within [***] days of the later of (i) mutual agreement of the parties to pursue the alleged infringer, and (ii) initiation of consultation between Licensee and TSRI as provided in the second sentence of this Section 6.5.1. If Licensee fails to notify TSRI in writing of its decision to pursue the alleged infringer within the [***]-day period referenced above, Licensee’s rights to pursue the infringer will end, and TSRI will thereafter have the right, but not the obligation, to prosecute such infringement itself.</w:t>
      </w:r>
    </w:p>
    <w:p>
      <w:pPr>
        <w:spacing w:after="0" w:line="74" w:lineRule="exact"/>
        <w:rPr>
          <w:sz w:val="20"/>
          <w:szCs w:val="20"/>
          <w:color w:val="auto"/>
        </w:rPr>
      </w:pPr>
    </w:p>
    <w:p>
      <w:pPr>
        <w:ind w:left="440" w:right="20" w:firstLine="423"/>
        <w:spacing w:after="0" w:line="257" w:lineRule="auto"/>
        <w:rPr>
          <w:sz w:val="20"/>
          <w:szCs w:val="20"/>
          <w:color w:val="auto"/>
        </w:rPr>
      </w:pPr>
      <w:r>
        <w:rPr>
          <w:rFonts w:ascii="Arial" w:cs="Arial" w:eastAsia="Arial" w:hAnsi="Arial"/>
          <w:sz w:val="18"/>
          <w:szCs w:val="18"/>
          <w:color w:val="auto"/>
        </w:rPr>
        <w:t xml:space="preserve">6.5.2 </w:t>
      </w:r>
      <w:r>
        <w:rPr>
          <w:rFonts w:ascii="Arial" w:cs="Arial" w:eastAsia="Arial" w:hAnsi="Arial"/>
          <w:sz w:val="18"/>
          <w:szCs w:val="18"/>
          <w:u w:val="single" w:color="auto"/>
          <w:color w:val="auto"/>
        </w:rPr>
        <w:t>Allocation of Recovery</w:t>
      </w:r>
      <w:r>
        <w:rPr>
          <w:rFonts w:ascii="Arial" w:cs="Arial" w:eastAsia="Arial" w:hAnsi="Arial"/>
          <w:sz w:val="18"/>
          <w:szCs w:val="18"/>
          <w:color w:val="auto"/>
        </w:rPr>
        <w:t>. Any damages, settlements or other recovery from an infringement action undertaken by Licensee pursuant to Section 6.5.1 shall first be used to reimburse the parties for the fees and expenses incurred in such action, and shall thereafter be allocated between and paid to the parties as follows: [***]. If Licensee fails to prosecute any such action or fails to prosecute such action to completion, and TSRI instead prosecutes such action, then any damages or other recoveries net of the parties’ fees and expenses incurred in such infringement action shall [***].</w:t>
      </w:r>
    </w:p>
    <w:p>
      <w:pPr>
        <w:spacing w:after="0" w:line="80" w:lineRule="exact"/>
        <w:rPr>
          <w:sz w:val="20"/>
          <w:szCs w:val="20"/>
          <w:color w:val="auto"/>
        </w:rPr>
      </w:pPr>
    </w:p>
    <w:p>
      <w:pPr>
        <w:ind w:left="440" w:right="160" w:firstLine="423"/>
        <w:spacing w:after="0" w:line="263" w:lineRule="auto"/>
        <w:rPr>
          <w:sz w:val="20"/>
          <w:szCs w:val="20"/>
          <w:color w:val="auto"/>
        </w:rPr>
      </w:pPr>
      <w:r>
        <w:rPr>
          <w:rFonts w:ascii="Arial" w:cs="Arial" w:eastAsia="Arial" w:hAnsi="Arial"/>
          <w:sz w:val="18"/>
          <w:szCs w:val="18"/>
          <w:color w:val="auto"/>
        </w:rPr>
        <w:t xml:space="preserve">6.5.3 </w:t>
      </w:r>
      <w:r>
        <w:rPr>
          <w:rFonts w:ascii="Arial" w:cs="Arial" w:eastAsia="Arial" w:hAnsi="Arial"/>
          <w:sz w:val="18"/>
          <w:szCs w:val="18"/>
          <w:u w:val="single" w:color="auto"/>
          <w:color w:val="auto"/>
        </w:rPr>
        <w:t>Additional Rights</w:t>
      </w:r>
      <w:r>
        <w:rPr>
          <w:rFonts w:ascii="Arial" w:cs="Arial" w:eastAsia="Arial" w:hAnsi="Arial"/>
          <w:sz w:val="18"/>
          <w:szCs w:val="18"/>
          <w:color w:val="auto"/>
        </w:rPr>
        <w:t>. If in exercising TSRI’s rights to pursue infringers as provided in Section 6.5.1, TSRI notifies Licensee that TSRI and the third party infringer have settled the dispute by [***], then [***]; provided, however, that [***]; and provided, further, that if [***], then [***].</w:t>
      </w:r>
    </w:p>
    <w:p>
      <w:pPr>
        <w:spacing w:after="0" w:line="76" w:lineRule="exact"/>
        <w:rPr>
          <w:sz w:val="20"/>
          <w:szCs w:val="20"/>
          <w:color w:val="auto"/>
        </w:rPr>
      </w:pPr>
    </w:p>
    <w:p>
      <w:pPr>
        <w:ind w:left="440" w:right="20" w:firstLine="423"/>
        <w:spacing w:after="0" w:line="301" w:lineRule="auto"/>
        <w:rPr>
          <w:sz w:val="20"/>
          <w:szCs w:val="20"/>
          <w:color w:val="auto"/>
        </w:rPr>
      </w:pPr>
      <w:r>
        <w:rPr>
          <w:rFonts w:ascii="Arial" w:cs="Arial" w:eastAsia="Arial" w:hAnsi="Arial"/>
          <w:sz w:val="16"/>
          <w:szCs w:val="16"/>
          <w:color w:val="auto"/>
        </w:rPr>
        <w:t xml:space="preserve">6.5.4 </w:t>
      </w:r>
      <w:r>
        <w:rPr>
          <w:rFonts w:ascii="Arial" w:cs="Arial" w:eastAsia="Arial" w:hAnsi="Arial"/>
          <w:sz w:val="16"/>
          <w:szCs w:val="16"/>
          <w:u w:val="single" w:color="auto"/>
          <w:color w:val="auto"/>
        </w:rPr>
        <w:t>Defense of Infringements</w:t>
      </w:r>
      <w:r>
        <w:rPr>
          <w:rFonts w:ascii="Arial" w:cs="Arial" w:eastAsia="Arial" w:hAnsi="Arial"/>
          <w:sz w:val="16"/>
          <w:szCs w:val="16"/>
          <w:color w:val="auto"/>
        </w:rPr>
        <w:t>. Licensee shall, at its expense, have the first right, but not the obligation, to defend any suits against Licensee or Sublicensees alleging infringement or misappropriation of any third party intellectual property right due to Licensee’s or its Sublicensee’s practice of the Licensed Patent Rights, Licensed Know-How or its development or commercialization of Products. Licensee shall promptly notify TSRI in writing of such claims, and TSRI and Licensee shall confer with each other and cooperate during the defense of any such</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3" w:right="439" w:bottom="1440" w:gutter="0" w:footer="0" w:header="0"/>
        </w:sectPr>
      </w:pPr>
    </w:p>
    <w:bookmarkStart w:id="482" w:name="page483"/>
    <w:bookmarkEnd w:id="482"/>
    <w:p>
      <w:pPr>
        <w:ind w:left="44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 TSRI shall, at its expense, have the right to retain separate independent counsel to assist in defending any such actions. In no event shall TSRI have any liability whatsoever for any damages, litigation costs or other amounts due to any third party (except for costs of TSRI’s own counsel as provided above). If the third party intellectual property right is held not to be infringed or is held unenforceable or invalid, any recovery of damages with respect to such suit shall [***]. For clarity, the parties agree that this Section 6.5.4 shall in no way limit Licensee’s obligations under Section 7.1 to indemnify, defend and hold harmless Indemnitees (as defined in Section 7.1 below) with respect to third party claims alleging infringement of such third party’s intellectual property rights.</w:t>
      </w:r>
    </w:p>
    <w:p>
      <w:pPr>
        <w:spacing w:after="0" w:line="188" w:lineRule="exact"/>
        <w:rPr>
          <w:sz w:val="20"/>
          <w:szCs w:val="20"/>
          <w:color w:val="auto"/>
        </w:rPr>
      </w:pPr>
    </w:p>
    <w:p>
      <w:pPr>
        <w:ind w:left="4" w:right="100"/>
        <w:spacing w:after="0" w:line="25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Patent Marking</w:t>
      </w:r>
      <w:r>
        <w:rPr>
          <w:rFonts w:ascii="Arial" w:cs="Arial" w:eastAsia="Arial" w:hAnsi="Arial"/>
          <w:sz w:val="18"/>
          <w:szCs w:val="18"/>
          <w:color w:val="auto"/>
        </w:rPr>
        <w:t>. To the extent required by applicable law, Licensee and its Sublicensees shall properly mark all Licensed Products and Option Products or their containers in accordance with the applicable patent marking laws. Upon TSRI’s request, Licensee shall provide to TSRI copies of its patent marking of all Licensed Products and Option Products. To the extent Licensee or a Sublicensee marks any Licensed Products or Option Products by referencing the Licensed Patent Rights thereon, Licensee represents and warrants that such Licensed Products or Option Products are covered by a claim of the applicable referenced Licensed Patent Rights.</w:t>
      </w:r>
    </w:p>
    <w:p>
      <w:pPr>
        <w:spacing w:after="0" w:line="183" w:lineRule="exact"/>
        <w:rPr>
          <w:sz w:val="20"/>
          <w:szCs w:val="20"/>
          <w:color w:val="auto"/>
        </w:rPr>
      </w:pPr>
    </w:p>
    <w:p>
      <w:pPr>
        <w:ind w:left="4" w:right="720"/>
        <w:spacing w:after="0" w:line="282"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No Use of Name</w:t>
      </w:r>
      <w:r>
        <w:rPr>
          <w:rFonts w:ascii="Arial" w:cs="Arial" w:eastAsia="Arial" w:hAnsi="Arial"/>
          <w:sz w:val="18"/>
          <w:szCs w:val="18"/>
          <w:color w:val="auto"/>
        </w:rPr>
        <w:t>. The use of the name “The Scripps Research Institute”, “Scripps”, “TSRI” or any variation thereof in connection with the marketing, advertising, distribution, sale or performance of any Products is expressly prohibited.</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u w:val="single" w:color="auto"/>
          <w:color w:val="auto"/>
        </w:rPr>
        <w:t>U.S. Manufacture</w:t>
      </w:r>
      <w:r>
        <w:rPr>
          <w:rFonts w:ascii="Arial" w:cs="Arial" w:eastAsia="Arial" w:hAnsi="Arial"/>
          <w:sz w:val="18"/>
          <w:szCs w:val="18"/>
          <w:color w:val="auto"/>
        </w:rPr>
        <w:t>. Licensee agrees that it and its Sublicensees will abide by 37 C.F.R. Section 401.14 (i).</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ARTICLE SEVEN. </w:t>
      </w:r>
      <w:r>
        <w:rPr>
          <w:rFonts w:ascii="Arial" w:cs="Arial" w:eastAsia="Arial" w:hAnsi="Arial"/>
          <w:sz w:val="18"/>
          <w:szCs w:val="18"/>
          <w:b w:val="1"/>
          <w:bCs w:val="1"/>
          <w:u w:val="single" w:color="auto"/>
          <w:color w:val="auto"/>
        </w:rPr>
        <w:t>Indemnity and Insurance</w:t>
      </w:r>
      <w:r>
        <w:rPr>
          <w:rFonts w:ascii="Arial" w:cs="Arial" w:eastAsia="Arial" w:hAnsi="Arial"/>
          <w:sz w:val="18"/>
          <w:szCs w:val="18"/>
          <w:b w:val="1"/>
          <w:bCs w:val="1"/>
          <w:color w:val="auto"/>
        </w:rPr>
        <w:t>.</w:t>
      </w:r>
    </w:p>
    <w:p>
      <w:pPr>
        <w:spacing w:after="0" w:line="117" w:lineRule="exact"/>
        <w:rPr>
          <w:sz w:val="20"/>
          <w:szCs w:val="20"/>
          <w:color w:val="auto"/>
        </w:rPr>
      </w:pPr>
    </w:p>
    <w:p>
      <w:pPr>
        <w:ind w:left="4" w:right="180"/>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Indemnity</w:t>
      </w:r>
      <w:r>
        <w:rPr>
          <w:rFonts w:ascii="Arial" w:cs="Arial" w:eastAsia="Arial" w:hAnsi="Arial"/>
          <w:sz w:val="16"/>
          <w:szCs w:val="16"/>
          <w:color w:val="auto"/>
        </w:rPr>
        <w:t>. Licensee hereby agrees to indemnify, defend (by counsel reasonably acceptable to TSRI) and hold harmless TSRI and any parent, subsidiary or other affiliated entity of TSRI and their respective trustees, directors, officers, employees, scientists, agents, students, successors, assigns and other representatives (collectively, the “Indemnitees”) from and against all damages, liabilities, losses and other expenses, including without limitation reasonable attorney’s fees, expert witness fees and costs incurred by the Indemnitees, with respect to any third party claim, suit or action asserted against any of the Indemnitees, whether or not a lawsuit or other proceeding is filed (collectively “Claims”), that arise out of or relate to</w:t>
      </w:r>
    </w:p>
    <w:p>
      <w:pPr>
        <w:spacing w:after="0" w:line="2" w:lineRule="exact"/>
        <w:rPr>
          <w:sz w:val="20"/>
          <w:szCs w:val="20"/>
          <w:color w:val="auto"/>
        </w:rPr>
      </w:pPr>
    </w:p>
    <w:p>
      <w:pPr>
        <w:ind w:left="244" w:hanging="244"/>
        <w:spacing w:after="0"/>
        <w:tabs>
          <w:tab w:leader="none" w:pos="244" w:val="left"/>
        </w:tabs>
        <w:numPr>
          <w:ilvl w:val="0"/>
          <w:numId w:val="285"/>
        </w:numPr>
        <w:rPr>
          <w:rFonts w:ascii="Arial" w:cs="Arial" w:eastAsia="Arial" w:hAnsi="Arial"/>
          <w:sz w:val="16"/>
          <w:szCs w:val="16"/>
          <w:color w:val="auto"/>
        </w:rPr>
      </w:pPr>
      <w:r>
        <w:rPr>
          <w:rFonts w:ascii="Arial" w:cs="Arial" w:eastAsia="Arial" w:hAnsi="Arial"/>
          <w:sz w:val="16"/>
          <w:szCs w:val="16"/>
          <w:color w:val="auto"/>
        </w:rPr>
        <w:t>Licensee’s or any of its Sublicensees’ practice of any invention claimed by the Licensed Patent Rights or use of any of the Licensed Know-How,</w:t>
      </w:r>
    </w:p>
    <w:p>
      <w:pPr>
        <w:spacing w:after="0" w:line="32" w:lineRule="exact"/>
        <w:rPr>
          <w:rFonts w:ascii="Arial" w:cs="Arial" w:eastAsia="Arial" w:hAnsi="Arial"/>
          <w:sz w:val="16"/>
          <w:szCs w:val="16"/>
          <w:color w:val="auto"/>
        </w:rPr>
      </w:pPr>
    </w:p>
    <w:p>
      <w:pPr>
        <w:ind w:left="4" w:right="140" w:hanging="4"/>
        <w:spacing w:after="0" w:line="267" w:lineRule="auto"/>
        <w:tabs>
          <w:tab w:leader="none" w:pos="259"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alleged defects or other problems with any of the Products manufactured, sold, distributed or rendered by or on behalf of Licensee or any Sublicensee, including without limitation any personal injuries, death or property damages related thereto, (c) the research, development, manufacture, use, marketing, advertising, distribution, sale or importation of any Products by or on behalf of Licensee or any of its Sublicensees, (d) the negligent or willful acts or omissions of Licensee or any of its Sublicensees, (e) any allegations that the Products developed, manufactured, sold, distributed or rendered by or on behalf of Licensee or any Sublicensee and/or any trademarks, service marks, logos, symbols, slogans or other materials used in connection with or to market Products violate or infringe upon the trademarks, service marks, trade dress, trade names, copyrights, patents, works of authorship, inventorship rights, trade secrets, database rights, rights under unfair competition laws, rights of publicity, privacy or defamation, or any other intellectual or industrial property right of any third party, (f) Licensee’s or any Sublicensee’s failure to comply with any applicable laws, rules or regulations, and/or (g) the labeling, packaging or patent marking of any Products or containers thereof by or on behalf of Licensee or any Sublicensee. Licensee shall not enter into any settlement, stipulated judgment or other arrangement with respect to such Claims that (i) imposes any obligation on Indemnitees, (ii) does not unconditionally release Indemnitees from all liability, or (iii) would reasonably be expected to have an adverse effect on TSRI’s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3" w:right="459" w:bottom="1440" w:gutter="0" w:footer="0" w:header="0"/>
        </w:sectPr>
      </w:pPr>
    </w:p>
    <w:bookmarkStart w:id="483" w:name="page484"/>
    <w:bookmarkEnd w:id="483"/>
    <w:p>
      <w:pPr>
        <w:ind w:left="4"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reputation or business, without TSRI’s prior written consent. Notwithstanding the above, Indemnitees, at their expense, shall have the right to retain separate independent counsel to assist in defending any such Claims. In the event Licensee fails to promptly indemnify and defend such Claims and/or pay Indemnitees’ expenses as provided above, Indemnitees shall have the right, but not the obligation, to defend themselves, and in that case, Licensee shall reimburse Indemnitees for all of their reasonable attorney’s fees, costs and damages incurred in settling or defending such Claims within [***] days of each of Indemnitees’ written requests. This indemnity shall be a direct payment obligation and not merely a reimbursement obligation of Licensee to Indemnitees.</w:t>
      </w:r>
    </w:p>
    <w:p>
      <w:pPr>
        <w:spacing w:after="0" w:line="188" w:lineRule="exact"/>
        <w:rPr>
          <w:sz w:val="20"/>
          <w:szCs w:val="20"/>
          <w:color w:val="auto"/>
        </w:rPr>
      </w:pPr>
    </w:p>
    <w:p>
      <w:pPr>
        <w:ind w:left="4" w:right="500"/>
        <w:spacing w:after="0" w:line="34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TSRI as Additional Insured</w:t>
      </w:r>
      <w:r>
        <w:rPr>
          <w:rFonts w:ascii="Arial" w:cs="Arial" w:eastAsia="Arial" w:hAnsi="Arial"/>
          <w:sz w:val="16"/>
          <w:szCs w:val="16"/>
          <w:color w:val="auto"/>
        </w:rPr>
        <w:t>. Licensee shall name and cause TSRI and Indemnitees to be named as “additional insureds” on any commercial general liability and product liability insurance policies maintained by Licensee, its Affiliates and Sublicensees applicable to the Products.</w:t>
      </w:r>
    </w:p>
    <w:p>
      <w:pPr>
        <w:spacing w:after="0" w:line="116" w:lineRule="exact"/>
        <w:rPr>
          <w:sz w:val="20"/>
          <w:szCs w:val="20"/>
          <w:color w:val="auto"/>
        </w:rPr>
      </w:pPr>
    </w:p>
    <w:p>
      <w:pPr>
        <w:ind w:left="4" w:right="80"/>
        <w:spacing w:after="0" w:line="285"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u w:val="single" w:color="auto"/>
          <w:color w:val="auto"/>
        </w:rPr>
        <w:t>Coverages</w:t>
      </w:r>
      <w:r>
        <w:rPr>
          <w:rFonts w:ascii="Arial" w:cs="Arial" w:eastAsia="Arial" w:hAnsi="Arial"/>
          <w:sz w:val="16"/>
          <w:szCs w:val="16"/>
          <w:color w:val="auto"/>
        </w:rPr>
        <w:t>. Beginning at the time any Product is being commercially distributed or sold (other than for the purpose of obtaining regulatory approvals) by Licensee or a Sublicensee, Licensee shall, at its sole expense, procure and maintain commercial general liability insurance with reputable insurers in amounts not less than [***] per occurrence and [***] annual aggregate. Prior to the initiation of the first clinical trial and continuing throughout the clinical trials involving any Products, Licensee shall, at its sole expense, procure and maintain commercial general liability insurance with reputable insurers in the same amounts as specified above. Such commercial general liability insurance shall provide coverage for: (i) product liability; (ii) completed operations; (iii) clinical trials, as applicable; (iv) broad form property damage; (v) advertising injury; (vi) premises operation;</w:t>
      </w:r>
    </w:p>
    <w:p>
      <w:pPr>
        <w:spacing w:after="0" w:line="3" w:lineRule="exact"/>
        <w:rPr>
          <w:sz w:val="20"/>
          <w:szCs w:val="20"/>
          <w:color w:val="auto"/>
        </w:rPr>
      </w:pPr>
    </w:p>
    <w:p>
      <w:pPr>
        <w:ind w:left="4" w:right="40" w:hanging="4"/>
        <w:spacing w:after="0" w:line="253" w:lineRule="auto"/>
        <w:tabs>
          <w:tab w:leader="none" w:pos="35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personal injury; and (viii) contractual liability coverage for Licensee’s indemnification and other obligations under this Agreement. If Licensee desires to self-insure all or part of the limits described above, such self-insurance program must be approved in advance by TSRI in its sole discretion. The insurance coverage amounts specified herein or the maintenance of such insurance policies shall not in any way limit Licensee’s indemnity or other liability under this Agreement.</w:t>
      </w:r>
    </w:p>
    <w:p>
      <w:pPr>
        <w:spacing w:after="0" w:line="189" w:lineRule="exact"/>
        <w:rPr>
          <w:sz w:val="20"/>
          <w:szCs w:val="20"/>
          <w:color w:val="auto"/>
        </w:rPr>
      </w:pPr>
    </w:p>
    <w:p>
      <w:pPr>
        <w:ind w:left="4"/>
        <w:spacing w:after="0" w:line="29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u w:val="single" w:color="auto"/>
          <w:color w:val="auto"/>
        </w:rPr>
        <w:t>Waiver of Subrogation</w:t>
      </w:r>
      <w:r>
        <w:rPr>
          <w:rFonts w:ascii="Arial" w:cs="Arial" w:eastAsia="Arial" w:hAnsi="Arial"/>
          <w:sz w:val="16"/>
          <w:szCs w:val="16"/>
          <w:color w:val="auto"/>
        </w:rPr>
        <w:t>. Licensee, on behalf of itself and its insurance carriers, waives any and all claims and rights of recovery against TSRI and the Indemnitees, including without limitation all rights of subrogation, with respect to either party’s performance under this Agreement or for any loss of or damage to Licensee or its property or the property of others under its control. Licensee’s commercial general liability insurance policy shall also include a waiver of subrogation consistent with this Section in favor of TSRI and the Indemnitees. Licensee shall be responsible for obtaining such waiver of subrogation from its insurance carriers. Licensee’s insurance policies shall be primary and not contributory to any insurance carried by its Sublicensees or by TSRI. At the time when Licensee sends its [***] progress report to TSRI under Section 5.4 and upon TSRI’s additional request, Licensee shall deliver to TSRI copies of insurance certificates and endorsements that comply with the requirements of this Article 7.</w:t>
      </w:r>
    </w:p>
    <w:p>
      <w:pPr>
        <w:spacing w:after="0" w:line="161" w:lineRule="exact"/>
        <w:rPr>
          <w:sz w:val="20"/>
          <w:szCs w:val="20"/>
          <w:color w:val="auto"/>
        </w:rPr>
      </w:pPr>
    </w:p>
    <w:p>
      <w:pPr>
        <w:ind w:left="4" w:right="80"/>
        <w:spacing w:after="0" w:line="293"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u w:val="single" w:color="auto"/>
          <w:color w:val="auto"/>
        </w:rPr>
        <w:t>Cancellation/Changes in Coverages</w:t>
      </w:r>
      <w:r>
        <w:rPr>
          <w:rFonts w:ascii="Arial" w:cs="Arial" w:eastAsia="Arial" w:hAnsi="Arial"/>
          <w:sz w:val="16"/>
          <w:szCs w:val="16"/>
          <w:color w:val="auto"/>
        </w:rPr>
        <w:t>. Licensee shall provide TSRI with written notice at least [***] days prior to the cancellation, non-renewal or material change in any insurance required by this Article 7. If Licensee does not obtain replacement insurance consistent with this Article 7 within such</w:t>
      </w:r>
    </w:p>
    <w:p>
      <w:pPr>
        <w:spacing w:after="0" w:line="1" w:lineRule="exact"/>
        <w:rPr>
          <w:sz w:val="20"/>
          <w:szCs w:val="20"/>
          <w:color w:val="auto"/>
        </w:rPr>
      </w:pPr>
    </w:p>
    <w:p>
      <w:pPr>
        <w:ind w:left="4" w:right="20" w:hanging="4"/>
        <w:spacing w:after="0" w:line="260" w:lineRule="auto"/>
        <w:tabs>
          <w:tab w:leader="none" w:pos="439"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day period (or prior to the cancellation, non-renewal or material change in the existing policy), TSRI shall have the right to immediately terminate this Agreement by providing written notice to Licensee and without providing any additional cure period.</w:t>
      </w:r>
    </w:p>
    <w:p>
      <w:pPr>
        <w:spacing w:after="0" w:line="181" w:lineRule="exact"/>
        <w:rPr>
          <w:sz w:val="20"/>
          <w:szCs w:val="20"/>
          <w:color w:val="auto"/>
        </w:rPr>
      </w:pPr>
    </w:p>
    <w:p>
      <w:pPr>
        <w:ind w:left="4" w:right="440"/>
        <w:spacing w:after="0" w:line="314"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b w:val="1"/>
          <w:bCs w:val="1"/>
          <w:u w:val="single" w:color="auto"/>
          <w:color w:val="auto"/>
        </w:rPr>
        <w:t>Continuation of Coverage</w:t>
      </w:r>
      <w:r>
        <w:rPr>
          <w:rFonts w:ascii="Arial" w:cs="Arial" w:eastAsia="Arial" w:hAnsi="Arial"/>
          <w:sz w:val="16"/>
          <w:szCs w:val="16"/>
          <w:color w:val="auto"/>
        </w:rPr>
        <w:t>. Licensee shall maintain such commercial general liability and product liability insurance beyond the expiration or termination of this Agreement during (a) the period that any Products is being commercially distributed or sold by or on behalf of Licensee or a Sublicensee; and (b) a reasonable period after the period referred to in sub-clause (a) above, which in no event shall be less than [***] years.</w:t>
      </w:r>
    </w:p>
    <w:p>
      <w:pPr>
        <w:spacing w:after="0" w:line="7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3" w:right="479" w:bottom="1440" w:gutter="0" w:footer="0" w:header="0"/>
        </w:sectPr>
      </w:pPr>
    </w:p>
    <w:bookmarkStart w:id="484" w:name="page485"/>
    <w:bookmarkEnd w:id="484"/>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7.7 </w:t>
      </w:r>
      <w:r>
        <w:rPr>
          <w:rFonts w:ascii="Arial" w:cs="Arial" w:eastAsia="Arial" w:hAnsi="Arial"/>
          <w:sz w:val="18"/>
          <w:szCs w:val="18"/>
          <w:b w:val="1"/>
          <w:bCs w:val="1"/>
          <w:u w:val="single" w:color="auto"/>
          <w:color w:val="auto"/>
        </w:rPr>
        <w:t>Disclaimer</w:t>
      </w:r>
      <w:r>
        <w:rPr>
          <w:rFonts w:ascii="Arial" w:cs="Arial" w:eastAsia="Arial" w:hAnsi="Arial"/>
          <w:sz w:val="18"/>
          <w:szCs w:val="18"/>
          <w:color w:val="auto"/>
        </w:rPr>
        <w:t>. TSRI MAKES NO WARRANTIES OR REPRESENTATIONS CONCERNING LICENSED PATENT RIGHTS, LICENSED KNOW-HOW, PRODUCTS OR ANY OTHER MATTER WHATSOEVER, INCLUDING WITHOUT LIMITATION ANY EXPRESS, IMPLIED OR STATUTORY WARRANTIES OF MERCHANTABILITY, FITNESS FOR A PARTICULAR PURPOSE, NON-INFRINGEMENT OF THIRD PARTY RIGHTS, TITLE, ACCURACY OR ARISING OUT OF COURSE OF CONDUCT OR TRADE CUSTOM OR USAGE, AND DISCLAIMS ALL SUCH EXPRESS, IMPLIED OR STATUTORY WARRANTIES. TSRI MAKES NO WARRANTY OR REPRESENTATION AS TO THE VALIDITY, SCOPE OR ENFORCEABILITY OF ANY OF THE LICENSED PATENT RIGHTS OR LICENSED KNOW-HOW, OR THAT ANY PRODUCT WILL NOT INFRINGE ANY THIRD PARTY RIGHTS, OR THAT NO THIRD PARTY IS IN ANY WAY INFRINGING UPON OR MAY INFRINGE UPON ANY LICENSED PATENT RIGHTS OR LICENSED KNOW-HOW COVERED BY THIS AGREEMENT. FURTHER, TSRI HAS MADE NO INVESTIGATION AND MAKES NO REPRESENTATION OR WARRANTY THAT THE LICENSED PATENT RIGHTS OR LICENSED KNOW-HOW ARE SUITABLE FOR LICENSEE’S PURPOSES.</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IN NO EVENT SHALL EITHER PARTY BE LIABLE FOR ANY INDIRECT, SPECIAL, INCIDENTAL, EXEMPLARY OR CONSEQUENTIAL DAMAGES (INCLUDING WITHOUT LIMITATION DAMAGES FOR LOST PROFITS OR EXPECTED SAVINGS) ARISING OUT OF OR IN CONNECTION WITH THIS AGREEMENT OR ITS SUBJECT MATTER, EXCEPT WITH RESPECT TO LICENSEE’S INDEMNITY OBLIGATIONS UNDER SECTION 7. TSRI’S AGGREGATE LIABILITY, IF ANY, FOR ALL DAMAGES OF ANY KIND RELATING TO THIS AGREEMENT OR ITS SUBJECT MATTER SHALL NOT EXCEED [***]. THE FOREGOING EXCLUSIONS AND LIMITATIONS SHALL APPLY TO ALL CLAIMS AND ACTIONS OF ANY KIND AND ON ANY THEORY OF LIABILITY, WHETHER BASED ON CONTRACT, TORT (INCLUDING WITHOUT LIMITATION NEGLIGENCE OR STRICT LIABILITY), OR ANY OTHER GROUNDS, AND REGARDLESS OF WHETHER A PARTY HAS BEEN ADVISED OF THE POSSIBILITY OF SUCH DAMAGES, AND NOTWITHSTANDING ANY FAILURE OF ESSENTIAL PURPOSE OF ANY LIMITED REMEDY. THE PARTIES FURTHER AGREE THAT EACH WARRANTY DISCLAIMER, EXCLUSION OF DAMAGES OR OTHER LIMITATION OF LIABILITY HEREIN IS INTENDED TO BE SEVERABLE AND INDEPENDENT OF THE OTHER PROVISIONS BECAUSE THEY EACH REPRESENT SEPARATE ELEMENTS OF RISK ALLOCATION BETWEEN THE PARTIES.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EIGHT. </w:t>
      </w:r>
      <w:r>
        <w:rPr>
          <w:rFonts w:ascii="Arial" w:cs="Arial" w:eastAsia="Arial" w:hAnsi="Arial"/>
          <w:sz w:val="18"/>
          <w:szCs w:val="18"/>
          <w:b w:val="1"/>
          <w:bCs w:val="1"/>
          <w:u w:val="single" w:color="auto"/>
          <w:color w:val="auto"/>
        </w:rPr>
        <w:t>Confidentiality and Publicity</w:t>
      </w:r>
      <w:r>
        <w:rPr>
          <w:rFonts w:ascii="Arial" w:cs="Arial" w:eastAsia="Arial" w:hAnsi="Arial"/>
          <w:sz w:val="18"/>
          <w:szCs w:val="18"/>
          <w:b w:val="1"/>
          <w:bCs w:val="1"/>
          <w:color w:val="auto"/>
        </w:rPr>
        <w: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Treatment of Confidential Information</w:t>
      </w:r>
      <w:r>
        <w:rPr>
          <w:rFonts w:ascii="Arial" w:cs="Arial" w:eastAsia="Arial" w:hAnsi="Arial"/>
          <w:sz w:val="17"/>
          <w:szCs w:val="17"/>
          <w:color w:val="auto"/>
        </w:rPr>
        <w:t>. The parties agree that during the term of this Agreement, and for a period of [***] years after this Agreement terminates, a party receiving Confidential Information of the other party will (a) maintain in confidence such Confidential Information to the same extent such party maintains its own proprietary information, but with no less than a reasonable degree of care; (b) not disclose such Confidential Information to any third party without the other party’s prior written consent; and (c) not use such Confidential Information for any purpose except those permitted by this Agreement. Notwithstanding the foregoing, if a party is required by law, regulation or court order to disclose Confidential Information of the other party, the party required to make such disclosure shall (i) promptly send a copy of the order or notice to the other party not less than [***] days before the proposed disclosure (or such shorter period of time as may be reasonably practical under the circumstances); (ii) reasonably cooperate with the other party if the other party wishes to object or condition such disclosure through a protective order or otherwise; (iii) limit the extent of such disclosure to the minimum required to comply with the order or notice; and (iv) use reasonable efforts to seek confidential treatment (i.e., filing “under seal”) for that disclosure. In addition, a party may disclose Confidential Information of the other party to its Affiliates and employees, to Sublicensees and potential Sublicensees, to investors or potential investors of a party in connection with due diligence or similar investigations or in confidential financing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69" w:right="459" w:bottom="1440" w:gutter="0" w:footer="0" w:header="0"/>
        </w:sectPr>
      </w:pPr>
    </w:p>
    <w:bookmarkStart w:id="485" w:name="page486"/>
    <w:bookmarkEnd w:id="485"/>
    <w:p>
      <w:pPr>
        <w:ind w:right="3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to an organization to whom TSRI intends to assign or transfer or does assign or transfer this Agreement or the payment obligations due hereunder to TSRI, provided, in each case, that any such agrees in writing to be bound by terms of confidentiality and non-use at least as stringent as those set forth in this Section 8.1, but with no further right to disclose or otherwise distribute the other party’s Confidential Information.</w:t>
      </w:r>
    </w:p>
    <w:p>
      <w:pPr>
        <w:spacing w:after="0" w:line="145"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Publications</w:t>
      </w:r>
      <w:r>
        <w:rPr>
          <w:rFonts w:ascii="Arial" w:cs="Arial" w:eastAsia="Arial" w:hAnsi="Arial"/>
          <w:sz w:val="18"/>
          <w:szCs w:val="18"/>
          <w:color w:val="auto"/>
        </w:rPr>
        <w:t>. Licensee agrees that TSRI shall have the right to publish in accordance with its general policies, and that this Agreement shall not restrict, in any fashion, TSRI’s right to publish. Notwithstanding the foregoing, TSRI will not, prior to the termination of this Agreement, publish Licensed Product Data without Licensee’s prior written consent.</w:t>
      </w:r>
    </w:p>
    <w:p>
      <w:pPr>
        <w:spacing w:after="0" w:line="176"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u w:val="single" w:color="auto"/>
          <w:color w:val="auto"/>
        </w:rPr>
        <w:t>Publicity</w:t>
      </w:r>
      <w:r>
        <w:rPr>
          <w:rFonts w:ascii="Arial" w:cs="Arial" w:eastAsia="Arial" w:hAnsi="Arial"/>
          <w:sz w:val="17"/>
          <w:szCs w:val="17"/>
          <w:color w:val="auto"/>
        </w:rPr>
        <w:t>. Except as otherwise required by law, no party shall originate or distribute any publication, news release or other public announcement, written or oral, whether in the public press, stockholders’ reports or otherwise, relating to this Agreement or the terms hereof, or to any sublicense hereunder, without the prior written approval of the other party, which approval shall not be unreasonably withheld. Scientific publications published in accordance with Section 8.2 of this Agreement shall not be construed as publicity governed by this Section 8.3.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NINE. </w:t>
      </w:r>
      <w:r>
        <w:rPr>
          <w:rFonts w:ascii="Arial" w:cs="Arial" w:eastAsia="Arial" w:hAnsi="Arial"/>
          <w:sz w:val="18"/>
          <w:szCs w:val="18"/>
          <w:b w:val="1"/>
          <w:bCs w:val="1"/>
          <w:u w:val="single" w:color="auto"/>
          <w:color w:val="auto"/>
        </w:rPr>
        <w:t>Term and Termination</w:t>
      </w:r>
      <w:r>
        <w:rPr>
          <w:rFonts w:ascii="Arial" w:cs="Arial" w:eastAsia="Arial" w:hAnsi="Arial"/>
          <w:sz w:val="18"/>
          <w:szCs w:val="18"/>
          <w:b w:val="1"/>
          <w:bCs w:val="1"/>
          <w:color w:val="auto"/>
        </w:rPr>
        <w:t>.</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Subject to the express termination provisions set forth in Article 3, unless terminated sooner in accordance with the terms set forth herein, this Agreement shall expire upon such time that no further Royalties are due to TSRI pursuant to Section 4.4.3.</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u w:val="single" w:color="auto"/>
          <w:color w:val="auto"/>
        </w:rPr>
        <w:t>Termination by Licensee</w:t>
      </w:r>
      <w:r>
        <w:rPr>
          <w:rFonts w:ascii="Arial" w:cs="Arial" w:eastAsia="Arial" w:hAnsi="Arial"/>
          <w:sz w:val="17"/>
          <w:szCs w:val="17"/>
          <w:color w:val="auto"/>
        </w:rPr>
        <w:t>. This Agreement may be terminated by Licensee for any reason upon ninety (90) days’ prior written notice to TSRI.</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u w:val="single" w:color="auto"/>
          <w:color w:val="auto"/>
        </w:rPr>
        <w:t>Termination by TSRI</w:t>
      </w:r>
      <w:r>
        <w:rPr>
          <w:rFonts w:ascii="Arial" w:cs="Arial" w:eastAsia="Arial" w:hAnsi="Arial"/>
          <w:sz w:val="17"/>
          <w:szCs w:val="17"/>
          <w:color w:val="auto"/>
        </w:rPr>
        <w:t>. TSRI has the right to immediately terminate this Agreement as follows (unless a further cure period is provided below):</w:t>
      </w:r>
    </w:p>
    <w:p>
      <w:pPr>
        <w:spacing w:after="0" w:line="133" w:lineRule="exact"/>
        <w:rPr>
          <w:sz w:val="20"/>
          <w:szCs w:val="20"/>
          <w:color w:val="auto"/>
        </w:rPr>
      </w:pPr>
    </w:p>
    <w:p>
      <w:pPr>
        <w:ind w:left="440" w:right="60" w:firstLine="419"/>
        <w:spacing w:after="0" w:line="277" w:lineRule="auto"/>
        <w:tabs>
          <w:tab w:leader="none" w:pos="1108" w:val="left"/>
        </w:tabs>
        <w:numPr>
          <w:ilvl w:val="1"/>
          <w:numId w:val="288"/>
        </w:numPr>
        <w:rPr>
          <w:rFonts w:ascii="Arial" w:cs="Arial" w:eastAsia="Arial" w:hAnsi="Arial"/>
          <w:sz w:val="18"/>
          <w:szCs w:val="18"/>
          <w:color w:val="auto"/>
        </w:rPr>
      </w:pPr>
      <w:r>
        <w:rPr>
          <w:rFonts w:ascii="Arial" w:cs="Arial" w:eastAsia="Arial" w:hAnsi="Arial"/>
          <w:sz w:val="18"/>
          <w:szCs w:val="18"/>
          <w:color w:val="auto"/>
        </w:rPr>
        <w:t>If Licensee does not make a payment due hereunder and fails to cure such non-payment (including the payment of interest in accordance with Section 10.4) within twenty (20) days after the date of TSRI’s written notice of such non-payment;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If Licensee defaults upon its indemnification or insurance obligations under Article Seven;</w:t>
      </w:r>
    </w:p>
    <w:p>
      <w:pPr>
        <w:spacing w:after="0" w:line="117" w:lineRule="exact"/>
        <w:rPr>
          <w:rFonts w:ascii="Arial" w:cs="Arial" w:eastAsia="Arial" w:hAnsi="Arial"/>
          <w:sz w:val="18"/>
          <w:szCs w:val="18"/>
          <w:color w:val="auto"/>
        </w:rPr>
      </w:pPr>
    </w:p>
    <w:p>
      <w:pPr>
        <w:ind w:left="440" w:right="20" w:firstLine="419"/>
        <w:spacing w:after="0" w:line="263" w:lineRule="auto"/>
        <w:tabs>
          <w:tab w:leader="none" w:pos="1108" w:val="left"/>
        </w:tabs>
        <w:numPr>
          <w:ilvl w:val="1"/>
          <w:numId w:val="288"/>
        </w:numPr>
        <w:rPr>
          <w:rFonts w:ascii="Arial" w:cs="Arial" w:eastAsia="Arial" w:hAnsi="Arial"/>
          <w:sz w:val="18"/>
          <w:szCs w:val="18"/>
          <w:color w:val="auto"/>
        </w:rPr>
      </w:pPr>
      <w:r>
        <w:rPr>
          <w:rFonts w:ascii="Arial" w:cs="Arial" w:eastAsia="Arial" w:hAnsi="Arial"/>
          <w:sz w:val="18"/>
          <w:szCs w:val="18"/>
          <w:color w:val="auto"/>
        </w:rPr>
        <w:t>Upon TSRI’s written notice to Licensee in the event Licensee becomes insolvent, has a petition in bankruptcy filed for or against it, has a receiver appointed over any of Licensee’s assets, makes an assignment for the benefit of creditors, or has any other proceedings filed against Licensee under any bankruptcy or insolvency laws;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1"/>
          <w:numId w:val="288"/>
        </w:numPr>
        <w:rPr>
          <w:rFonts w:ascii="Arial" w:cs="Arial" w:eastAsia="Arial" w:hAnsi="Arial"/>
          <w:sz w:val="17"/>
          <w:szCs w:val="17"/>
          <w:color w:val="auto"/>
        </w:rPr>
      </w:pPr>
      <w:r>
        <w:rPr>
          <w:rFonts w:ascii="Arial" w:cs="Arial" w:eastAsia="Arial" w:hAnsi="Arial"/>
          <w:sz w:val="17"/>
          <w:szCs w:val="17"/>
          <w:color w:val="auto"/>
        </w:rPr>
        <w:t>If Licensee is convicted of a felony relating to the development, manufacture, use, marketing, distribution or sale of any Products.</w:t>
      </w:r>
    </w:p>
    <w:p>
      <w:pPr>
        <w:spacing w:after="0" w:line="128" w:lineRule="exact"/>
        <w:rPr>
          <w:rFonts w:ascii="Arial" w:cs="Arial" w:eastAsia="Arial" w:hAnsi="Arial"/>
          <w:sz w:val="17"/>
          <w:szCs w:val="17"/>
          <w:color w:val="auto"/>
        </w:rPr>
      </w:pPr>
    </w:p>
    <w:p>
      <w:pPr>
        <w:ind w:left="1100" w:hanging="241"/>
        <w:spacing w:after="0"/>
        <w:tabs>
          <w:tab w:leader="none" w:pos="1100" w:val="left"/>
        </w:tabs>
        <w:numPr>
          <w:ilvl w:val="1"/>
          <w:numId w:val="288"/>
        </w:numPr>
        <w:rPr>
          <w:rFonts w:ascii="Arial" w:cs="Arial" w:eastAsia="Arial" w:hAnsi="Arial"/>
          <w:sz w:val="16"/>
          <w:szCs w:val="16"/>
          <w:color w:val="auto"/>
        </w:rPr>
      </w:pPr>
      <w:r>
        <w:rPr>
          <w:rFonts w:ascii="Arial" w:cs="Arial" w:eastAsia="Arial" w:hAnsi="Arial"/>
          <w:sz w:val="16"/>
          <w:szCs w:val="16"/>
          <w:color w:val="auto"/>
        </w:rPr>
        <w:t>If an audit pursuant to Section 4.4.9 shows an underreporting or underpayment by Licensee or any Sublicensee of [***] or more for any</w:t>
      </w:r>
    </w:p>
    <w:p>
      <w:pPr>
        <w:spacing w:after="0" w:line="46" w:lineRule="exact"/>
        <w:rPr>
          <w:rFonts w:ascii="Arial" w:cs="Arial" w:eastAsia="Arial" w:hAnsi="Arial"/>
          <w:sz w:val="16"/>
          <w:szCs w:val="16"/>
          <w:color w:val="auto"/>
        </w:rPr>
      </w:pPr>
    </w:p>
    <w:p>
      <w:pPr>
        <w:ind w:left="880" w:hanging="444"/>
        <w:spacing w:after="0"/>
        <w:tabs>
          <w:tab w:leader="none" w:pos="8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month period; or</w:t>
      </w:r>
    </w:p>
    <w:p>
      <w:pPr>
        <w:spacing w:after="0" w:line="102" w:lineRule="exact"/>
        <w:rPr>
          <w:rFonts w:ascii="Arial" w:cs="Arial" w:eastAsia="Arial" w:hAnsi="Arial"/>
          <w:sz w:val="18"/>
          <w:szCs w:val="18"/>
          <w:color w:val="auto"/>
        </w:rPr>
      </w:pPr>
    </w:p>
    <w:p>
      <w:pPr>
        <w:ind w:left="440" w:right="20" w:firstLine="419"/>
        <w:spacing w:after="0" w:line="277" w:lineRule="auto"/>
        <w:tabs>
          <w:tab w:leader="none" w:pos="108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Except as provided in subparagraphs (a)-(e) above, if Licensee defaults in the performance of any other obligations under this Agreement and the default has not been remedied within sixty (60) days after the date of TSRI’s written notice of such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3" w:right="459" w:bottom="1440" w:gutter="0" w:footer="0" w:header="0"/>
        </w:sectPr>
      </w:pPr>
    </w:p>
    <w:bookmarkStart w:id="486" w:name="page487"/>
    <w:bookmarkEnd w:id="486"/>
    <w:p>
      <w:pPr>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9.4 </w:t>
      </w:r>
      <w:r>
        <w:rPr>
          <w:rFonts w:ascii="Arial" w:cs="Arial" w:eastAsia="Arial" w:hAnsi="Arial"/>
          <w:sz w:val="18"/>
          <w:szCs w:val="18"/>
          <w:b w:val="1"/>
          <w:bCs w:val="1"/>
          <w:u w:val="single" w:color="auto"/>
          <w:color w:val="auto"/>
        </w:rPr>
        <w:t>Rights upon Expiration</w:t>
      </w:r>
      <w:r>
        <w:rPr>
          <w:rFonts w:ascii="Arial" w:cs="Arial" w:eastAsia="Arial" w:hAnsi="Arial"/>
          <w:sz w:val="18"/>
          <w:szCs w:val="18"/>
          <w:color w:val="auto"/>
        </w:rPr>
        <w:t>. Upon the expiration of this Agreement, neither party shall have any further rights or obligations, other than the obligation of Licensee to make any and all reports and payments due under Articles Four and Six and Section 9.5.3 with respect to events that occurred prior to such expiration (and the applicable Sections in Articles Four and Six and Section 9.5.3 shall survive such expiration for such purposes). Notwithstanding the above, Article One, Sections 2.4, 2.5, 2.6, 4.4.9, 6.3, Articles Seven and Eight, Section 9.4 and Article 10 shall also survive the expiration of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u w:val="single" w:color="auto"/>
          <w:color w:val="auto"/>
        </w:rPr>
        <w:t>Rights upon Termination</w:t>
      </w:r>
      <w:r>
        <w:rPr>
          <w:rFonts w:ascii="Arial" w:cs="Arial" w:eastAsia="Arial" w:hAnsi="Arial"/>
          <w:sz w:val="18"/>
          <w:szCs w:val="18"/>
          <w:color w:val="auto"/>
        </w:rPr>
        <w:t>.</w:t>
      </w:r>
    </w:p>
    <w:p>
      <w:pPr>
        <w:spacing w:after="0" w:line="121" w:lineRule="exact"/>
        <w:rPr>
          <w:sz w:val="20"/>
          <w:szCs w:val="20"/>
          <w:color w:val="auto"/>
        </w:rPr>
      </w:pPr>
    </w:p>
    <w:p>
      <w:pPr>
        <w:ind w:left="440" w:right="60" w:firstLine="423"/>
        <w:spacing w:after="0" w:line="267" w:lineRule="auto"/>
        <w:rPr>
          <w:sz w:val="20"/>
          <w:szCs w:val="20"/>
          <w:color w:val="auto"/>
        </w:rPr>
      </w:pPr>
      <w:r>
        <w:rPr>
          <w:rFonts w:ascii="Arial" w:cs="Arial" w:eastAsia="Arial" w:hAnsi="Arial"/>
          <w:sz w:val="17"/>
          <w:szCs w:val="17"/>
          <w:color w:val="auto"/>
        </w:rPr>
        <w:t xml:space="preserve">9.5.1 </w:t>
      </w:r>
      <w:r>
        <w:rPr>
          <w:rFonts w:ascii="Arial" w:cs="Arial" w:eastAsia="Arial" w:hAnsi="Arial"/>
          <w:sz w:val="17"/>
          <w:szCs w:val="17"/>
          <w:u w:val="single" w:color="auto"/>
          <w:color w:val="auto"/>
        </w:rPr>
        <w:t>Licensed Product Data</w:t>
      </w:r>
      <w:r>
        <w:rPr>
          <w:rFonts w:ascii="Arial" w:cs="Arial" w:eastAsia="Arial" w:hAnsi="Arial"/>
          <w:sz w:val="17"/>
          <w:szCs w:val="17"/>
          <w:color w:val="auto"/>
        </w:rPr>
        <w:t>. Notwithstanding any other provision of this Agreement, upon any termination of this Agreement prior to the regularly scheduled expiration date of this Agreement, the licenses granted hereunder shall terminate and revert to TSRI, and all sublicenses granted by Licensee shall also automatically terminate. Except as otherwise provided below in Section 9.5.2 with respect to work-in-progress, upon such termination, Licensee and its Sublicensees shall have no further right to develop, manufacture, market, distribute or sell any Licensed Product, Know-How Product or Option Product or to otherwise practice or use any Licensed Patent Rights or Licensed Know-How. Upon any termination of this Agreement, Licensee will exclusively license to TSRI, and Licensee hereby grants to TSRI an irrevocable, exclusive, worldwide and perpetual license, with the right to sublicense, to the Licensed Product Data in order to research, have researched, develop, have developed, make, have made, use, have used, sell, have sold, offer to sell, import and have imported Licensed Products, Know-How Products and Option Products in the Field, and the right to reference any Licensed Product Data contained in any of Licensee’s regulatory filings with the FDA or with any equivalent foreign agency or governmental authority with respect to TSRI’s or its sublicensees’ development or commercialization activities, subject to Licensee’s reserved right to use such Licensed Product Data solely for Licensee’s internal, research purposes. TSRI agrees that if TSRI or its Sublicensees use the Licensed Product Data to develop and sell Licensed Products, Know-How Products or Option Products, TSRI will pay to Licensee [***] on net sales of such Licensed Products, Know-How Products or Option Products. Upon such termination, Licensee shall promptly deliver to TSRI all Licensed Product Data that has not been previously provided to TSRI under Section 5.4. Any such termination shall not relieve either party from any obligations accrued to the date of such termination, including without limitation the obligation of Licensee to make any and all reports and payments due under Articles Four and Six and Section 9.5.3 with respect to events that occurred prior to such termination (and the applicable Sections in Articles Four and Six and Section 9.5.3 shall survive such termination for such purposes). In addition, Article One, Sections 2.4, 2.5, 2.6, 4.4.9, 6.3, Articles Seven and Eight, Section 9.5 and Article 10 shall also survive the termination of this Agreement.</w:t>
      </w:r>
    </w:p>
    <w:p>
      <w:pPr>
        <w:spacing w:after="0" w:line="80" w:lineRule="exact"/>
        <w:rPr>
          <w:sz w:val="20"/>
          <w:szCs w:val="20"/>
          <w:color w:val="auto"/>
        </w:rPr>
      </w:pPr>
    </w:p>
    <w:p>
      <w:pPr>
        <w:ind w:left="440" w:right="120" w:firstLine="423"/>
        <w:spacing w:after="0" w:line="257" w:lineRule="auto"/>
        <w:rPr>
          <w:sz w:val="20"/>
          <w:szCs w:val="20"/>
          <w:color w:val="auto"/>
        </w:rPr>
      </w:pPr>
      <w:r>
        <w:rPr>
          <w:rFonts w:ascii="Arial" w:cs="Arial" w:eastAsia="Arial" w:hAnsi="Arial"/>
          <w:sz w:val="18"/>
          <w:szCs w:val="18"/>
          <w:color w:val="auto"/>
        </w:rPr>
        <w:t xml:space="preserve">9.5.2 </w:t>
      </w:r>
      <w:r>
        <w:rPr>
          <w:rFonts w:ascii="Arial" w:cs="Arial" w:eastAsia="Arial" w:hAnsi="Arial"/>
          <w:sz w:val="18"/>
          <w:szCs w:val="18"/>
          <w:u w:val="single" w:color="auto"/>
          <w:color w:val="auto"/>
        </w:rPr>
        <w:t>Work-in-Progress</w:t>
      </w:r>
      <w:r>
        <w:rPr>
          <w:rFonts w:ascii="Arial" w:cs="Arial" w:eastAsia="Arial" w:hAnsi="Arial"/>
          <w:sz w:val="18"/>
          <w:szCs w:val="18"/>
          <w:color w:val="auto"/>
        </w:rPr>
        <w:t>. Upon any early termination of the licenses granted hereunder, Licensee shall be entitled to finish any work-in-progress and to sell any completed inventory of Licensed Products which remain on hand as of the termination date, so long as Licensee sells such inventory in the normal course of business and at regular selling prices and pays to TSRI the royalties applicable to such subsequent sales in accordance with the provisions of this Agreement, provided that no such sales shall be permitted following the date that is [***] months after the termination date.</w:t>
      </w:r>
    </w:p>
    <w:p>
      <w:pPr>
        <w:spacing w:after="0" w:line="80" w:lineRule="exact"/>
        <w:rPr>
          <w:sz w:val="20"/>
          <w:szCs w:val="20"/>
          <w:color w:val="auto"/>
        </w:rPr>
      </w:pPr>
    </w:p>
    <w:p>
      <w:pPr>
        <w:ind w:left="440" w:right="40" w:firstLine="423"/>
        <w:spacing w:after="0" w:line="263" w:lineRule="auto"/>
        <w:rPr>
          <w:sz w:val="20"/>
          <w:szCs w:val="20"/>
          <w:color w:val="auto"/>
        </w:rPr>
      </w:pPr>
      <w:r>
        <w:rPr>
          <w:rFonts w:ascii="Arial" w:cs="Arial" w:eastAsia="Arial" w:hAnsi="Arial"/>
          <w:sz w:val="18"/>
          <w:szCs w:val="18"/>
          <w:color w:val="auto"/>
        </w:rPr>
        <w:t xml:space="preserve">9.5.3 </w:t>
      </w:r>
      <w:r>
        <w:rPr>
          <w:rFonts w:ascii="Arial" w:cs="Arial" w:eastAsia="Arial" w:hAnsi="Arial"/>
          <w:sz w:val="18"/>
          <w:szCs w:val="18"/>
          <w:u w:val="single" w:color="auto"/>
          <w:color w:val="auto"/>
        </w:rPr>
        <w:t>Final Royalty Report</w:t>
      </w:r>
      <w:r>
        <w:rPr>
          <w:rFonts w:ascii="Arial" w:cs="Arial" w:eastAsia="Arial" w:hAnsi="Arial"/>
          <w:sz w:val="18"/>
          <w:szCs w:val="18"/>
          <w:color w:val="auto"/>
        </w:rPr>
        <w:t>. Upon termination or expiration of this Agreement, Licensee shall promptly submit a final report to TSRI, and any payments due to TSRI under this Agreement that accrued prior to such termination or expiration shall be paid by Licensee to TSRI at the time of delivery of the final report.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69" w:right="459" w:bottom="1440" w:gutter="0" w:footer="0" w:header="0"/>
        </w:sectPr>
      </w:pPr>
    </w:p>
    <w:bookmarkStart w:id="487" w:name="page488"/>
    <w:bookmarkEnd w:id="4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ARTICLE TEN.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Any and all assignments of this Agreement or any rights granted hereunder by Licensee without TSRI’s prior written consent are void, except the Licensee may assign this Agreement and its rights and obligations hereunder with TSRI’s consent in connection with the transfer or sale of all or substantially all of Licensee’s business to a third party, whether by merger, sale of stock, sale of assets or otherwise (a “Change in Control Transaction”); provided that Licensee delivers to TSRI written notice of such Change in Control Transaction at least [***] days prior to the consummation of such transaction, and the successor or assignee of Licensee’s interest shall expressly assume in writing the performance of all the terms and conditions of this Agreement to be performed by Licensee and such written assumption shall be delivered to TSRI concurrently with the consummation of such transfer or assignment.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Binding upon Successors and Assigns</w:t>
      </w:r>
      <w:r>
        <w:rPr>
          <w:rFonts w:ascii="Arial" w:cs="Arial" w:eastAsia="Arial" w:hAnsi="Arial"/>
          <w:sz w:val="18"/>
          <w:szCs w:val="18"/>
          <w:color w:val="auto"/>
        </w:rPr>
        <w:t>. Subject to the limitations on assignment in Section 10.1, this Agreement shall be binding upon and inure to the benefit of any successors in interest and assigns of TSRI and Licensee. Any successor or assignee of Licensee’s interest shall expressly assume in writing the performance of all the terms and conditions of this Agreement to be performed by Licensee and such written assumption shall be delivered to TSRI as a condition to TSRI’s agreement to consent to any such assignment.</w:t>
      </w:r>
    </w:p>
    <w:p>
      <w:pPr>
        <w:spacing w:after="0" w:line="180"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u w:val="single" w:color="auto"/>
          <w:color w:val="auto"/>
        </w:rPr>
        <w:t>Independent Contractors</w:t>
      </w:r>
      <w:r>
        <w:rPr>
          <w:rFonts w:ascii="Arial" w:cs="Arial" w:eastAsia="Arial" w:hAnsi="Arial"/>
          <w:sz w:val="16"/>
          <w:szCs w:val="16"/>
          <w:color w:val="auto"/>
        </w:rPr>
        <w:t>. The relationship between TSRI and Licensee is that of independent contractors. TSRI and Licensee are not joint venturers, partners, principal and agent, master and servant, employer and employee, and have no other relationship other than independent contracting parties. TSRI and Licensee shall have no power to bind or obligate each other in any manner, other than as is expressly set forth in this Agreement.</w:t>
      </w:r>
    </w:p>
    <w:p>
      <w:pPr>
        <w:spacing w:after="0" w:line="14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Late Payments</w:t>
      </w:r>
      <w:r>
        <w:rPr>
          <w:rFonts w:ascii="Arial" w:cs="Arial" w:eastAsia="Arial" w:hAnsi="Arial"/>
          <w:sz w:val="18"/>
          <w:szCs w:val="18"/>
          <w:color w:val="auto"/>
        </w:rPr>
        <w:t>. Late payments of any and all amounts due hereunder shall bear interest from the due date until the date paid at a rate of [***] per month, or [***], whichever is greater.</w:t>
      </w:r>
    </w:p>
    <w:p>
      <w:pPr>
        <w:spacing w:after="0" w:line="162"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b w:val="1"/>
          <w:bCs w:val="1"/>
          <w:u w:val="single" w:color="auto"/>
          <w:color w:val="auto"/>
        </w:rPr>
        <w:t>Governmental Approvals and Compliance</w:t>
      </w:r>
      <w:r>
        <w:rPr>
          <w:rFonts w:ascii="Arial" w:cs="Arial" w:eastAsia="Arial" w:hAnsi="Arial"/>
          <w:sz w:val="17"/>
          <w:szCs w:val="17"/>
          <w:color w:val="auto"/>
        </w:rPr>
        <w:t>. Licensee shall, at its expense, be responsible for obtaining all necessary governmental approvals for the development, production, distribution, performance, sale and use of Products, and shall comply with all applicable laws, rules and regulations in conducting its activities under this Agreement. Licensee shall, at its expense, also be responsible for any warning labels, packaging and instructions produced or distributed with respect to the use of Products and for the quality control for any Products.</w:t>
      </w:r>
    </w:p>
    <w:p>
      <w:pPr>
        <w:spacing w:after="0" w:line="16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u w:val="single" w:color="auto"/>
          <w:color w:val="auto"/>
        </w:rPr>
        <w:t>Foreign Registration</w:t>
      </w:r>
      <w:r>
        <w:rPr>
          <w:rFonts w:ascii="Arial" w:cs="Arial" w:eastAsia="Arial" w:hAnsi="Arial"/>
          <w:sz w:val="18"/>
          <w:szCs w:val="18"/>
          <w:color w:val="auto"/>
        </w:rPr>
        <w:t>. Licensee agrees, at its expense, to register this Agreement with any foreign governmental agency which requires such registration.</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Dispute Resolution</w:t>
      </w:r>
      <w:r>
        <w:rPr>
          <w:rFonts w:ascii="Arial" w:cs="Arial" w:eastAsia="Arial" w:hAnsi="Arial"/>
          <w:sz w:val="18"/>
          <w:szCs w:val="18"/>
          <w:color w:val="auto"/>
        </w:rPr>
        <w:t>. Any dispute or claim between the parties arising out of or relating to this Agreement, including without limitation the breach thereof, shall be resolved according to the following dispute resolution procedures:</w:t>
      </w:r>
    </w:p>
    <w:p>
      <w:pPr>
        <w:spacing w:after="0" w:line="58" w:lineRule="exact"/>
        <w:rPr>
          <w:sz w:val="20"/>
          <w:szCs w:val="20"/>
          <w:color w:val="auto"/>
        </w:rPr>
      </w:pPr>
    </w:p>
    <w:p>
      <w:pPr>
        <w:ind w:left="440" w:right="360" w:firstLine="419"/>
        <w:spacing w:after="0" w:line="277" w:lineRule="auto"/>
        <w:tabs>
          <w:tab w:leader="none" w:pos="110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Such dispute shall be first addressed by the representatives of TSRI and Licensee who have primary responsibility for managing this Agreement.</w:t>
      </w:r>
    </w:p>
    <w:p>
      <w:pPr>
        <w:spacing w:after="0" w:line="62"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the dispute is not resolved by such representatives within [***] days after the date either party gives written notice that such dispute exists, then the dispute shall be referred to and addressed by the senior management of each party.</w:t>
      </w:r>
    </w:p>
    <w:p>
      <w:pPr>
        <w:spacing w:after="0" w:line="62" w:lineRule="exact"/>
        <w:rPr>
          <w:rFonts w:ascii="Arial" w:cs="Arial" w:eastAsia="Arial" w:hAnsi="Arial"/>
          <w:sz w:val="18"/>
          <w:szCs w:val="18"/>
          <w:color w:val="auto"/>
        </w:rPr>
      </w:pPr>
    </w:p>
    <w:p>
      <w:pPr>
        <w:jc w:val="both"/>
        <w:ind w:left="440" w:right="60" w:firstLine="419"/>
        <w:spacing w:after="0" w:line="342" w:lineRule="auto"/>
        <w:tabs>
          <w:tab w:leader="none" w:pos="110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If such dispute is not resolved by the parties’ senior management within [***] days after the date the dispute is referred to them, then the dispute shall be submitted to mediation. The mediator shall be a retired judge or other neutral third party mutually selected by TSRI and Licensee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69" w:right="459" w:bottom="1440" w:gutter="0" w:footer="0" w:header="0"/>
        </w:sectPr>
      </w:pPr>
    </w:p>
    <w:bookmarkStart w:id="488" w:name="page489"/>
    <w:bookmarkEnd w:id="488"/>
    <w:p>
      <w:pPr>
        <w:ind w:left="44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who has at least [***] years’ experience in mediating or arbitrating cases in the bio-pharmaceutical industry and regarding the same or substantially similar subject matter as the dispute between Licensee and TSRI. If the parties are unable to agree on such mediator within [***] days after they exchange initial lists of potential mediators, a mediator with the same qualifications will be selected by the [***] located at [***] (after consultation with the parties).</w:t>
      </w:r>
    </w:p>
    <w:p>
      <w:pPr>
        <w:spacing w:after="0" w:line="79" w:lineRule="exact"/>
        <w:rPr>
          <w:sz w:val="20"/>
          <w:szCs w:val="20"/>
          <w:color w:val="auto"/>
        </w:rPr>
      </w:pPr>
    </w:p>
    <w:p>
      <w:pPr>
        <w:ind w:left="440" w:right="200" w:firstLine="419"/>
        <w:spacing w:after="0" w:line="286" w:lineRule="auto"/>
        <w:tabs>
          <w:tab w:leader="none" w:pos="1118"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location of the mediation shall be in the County of San Diego, California. TSRI and Licensee hereby irrevocably submit to the exclusive jurisdiction and venue of the mediator mutually selected by the parties or to the neutral mediator selected by [***] for purposes of the mediation, and to the exclusive jurisdiction and venue of the federal and state courts located in San Diego County, California for any action or proceeding regarding this Agreement in the event mediation is unsuccessful as provided in sub-clause (e) below, or as provided in sub-clause</w:t>
      </w:r>
    </w:p>
    <w:p>
      <w:pPr>
        <w:spacing w:after="0" w:line="1" w:lineRule="exact"/>
        <w:rPr>
          <w:rFonts w:ascii="Arial" w:cs="Arial" w:eastAsia="Arial" w:hAnsi="Arial"/>
          <w:sz w:val="16"/>
          <w:szCs w:val="16"/>
          <w:color w:val="auto"/>
        </w:rPr>
      </w:pPr>
    </w:p>
    <w:p>
      <w:pPr>
        <w:ind w:left="440" w:right="220" w:hanging="4"/>
        <w:spacing w:after="0" w:line="260" w:lineRule="auto"/>
        <w:tabs>
          <w:tab w:leader="none" w:pos="66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below, and waive any right to contest or otherwise object to such exclusive jurisdiction or venue, including without limitation any claim that such exclusive venue is not a convenient forum.</w:t>
      </w:r>
    </w:p>
    <w:p>
      <w:pPr>
        <w:spacing w:after="0" w:line="77" w:lineRule="exact"/>
        <w:rPr>
          <w:rFonts w:ascii="Arial" w:cs="Arial" w:eastAsia="Arial" w:hAnsi="Arial"/>
          <w:sz w:val="18"/>
          <w:szCs w:val="18"/>
          <w:color w:val="auto"/>
        </w:rPr>
      </w:pPr>
    </w:p>
    <w:p>
      <w:pPr>
        <w:ind w:left="440" w:right="420" w:firstLine="419"/>
        <w:spacing w:after="0" w:line="277" w:lineRule="auto"/>
        <w:tabs>
          <w:tab w:leader="none" w:pos="1108" w:val="left"/>
        </w:tabs>
        <w:numPr>
          <w:ilvl w:val="1"/>
          <w:numId w:val="292"/>
        </w:numPr>
        <w:rPr>
          <w:rFonts w:ascii="Arial" w:cs="Arial" w:eastAsia="Arial" w:hAnsi="Arial"/>
          <w:sz w:val="18"/>
          <w:szCs w:val="18"/>
          <w:color w:val="auto"/>
        </w:rPr>
      </w:pPr>
      <w:r>
        <w:rPr>
          <w:rFonts w:ascii="Arial" w:cs="Arial" w:eastAsia="Arial" w:hAnsi="Arial"/>
          <w:sz w:val="18"/>
          <w:szCs w:val="18"/>
          <w:color w:val="auto"/>
        </w:rPr>
        <w:t>If the dispute is not resolved through mediation, either party may refer the dispute to a court of competent jurisdiction in San Diego County, California.</w:t>
      </w:r>
    </w:p>
    <w:p>
      <w:pPr>
        <w:spacing w:after="0" w:line="62" w:lineRule="exact"/>
        <w:rPr>
          <w:rFonts w:ascii="Arial" w:cs="Arial" w:eastAsia="Arial" w:hAnsi="Arial"/>
          <w:sz w:val="18"/>
          <w:szCs w:val="18"/>
          <w:color w:val="auto"/>
        </w:rPr>
      </w:pPr>
    </w:p>
    <w:p>
      <w:pPr>
        <w:ind w:left="440" w:right="340" w:firstLine="419"/>
        <w:spacing w:after="0" w:line="342" w:lineRule="auto"/>
        <w:tabs>
          <w:tab w:leader="none" w:pos="1088" w:val="left"/>
        </w:tabs>
        <w:numPr>
          <w:ilvl w:val="1"/>
          <w:numId w:val="29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prior to or while a mediation proceeding is pending, either party has the right to seek and obtain injunctive and other equitable relief from a court of competent jurisdiction to enforce that party’s rights hereunder.</w:t>
      </w:r>
    </w:p>
    <w:p>
      <w:pPr>
        <w:spacing w:after="0" w:line="15" w:lineRule="exact"/>
        <w:rPr>
          <w:rFonts w:ascii="Arial" w:cs="Arial" w:eastAsia="Arial" w:hAnsi="Arial"/>
          <w:sz w:val="16"/>
          <w:szCs w:val="16"/>
          <w:color w:val="auto"/>
        </w:rPr>
      </w:pPr>
    </w:p>
    <w:p>
      <w:pPr>
        <w:ind w:left="440" w:firstLine="419"/>
        <w:spacing w:after="0" w:line="290" w:lineRule="auto"/>
        <w:tabs>
          <w:tab w:leader="none" w:pos="1118" w:val="left"/>
        </w:tabs>
        <w:numPr>
          <w:ilvl w:val="1"/>
          <w:numId w:val="292"/>
        </w:numPr>
        <w:rPr>
          <w:rFonts w:ascii="Arial" w:cs="Arial" w:eastAsia="Arial" w:hAnsi="Arial"/>
          <w:sz w:val="16"/>
          <w:szCs w:val="16"/>
          <w:color w:val="auto"/>
        </w:rPr>
      </w:pPr>
      <w:r>
        <w:rPr>
          <w:rFonts w:ascii="Arial" w:cs="Arial" w:eastAsia="Arial" w:hAnsi="Arial"/>
          <w:sz w:val="16"/>
          <w:szCs w:val="16"/>
          <w:color w:val="auto"/>
        </w:rPr>
        <w:t>In the event of a dispute between the parties or any default hereunder, the party prevailing in the resolution of such dispute or default shall be entitled to recover its reasonable attorneys’ fees and other costs incurred in connection with resolving such dispute or default, in addition to any other relief to which it is entitled. Notwithstanding anything to the contrary herein, the parties agree that this Section 10.7(g) shall not apply and attorney’s fees and costs shall not be awarded to either party with respect to any Challenge or any action where Licensee or a Sublicensee alleges that it is not required to comply with or perform some or all of the provisions of this Agreement based upon a good faith claim that any of the Licensed Patent Rights are invalid or unenforceable. TSRI and Licensee each represent that it has been represented by its own counsel in the negotiation and execution of this Agreement. Each party further represents that it has relied solely on the advice and representation of its respective counsel in agreeing to this Section 10.7 and all of the other provisions of this Agreement.</w:t>
      </w:r>
    </w:p>
    <w:p>
      <w:pPr>
        <w:spacing w:after="0" w:line="161" w:lineRule="exact"/>
        <w:rPr>
          <w:sz w:val="20"/>
          <w:szCs w:val="20"/>
          <w:color w:val="auto"/>
        </w:rPr>
      </w:pPr>
    </w:p>
    <w:p>
      <w:pPr>
        <w:jc w:val="both"/>
        <w:ind w:right="140"/>
        <w:spacing w:after="0" w:line="289"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b w:val="1"/>
          <w:bCs w:val="1"/>
          <w:u w:val="single" w:color="auto"/>
          <w:color w:val="auto"/>
        </w:rPr>
        <w:t>Entire Agreement; Modification</w:t>
      </w:r>
      <w:r>
        <w:rPr>
          <w:rFonts w:ascii="Arial" w:cs="Arial" w:eastAsia="Arial" w:hAnsi="Arial"/>
          <w:sz w:val="17"/>
          <w:szCs w:val="17"/>
          <w:color w:val="auto"/>
        </w:rPr>
        <w:t>. This Agreement and all of the attached Exhibits (which are incorporated herein) set forth the entire agreement between the parties as to the subject matter hereof, and supersede all prior or contemporaneous agreements or understandings, whether oral or written, regarding this subject matter. This Agreement cannot be amended except by a written instrument signed by both parties.</w:t>
      </w:r>
    </w:p>
    <w:p>
      <w:pPr>
        <w:spacing w:after="0" w:line="15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b w:val="1"/>
          <w:bCs w:val="1"/>
          <w:u w:val="single" w:color="auto"/>
          <w:color w:val="auto"/>
        </w:rPr>
        <w:t>California Law</w:t>
      </w:r>
      <w:r>
        <w:rPr>
          <w:rFonts w:ascii="Arial" w:cs="Arial" w:eastAsia="Arial" w:hAnsi="Arial"/>
          <w:sz w:val="18"/>
          <w:szCs w:val="18"/>
          <w:color w:val="auto"/>
        </w:rPr>
        <w:t>. This Agreement shall be construed and enforced according to the laws of the State of California without regard to its conflicts or choice of law rules.</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for each Section in this Agreement have been inserted for convenience of reference only and are not intended to limit or expand on the meaning of the language contained in the particular Section.</w:t>
      </w:r>
    </w:p>
    <w:p>
      <w:pPr>
        <w:spacing w:after="0" w:line="162" w:lineRule="exact"/>
        <w:rPr>
          <w:sz w:val="20"/>
          <w:szCs w:val="20"/>
          <w:color w:val="auto"/>
        </w:rPr>
      </w:pPr>
    </w:p>
    <w:p>
      <w:pPr>
        <w:ind w:right="420"/>
        <w:spacing w:after="0" w:line="312"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this Agreement is judicially determined to be invalid, void or unenforceable, the remaining provisions shall remain in full force and effect, and the stricken provision shall be revised in a manner that best reflects the original intent of the parties,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3" w:right="479" w:bottom="1440" w:gutter="0" w:footer="0" w:header="0"/>
        </w:sectPr>
      </w:pPr>
    </w:p>
    <w:bookmarkStart w:id="489" w:name="page490"/>
    <w:bookmarkEnd w:id="489"/>
    <w:p>
      <w:pPr>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10.12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The failure of a party to enforce any of its rights hereunder or at law or in equity shall not be deemed a waiver or a continuing waiver of any of its rights or remedies against the other party, unless such waiver is in writing and signed by the waiving party.</w:t>
      </w:r>
    </w:p>
    <w:p>
      <w:pPr>
        <w:spacing w:after="0" w:line="162"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notices required or permitted by this Agreement shall be in writing and shall be delivered as follows, with notice deemed given as indicated: (a) by personal delivery, when received; (b) by overnight courier guaranteeing next-day delivery, upon the next business day immediately following delivery to such overnight courier; or (c) by registered or certified mail, return receipt requested and postage prepaid, upon verification of receipt. Notices shall be sent to the respective addresses set forth below, unless subsequently changed by written notice to the other party:</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For TSRI:</w:t>
            </w:r>
          </w:p>
        </w:tc>
        <w:tc>
          <w:tcPr>
            <w:tcW w:w="3560" w:type="dxa"/>
            <w:vAlign w:val="bottom"/>
            <w:gridSpan w:val="5"/>
          </w:tcPr>
          <w:p>
            <w:pPr>
              <w:spacing w:after="0"/>
              <w:rPr>
                <w:sz w:val="20"/>
                <w:szCs w:val="20"/>
                <w:color w:val="auto"/>
              </w:rPr>
            </w:pPr>
            <w:r>
              <w:rPr>
                <w:rFonts w:ascii="Arial" w:cs="Arial" w:eastAsia="Arial" w:hAnsi="Arial"/>
                <w:sz w:val="18"/>
                <w:szCs w:val="18"/>
                <w:color w:val="auto"/>
              </w:rPr>
              <w:t>The Scripps Research Institute</w:t>
            </w:r>
          </w:p>
        </w:tc>
      </w:tr>
      <w:tr>
        <w:trPr>
          <w:trHeight w:val="216"/>
        </w:trPr>
        <w:tc>
          <w:tcPr>
            <w:tcW w:w="2840" w:type="dxa"/>
            <w:vAlign w:val="bottom"/>
          </w:tcPr>
          <w:p>
            <w:pPr>
              <w:spacing w:after="0"/>
              <w:rPr>
                <w:sz w:val="18"/>
                <w:szCs w:val="18"/>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auto"/>
              </w:rPr>
              <w:t>10550 North Torrey Pines Road, TPC-9</w:t>
            </w:r>
          </w:p>
        </w:tc>
      </w:tr>
      <w:tr>
        <w:trPr>
          <w:trHeight w:val="216"/>
        </w:trPr>
        <w:tc>
          <w:tcPr>
            <w:tcW w:w="2840" w:type="dxa"/>
            <w:vAlign w:val="bottom"/>
          </w:tcPr>
          <w:p>
            <w:pPr>
              <w:spacing w:after="0"/>
              <w:rPr>
                <w:sz w:val="18"/>
                <w:szCs w:val="18"/>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auto"/>
              </w:rPr>
              <w:t>La Jolla, California 92037</w:t>
            </w:r>
          </w:p>
        </w:tc>
      </w:tr>
      <w:tr>
        <w:trPr>
          <w:trHeight w:val="230"/>
        </w:trPr>
        <w:tc>
          <w:tcPr>
            <w:tcW w:w="284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auto"/>
                <w:w w:val="90"/>
              </w:rPr>
              <w:t>Attention: Vice President, Business Development</w:t>
            </w:r>
          </w:p>
        </w:tc>
      </w:tr>
      <w:tr>
        <w:trPr>
          <w:trHeight w:val="310"/>
        </w:trPr>
        <w:tc>
          <w:tcPr>
            <w:tcW w:w="2840" w:type="dxa"/>
            <w:vAlign w:val="bottom"/>
          </w:tcPr>
          <w:p>
            <w:pPr>
              <w:spacing w:after="0"/>
              <w:rPr>
                <w:sz w:val="20"/>
                <w:szCs w:val="20"/>
                <w:color w:val="auto"/>
              </w:rPr>
            </w:pPr>
            <w:r>
              <w:rPr>
                <w:rFonts w:ascii="Arial" w:cs="Arial" w:eastAsia="Arial" w:hAnsi="Arial"/>
                <w:sz w:val="18"/>
                <w:szCs w:val="18"/>
                <w:color w:val="auto"/>
              </w:rPr>
              <w:t>with a copy to:</w:t>
            </w:r>
          </w:p>
        </w:tc>
        <w:tc>
          <w:tcPr>
            <w:tcW w:w="3560" w:type="dxa"/>
            <w:vAlign w:val="bottom"/>
            <w:gridSpan w:val="5"/>
          </w:tcPr>
          <w:p>
            <w:pPr>
              <w:spacing w:after="0"/>
              <w:rPr>
                <w:sz w:val="20"/>
                <w:szCs w:val="20"/>
                <w:color w:val="auto"/>
              </w:rPr>
            </w:pPr>
            <w:r>
              <w:rPr>
                <w:rFonts w:ascii="Arial" w:cs="Arial" w:eastAsia="Arial" w:hAnsi="Arial"/>
                <w:sz w:val="18"/>
                <w:szCs w:val="18"/>
                <w:color w:val="auto"/>
              </w:rPr>
              <w:t>The Scripps Research Institute</w:t>
            </w:r>
          </w:p>
        </w:tc>
      </w:tr>
      <w:tr>
        <w:trPr>
          <w:trHeight w:val="216"/>
        </w:trPr>
        <w:tc>
          <w:tcPr>
            <w:tcW w:w="2840" w:type="dxa"/>
            <w:vAlign w:val="bottom"/>
          </w:tcPr>
          <w:p>
            <w:pPr>
              <w:spacing w:after="0"/>
              <w:rPr>
                <w:sz w:val="18"/>
                <w:szCs w:val="18"/>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auto"/>
              </w:rPr>
              <w:t>10550 North Torrey Pines Road, TPC-8</w:t>
            </w:r>
          </w:p>
        </w:tc>
      </w:tr>
      <w:tr>
        <w:trPr>
          <w:trHeight w:val="216"/>
        </w:trPr>
        <w:tc>
          <w:tcPr>
            <w:tcW w:w="2840" w:type="dxa"/>
            <w:vAlign w:val="bottom"/>
          </w:tcPr>
          <w:p>
            <w:pPr>
              <w:spacing w:after="0"/>
              <w:rPr>
                <w:sz w:val="18"/>
                <w:szCs w:val="18"/>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auto"/>
              </w:rPr>
              <w:t>La Jolla, California 92037</w:t>
            </w:r>
          </w:p>
        </w:tc>
      </w:tr>
      <w:tr>
        <w:trPr>
          <w:trHeight w:val="230"/>
        </w:trPr>
        <w:tc>
          <w:tcPr>
            <w:tcW w:w="284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auto"/>
              </w:rPr>
              <w:t>Attention: Business Counsel</w:t>
            </w:r>
          </w:p>
        </w:tc>
      </w:tr>
      <w:tr>
        <w:trPr>
          <w:trHeight w:val="310"/>
        </w:trPr>
        <w:tc>
          <w:tcPr>
            <w:tcW w:w="2840" w:type="dxa"/>
            <w:vAlign w:val="bottom"/>
          </w:tcPr>
          <w:p>
            <w:pPr>
              <w:spacing w:after="0"/>
              <w:rPr>
                <w:sz w:val="20"/>
                <w:szCs w:val="20"/>
                <w:color w:val="auto"/>
              </w:rPr>
            </w:pPr>
            <w:r>
              <w:rPr>
                <w:rFonts w:ascii="Arial" w:cs="Arial" w:eastAsia="Arial" w:hAnsi="Arial"/>
                <w:sz w:val="18"/>
                <w:szCs w:val="18"/>
                <w:color w:val="auto"/>
              </w:rPr>
              <w:t>For Licensee:</w:t>
            </w:r>
          </w:p>
        </w:tc>
        <w:tc>
          <w:tcPr>
            <w:tcW w:w="3560" w:type="dxa"/>
            <w:vAlign w:val="bottom"/>
            <w:gridSpan w:val="5"/>
          </w:tcPr>
          <w:p>
            <w:pPr>
              <w:spacing w:after="0"/>
              <w:rPr>
                <w:sz w:val="20"/>
                <w:szCs w:val="20"/>
                <w:color w:val="auto"/>
              </w:rPr>
            </w:pPr>
            <w:r>
              <w:rPr>
                <w:rFonts w:ascii="Arial" w:cs="Arial" w:eastAsia="Arial" w:hAnsi="Arial"/>
                <w:sz w:val="18"/>
                <w:szCs w:val="18"/>
                <w:color w:val="auto"/>
              </w:rPr>
              <w:t>BlackThorn Therapeutics, Inc.</w:t>
            </w:r>
          </w:p>
        </w:tc>
      </w:tr>
      <w:tr>
        <w:trPr>
          <w:trHeight w:val="216"/>
        </w:trPr>
        <w:tc>
          <w:tcPr>
            <w:tcW w:w="2840" w:type="dxa"/>
            <w:vAlign w:val="bottom"/>
          </w:tcPr>
          <w:p>
            <w:pPr>
              <w:spacing w:after="0"/>
              <w:rPr>
                <w:sz w:val="18"/>
                <w:szCs w:val="18"/>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auto"/>
              </w:rPr>
              <w:t>1700 Owens Street, Suite 535</w:t>
            </w:r>
          </w:p>
        </w:tc>
      </w:tr>
      <w:tr>
        <w:trPr>
          <w:trHeight w:val="216"/>
        </w:trPr>
        <w:tc>
          <w:tcPr>
            <w:tcW w:w="2840" w:type="dxa"/>
            <w:vAlign w:val="bottom"/>
          </w:tcPr>
          <w:p>
            <w:pPr>
              <w:spacing w:after="0"/>
              <w:rPr>
                <w:sz w:val="18"/>
                <w:szCs w:val="18"/>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auto"/>
              </w:rPr>
              <w:t>San Francisco, CA 94158</w:t>
            </w:r>
          </w:p>
        </w:tc>
      </w:tr>
      <w:tr>
        <w:trPr>
          <w:trHeight w:val="230"/>
        </w:trPr>
        <w:tc>
          <w:tcPr>
            <w:tcW w:w="284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auto"/>
              </w:rPr>
              <w:t>Attention:</w:t>
            </w:r>
          </w:p>
        </w:tc>
      </w:tr>
      <w:tr>
        <w:trPr>
          <w:trHeight w:val="283"/>
        </w:trPr>
        <w:tc>
          <w:tcPr>
            <w:tcW w:w="2840" w:type="dxa"/>
            <w:vAlign w:val="bottom"/>
          </w:tcPr>
          <w:p>
            <w:pPr>
              <w:spacing w:after="0"/>
              <w:rPr>
                <w:sz w:val="20"/>
                <w:szCs w:val="20"/>
                <w:color w:val="auto"/>
              </w:rPr>
            </w:pPr>
            <w:r>
              <w:rPr>
                <w:rFonts w:ascii="Arial" w:cs="Arial" w:eastAsia="Arial" w:hAnsi="Arial"/>
                <w:sz w:val="18"/>
                <w:szCs w:val="18"/>
                <w:color w:val="auto"/>
              </w:rPr>
              <w:t>With a copy to:</w:t>
            </w:r>
          </w:p>
        </w:tc>
        <w:tc>
          <w:tcPr>
            <w:tcW w:w="3560" w:type="dxa"/>
            <w:vAlign w:val="bottom"/>
            <w:gridSpan w:val="5"/>
          </w:tcPr>
          <w:p>
            <w:pPr>
              <w:spacing w:after="0"/>
              <w:rPr>
                <w:sz w:val="20"/>
                <w:szCs w:val="20"/>
                <w:color w:val="auto"/>
              </w:rPr>
            </w:pPr>
            <w:r>
              <w:rPr>
                <w:rFonts w:ascii="Arial" w:cs="Arial" w:eastAsia="Arial" w:hAnsi="Arial"/>
                <w:sz w:val="18"/>
                <w:szCs w:val="18"/>
                <w:color w:val="auto"/>
              </w:rPr>
              <w:t>Latham &amp; Watkins LLP</w:t>
            </w:r>
          </w:p>
        </w:tc>
      </w:tr>
      <w:tr>
        <w:trPr>
          <w:trHeight w:val="196"/>
        </w:trPr>
        <w:tc>
          <w:tcPr>
            <w:tcW w:w="2840" w:type="dxa"/>
            <w:vAlign w:val="bottom"/>
          </w:tcPr>
          <w:p>
            <w:pPr>
              <w:spacing w:after="0"/>
              <w:rPr>
                <w:sz w:val="17"/>
                <w:szCs w:val="17"/>
                <w:color w:val="auto"/>
              </w:rPr>
            </w:pPr>
          </w:p>
        </w:tc>
        <w:tc>
          <w:tcPr>
            <w:tcW w:w="1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0"/>
              </w:rPr>
              <w:t>140 Scott Drive</w:t>
            </w:r>
          </w:p>
        </w:tc>
        <w:tc>
          <w:tcPr>
            <w:tcW w:w="580" w:type="dxa"/>
            <w:vAlign w:val="bottom"/>
            <w:tcBorders>
              <w:top w:val="single" w:sz="8" w:color="auto"/>
            </w:tcBorders>
            <w:gridSpan w:val="2"/>
          </w:tcPr>
          <w:p>
            <w:pPr>
              <w:spacing w:after="0"/>
              <w:rPr>
                <w:sz w:val="17"/>
                <w:szCs w:val="17"/>
                <w:color w:val="auto"/>
              </w:rPr>
            </w:pPr>
          </w:p>
        </w:tc>
        <w:tc>
          <w:tcPr>
            <w:tcW w:w="1840" w:type="dxa"/>
            <w:vAlign w:val="bottom"/>
            <w:gridSpan w:val="2"/>
          </w:tcPr>
          <w:p>
            <w:pPr>
              <w:spacing w:after="0"/>
              <w:rPr>
                <w:sz w:val="17"/>
                <w:szCs w:val="17"/>
                <w:color w:val="auto"/>
              </w:rPr>
            </w:pPr>
          </w:p>
        </w:tc>
      </w:tr>
      <w:tr>
        <w:trPr>
          <w:trHeight w:val="196"/>
        </w:trPr>
        <w:tc>
          <w:tcPr>
            <w:tcW w:w="2840" w:type="dxa"/>
            <w:vAlign w:val="bottom"/>
          </w:tcPr>
          <w:p>
            <w:pPr>
              <w:spacing w:after="0"/>
              <w:rPr>
                <w:sz w:val="17"/>
                <w:szCs w:val="17"/>
                <w:color w:val="auto"/>
              </w:rPr>
            </w:pPr>
          </w:p>
        </w:tc>
        <w:tc>
          <w:tcPr>
            <w:tcW w:w="21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2"/>
              </w:rPr>
              <w:t>Menlo Park, California 94025</w:t>
            </w:r>
          </w:p>
        </w:tc>
        <w:tc>
          <w:tcPr>
            <w:tcW w:w="1400" w:type="dxa"/>
            <w:vAlign w:val="bottom"/>
          </w:tcPr>
          <w:p>
            <w:pPr>
              <w:spacing w:after="0"/>
              <w:rPr>
                <w:sz w:val="17"/>
                <w:szCs w:val="17"/>
                <w:color w:val="auto"/>
              </w:rPr>
            </w:pPr>
          </w:p>
        </w:tc>
      </w:tr>
      <w:tr>
        <w:trPr>
          <w:trHeight w:val="196"/>
        </w:trPr>
        <w:tc>
          <w:tcPr>
            <w:tcW w:w="2840" w:type="dxa"/>
            <w:vAlign w:val="bottom"/>
          </w:tcPr>
          <w:p>
            <w:pPr>
              <w:spacing w:after="0"/>
              <w:rPr>
                <w:sz w:val="17"/>
                <w:szCs w:val="17"/>
                <w:color w:val="auto"/>
              </w:rPr>
            </w:pPr>
          </w:p>
        </w:tc>
        <w:tc>
          <w:tcPr>
            <w:tcW w:w="11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Attention: [***]</w:t>
            </w:r>
          </w:p>
        </w:tc>
        <w:tc>
          <w:tcPr>
            <w:tcW w:w="2400" w:type="dxa"/>
            <w:vAlign w:val="bottom"/>
            <w:gridSpan w:val="3"/>
          </w:tcPr>
          <w:p>
            <w:pPr>
              <w:spacing w:after="0"/>
              <w:rPr>
                <w:sz w:val="17"/>
                <w:szCs w:val="17"/>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several counterparts that together shall constitute originals and one and the same instrument.</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b w:val="1"/>
          <w:bCs w:val="1"/>
          <w:u w:val="single" w:color="auto"/>
          <w:color w:val="auto"/>
        </w:rPr>
        <w:t>Cumulative Remedies</w:t>
      </w:r>
      <w:r>
        <w:rPr>
          <w:rFonts w:ascii="Arial" w:cs="Arial" w:eastAsia="Arial" w:hAnsi="Arial"/>
          <w:sz w:val="18"/>
          <w:szCs w:val="18"/>
          <w:color w:val="auto"/>
        </w:rPr>
        <w:t>. The rights and remedies stated in this Agreement shall be cumulative and in addition to any other rights and remedies the parties may have at law or in equity.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executed this Agreement by their duly authorized representatives as of the Effective Date.</w:t>
      </w:r>
    </w:p>
    <w:p>
      <w:pPr>
        <w:sectPr>
          <w:pgSz w:w="11900" w:h="16838" w:orient="portrait"/>
          <w:cols w:equalWidth="0" w:num="1">
            <w:col w:w="10940"/>
          </w:cols>
          <w:pgMar w:left="440" w:top="269" w:right="51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TSRI: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LICENSEE:</w:t>
      </w:r>
    </w:p>
    <w:p>
      <w:pPr>
        <w:spacing w:after="0" w:line="200" w:lineRule="exact"/>
        <w:rPr>
          <w:sz w:val="20"/>
          <w:szCs w:val="20"/>
          <w:color w:val="auto"/>
        </w:rPr>
      </w:pPr>
    </w:p>
    <w:p>
      <w:pPr>
        <w:sectPr>
          <w:pgSz w:w="11900" w:h="16838" w:orient="portrait"/>
          <w:cols w:equalWidth="0" w:num="2">
            <w:col w:w="5020" w:space="720"/>
            <w:col w:w="5200"/>
          </w:cols>
          <w:pgMar w:left="440" w:top="269" w:right="51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SCRIPPS RESEARCH INSTITUTE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BLACKTHORN THERAPEUTICS, INC.</w:t>
      </w:r>
    </w:p>
    <w:p>
      <w:pPr>
        <w:spacing w:after="0" w:line="200" w:lineRule="exact"/>
        <w:rPr>
          <w:sz w:val="20"/>
          <w:szCs w:val="20"/>
          <w:color w:val="auto"/>
        </w:rPr>
      </w:pPr>
    </w:p>
    <w:p>
      <w:pPr>
        <w:sectPr>
          <w:pgSz w:w="11900" w:h="16838" w:orient="portrait"/>
          <w:cols w:equalWidth="0" w:num="2">
            <w:col w:w="5020" w:space="720"/>
            <w:col w:w="5200"/>
          </w:cols>
          <w:pgMar w:left="440" w:top="269" w:right="51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By: /s/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740"/>
        <w:spacing w:after="0"/>
        <w:rPr>
          <w:sz w:val="20"/>
          <w:szCs w:val="20"/>
          <w:color w:val="auto"/>
        </w:rPr>
      </w:pPr>
      <w:r>
        <w:rPr>
          <w:rFonts w:ascii="Arial" w:cs="Arial" w:eastAsia="Arial" w:hAnsi="Arial"/>
          <w:sz w:val="16"/>
          <w:szCs w:val="16"/>
          <w:color w:val="auto"/>
        </w:rPr>
        <w:t>By: /s/</w:t>
      </w:r>
    </w:p>
    <w:p>
      <w:pPr>
        <w:spacing w:after="0" w:line="211" w:lineRule="exact"/>
        <w:rPr>
          <w:sz w:val="20"/>
          <w:szCs w:val="20"/>
          <w:color w:val="auto"/>
        </w:rPr>
      </w:pPr>
    </w:p>
    <w:p>
      <w:pPr>
        <w:sectPr>
          <w:pgSz w:w="11900" w:h="16838" w:orient="portrait"/>
          <w:cols w:equalWidth="0" w:num="2">
            <w:col w:w="5020" w:space="720"/>
            <w:col w:w="5200"/>
          </w:cols>
          <w:pgMar w:left="440" w:top="269" w:right="51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Title: COO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Title: CEO</w:t>
      </w:r>
    </w:p>
    <w:p>
      <w:pPr>
        <w:spacing w:after="0" w:line="181" w:lineRule="exact"/>
        <w:rPr>
          <w:sz w:val="20"/>
          <w:szCs w:val="20"/>
          <w:color w:val="auto"/>
        </w:rPr>
      </w:pPr>
    </w:p>
    <w:p>
      <w:pPr>
        <w:sectPr>
          <w:pgSz w:w="11900" w:h="16838" w:orient="portrait"/>
          <w:cols w:equalWidth="0" w:num="2">
            <w:col w:w="5020" w:space="720"/>
            <w:col w:w="5200"/>
          </w:cols>
          <w:pgMar w:left="440" w:top="269" w:right="5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940"/>
          </w:cols>
          <w:pgMar w:left="440" w:top="269" w:right="519" w:bottom="1440" w:gutter="0" w:footer="0" w:header="0"/>
          <w:type w:val="continuous"/>
        </w:sectPr>
      </w:pPr>
    </w:p>
    <w:bookmarkStart w:id="490" w:name="page491"/>
    <w:bookmarkEnd w:id="49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LICENSED KNOW-HOW</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019"/>
          </w:cols>
          <w:pgMar w:left="1440" w:top="269" w:right="1440" w:bottom="1440" w:gutter="0" w:footer="0" w:header="0"/>
        </w:sectPr>
      </w:pPr>
    </w:p>
    <w:bookmarkStart w:id="491" w:name="page492"/>
    <w:bookmarkEnd w:id="49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LICENSED PATENT RIGHTS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019"/>
          </w:cols>
          <w:pgMar w:left="1440" w:top="269" w:right="1440" w:bottom="1440" w:gutter="0" w:footer="0" w:header="0"/>
        </w:sectPr>
      </w:pPr>
    </w:p>
    <w:bookmarkStart w:id="492" w:name="page493"/>
    <w:bookmarkEnd w:id="49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ectPr>
          <w:pgSz w:w="11900" w:h="16838" w:orient="portrait"/>
          <w:cols w:equalWidth="0" w:num="1">
            <w:col w:w="9019"/>
          </w:cols>
          <w:pgMar w:left="1440" w:top="269"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R&amp;D Plan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019"/>
          </w:cols>
          <w:pgMar w:left="1440" w:top="269" w:right="1440" w:bottom="1440" w:gutter="0" w:footer="0" w:header="0"/>
          <w:type w:val="continuous"/>
        </w:sectPr>
      </w:pPr>
    </w:p>
    <w:bookmarkStart w:id="493" w:name="page494"/>
    <w:bookmarkEnd w:id="493"/>
    <w:p>
      <w:pPr>
        <w:jc w:val="right"/>
        <w:spacing w:after="0"/>
        <w:rPr>
          <w:sz w:val="20"/>
          <w:szCs w:val="20"/>
          <w:color w:val="auto"/>
        </w:rPr>
      </w:pPr>
      <w:r>
        <w:rPr>
          <w:rFonts w:ascii="Arial" w:cs="Arial" w:eastAsia="Arial" w:hAnsi="Arial"/>
          <w:sz w:val="18"/>
          <w:szCs w:val="18"/>
          <w:b w:val="1"/>
          <w:bCs w:val="1"/>
          <w:color w:val="auto"/>
        </w:rPr>
        <w:t>Exhibit 10.5(b)</w:t>
      </w:r>
    </w:p>
    <w:p>
      <w:pPr>
        <w:spacing w:after="0" w:line="225" w:lineRule="exact"/>
        <w:rPr>
          <w:sz w:val="20"/>
          <w:szCs w:val="20"/>
          <w:color w:val="auto"/>
        </w:rPr>
      </w:pPr>
    </w:p>
    <w:p>
      <w:pPr>
        <w:ind w:left="4" w:right="200" w:hanging="4"/>
        <w:spacing w:after="0" w:line="282" w:lineRule="auto"/>
        <w:tabs>
          <w:tab w:leader="none" w:pos="439"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is treated by the Registrant as private or confidential.</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FIRST AMENDMENT TO EXCLUSIVE LICENSE AGREEMENT</w:t>
      </w:r>
    </w:p>
    <w:p>
      <w:pPr>
        <w:spacing w:after="0" w:line="229"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This First Amendment (“Amendment”) is entered into effective as of November 13, 2017 and is made to the EXCLUSIVE LICENSE AGREEMENT dated November 23, 2015 (the “License Agreement”), by and between THE SCRIPPS RESEARCH INSTITUTE, a California nonprofit public benefit corporation (“TSRI”), and BLACKTHORN THERAPEUTICS, INC., a Delaware corporation (“Licensee”). Capitalized terms used but not defined herein shall have the same meanings set forth in the Agreement.</w:t>
      </w:r>
    </w:p>
    <w:p>
      <w:pPr>
        <w:spacing w:after="0" w:line="187"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WHEREAS, TSRI and Licensee are desirous of amending the License Agreement to reflect the inclusion of additional patents to the License Agreement to be licensed by TSRI to Licensee.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the parties agree to amend the Agreement as follows:</w:t>
      </w:r>
    </w:p>
    <w:p>
      <w:pPr>
        <w:spacing w:after="0" w:line="127" w:lineRule="exact"/>
        <w:rPr>
          <w:sz w:val="20"/>
          <w:szCs w:val="20"/>
          <w:color w:val="auto"/>
        </w:rPr>
      </w:pPr>
    </w:p>
    <w:p>
      <w:pPr>
        <w:jc w:val="center"/>
        <w:ind w:left="5304" w:right="900" w:hanging="5304"/>
        <w:spacing w:after="0" w:line="516" w:lineRule="auto"/>
        <w:tabs>
          <w:tab w:leader="none" w:pos="423" w:val="left"/>
        </w:tabs>
        <w:numPr>
          <w:ilvl w:val="0"/>
          <w:numId w:val="29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Exhibit A</w:t>
      </w:r>
      <w:r>
        <w:rPr>
          <w:rFonts w:ascii="Arial" w:cs="Arial" w:eastAsia="Arial" w:hAnsi="Arial"/>
          <w:sz w:val="18"/>
          <w:szCs w:val="18"/>
          <w:color w:val="auto"/>
        </w:rPr>
        <w:t>. Exhibit A to the License Agreement is hereby amended to add the following patent application listed here: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ind w:left="4" w:right="160" w:hanging="4"/>
        <w:spacing w:after="0" w:line="583" w:lineRule="auto"/>
        <w:tabs>
          <w:tab w:leader="none" w:pos="436" w:val="left"/>
        </w:tabs>
        <w:numPr>
          <w:ilvl w:val="0"/>
          <w:numId w:val="294"/>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w:t>
      </w:r>
      <w:r>
        <w:rPr>
          <w:rFonts w:ascii="Arial" w:cs="Arial" w:eastAsia="Arial" w:hAnsi="Arial"/>
          <w:sz w:val="16"/>
          <w:szCs w:val="16"/>
          <w:color w:val="auto"/>
        </w:rPr>
        <w:t>. Except as expressly amended or added herein, all of the other terms and provisions of the Agreement shall remain in full force and effect.</w:t>
      </w:r>
      <w:r>
        <w:rPr>
          <w:rFonts w:ascii="Arial" w:cs="Arial" w:eastAsia="Arial" w:hAnsi="Arial"/>
          <w:sz w:val="16"/>
          <w:szCs w:val="16"/>
          <w:b w:val="1"/>
          <w:bCs w:val="1"/>
          <w:color w:val="auto"/>
        </w:rPr>
        <w:t xml:space="preserve"> </w:t>
      </w:r>
      <w:r>
        <w:rPr>
          <w:rFonts w:ascii="Arial" w:cs="Arial" w:eastAsia="Arial" w:hAnsi="Arial"/>
          <w:sz w:val="16"/>
          <w:szCs w:val="16"/>
          <w:color w:val="auto"/>
        </w:rPr>
        <w:t>IN WITNESS WHEREOF, the parties have executed this Amendment by their duly authorized representatives as of the date set forth above.</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80" w:type="dxa"/>
            <w:vAlign w:val="bottom"/>
            <w:gridSpan w:val="2"/>
          </w:tcPr>
          <w:p>
            <w:pPr>
              <w:spacing w:after="0"/>
              <w:rPr>
                <w:sz w:val="20"/>
                <w:szCs w:val="20"/>
                <w:color w:val="auto"/>
              </w:rPr>
            </w:pPr>
            <w:r>
              <w:rPr>
                <w:rFonts w:ascii="Arial" w:cs="Arial" w:eastAsia="Arial" w:hAnsi="Arial"/>
                <w:sz w:val="18"/>
                <w:szCs w:val="18"/>
                <w:color w:val="auto"/>
                <w:w w:val="99"/>
              </w:rPr>
              <w:t>TSRI:</w:t>
            </w:r>
          </w:p>
        </w:tc>
        <w:tc>
          <w:tcPr>
            <w:tcW w:w="4680" w:type="dxa"/>
            <w:vAlign w:val="bottom"/>
          </w:tcPr>
          <w:p>
            <w:pPr>
              <w:spacing w:after="0"/>
              <w:rPr>
                <w:sz w:val="20"/>
                <w:szCs w:val="20"/>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Sponsor:</w:t>
            </w:r>
          </w:p>
        </w:tc>
      </w:tr>
      <w:tr>
        <w:trPr>
          <w:trHeight w:val="338"/>
        </w:trPr>
        <w:tc>
          <w:tcPr>
            <w:tcW w:w="5160" w:type="dxa"/>
            <w:vAlign w:val="bottom"/>
            <w:gridSpan w:val="3"/>
          </w:tcPr>
          <w:p>
            <w:pPr>
              <w:spacing w:after="0"/>
              <w:rPr>
                <w:sz w:val="20"/>
                <w:szCs w:val="20"/>
                <w:color w:val="auto"/>
              </w:rPr>
            </w:pPr>
            <w:r>
              <w:rPr>
                <w:rFonts w:ascii="Arial" w:cs="Arial" w:eastAsia="Arial" w:hAnsi="Arial"/>
                <w:sz w:val="18"/>
                <w:szCs w:val="18"/>
                <w:color w:val="auto"/>
              </w:rPr>
              <w:t>THE SCRIPPS RESEARCH INSTITUTE</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BLACKTHORN THERAPEUTICS, INC.</w:t>
            </w:r>
          </w:p>
        </w:tc>
      </w:tr>
      <w:tr>
        <w:trPr>
          <w:trHeight w:val="445"/>
        </w:trPr>
        <w:tc>
          <w:tcPr>
            <w:tcW w:w="480" w:type="dxa"/>
            <w:vAlign w:val="bottom"/>
            <w:gridSpan w:val="2"/>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60"/>
              <w:spacing w:after="0"/>
              <w:rPr>
                <w:sz w:val="20"/>
                <w:szCs w:val="20"/>
                <w:color w:val="auto"/>
              </w:rPr>
            </w:pPr>
            <w:r>
              <w:rPr>
                <w:rFonts w:ascii="Arial" w:cs="Arial" w:eastAsia="Arial" w:hAnsi="Arial"/>
                <w:sz w:val="18"/>
                <w:szCs w:val="18"/>
                <w:color w:val="auto"/>
              </w:rPr>
              <w:t>/s/</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Pr>
          <w:p>
            <w:pPr>
              <w:ind w:left="120"/>
              <w:spacing w:after="0"/>
              <w:rPr>
                <w:sz w:val="20"/>
                <w:szCs w:val="20"/>
                <w:color w:val="auto"/>
              </w:rPr>
            </w:pPr>
            <w:r>
              <w:rPr>
                <w:rFonts w:ascii="Arial" w:cs="Arial" w:eastAsia="Arial" w:hAnsi="Arial"/>
                <w:sz w:val="18"/>
                <w:szCs w:val="18"/>
                <w:color w:val="auto"/>
              </w:rPr>
              <w:t>/s/</w:t>
            </w:r>
          </w:p>
        </w:tc>
      </w:tr>
      <w:tr>
        <w:trPr>
          <w:trHeight w:val="195"/>
        </w:trPr>
        <w:tc>
          <w:tcPr>
            <w:tcW w:w="42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60" w:type="dxa"/>
            <w:vAlign w:val="bottom"/>
            <w:tcBorders>
              <w:top w:val="single" w:sz="8" w:color="auto"/>
            </w:tcBorders>
          </w:tcPr>
          <w:p>
            <w:pPr>
              <w:spacing w:after="0"/>
              <w:rPr>
                <w:sz w:val="16"/>
                <w:szCs w:val="16"/>
                <w:color w:val="auto"/>
              </w:rPr>
            </w:pPr>
          </w:p>
        </w:tc>
        <w:tc>
          <w:tcPr>
            <w:tcW w:w="46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Vice President, Business Development</w:t>
            </w:r>
          </w:p>
        </w:tc>
        <w:tc>
          <w:tcPr>
            <w:tcW w:w="1120" w:type="dxa"/>
            <w:vAlign w:val="bottom"/>
          </w:tcPr>
          <w:p>
            <w:pPr>
              <w:ind w:left="700"/>
              <w:spacing w:after="0" w:line="195" w:lineRule="exact"/>
              <w:rPr>
                <w:sz w:val="20"/>
                <w:szCs w:val="20"/>
                <w:color w:val="auto"/>
              </w:rPr>
            </w:pPr>
            <w:r>
              <w:rPr>
                <w:rFonts w:ascii="Arial" w:cs="Arial" w:eastAsia="Arial" w:hAnsi="Arial"/>
                <w:sz w:val="18"/>
                <w:szCs w:val="18"/>
                <w:color w:val="auto"/>
              </w:rPr>
              <w:t>Title:</w:t>
            </w:r>
          </w:p>
        </w:tc>
        <w:tc>
          <w:tcPr>
            <w:tcW w:w="47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VP, Operations and Corporate Development</w:t>
            </w:r>
          </w:p>
        </w:tc>
      </w:tr>
      <w:tr>
        <w:trPr>
          <w:trHeight w:val="230"/>
        </w:trPr>
        <w:tc>
          <w:tcPr>
            <w:tcW w:w="480" w:type="dxa"/>
            <w:vAlign w:val="bottom"/>
            <w:gridSpan w:val="2"/>
          </w:tcPr>
          <w:p>
            <w:pPr>
              <w:spacing w:after="0"/>
              <w:rPr>
                <w:sz w:val="20"/>
                <w:szCs w:val="20"/>
                <w:color w:val="auto"/>
              </w:rPr>
            </w:pPr>
            <w:r>
              <w:rPr>
                <w:rFonts w:ascii="Arial" w:cs="Arial" w:eastAsia="Arial" w:hAnsi="Arial"/>
                <w:sz w:val="18"/>
                <w:szCs w:val="18"/>
                <w:color w:val="auto"/>
              </w:rPr>
              <w:t>Date:</w:t>
            </w:r>
          </w:p>
        </w:tc>
        <w:tc>
          <w:tcPr>
            <w:tcW w:w="4680" w:type="dxa"/>
            <w:vAlign w:val="bottom"/>
          </w:tcPr>
          <w:p>
            <w:pPr>
              <w:ind w:left="60"/>
              <w:spacing w:after="0"/>
              <w:rPr>
                <w:sz w:val="20"/>
                <w:szCs w:val="20"/>
                <w:color w:val="auto"/>
              </w:rPr>
            </w:pPr>
            <w:r>
              <w:rPr>
                <w:rFonts w:ascii="Arial" w:cs="Arial" w:eastAsia="Arial" w:hAnsi="Arial"/>
                <w:sz w:val="18"/>
                <w:szCs w:val="18"/>
                <w:color w:val="auto"/>
              </w:rPr>
              <w:t>Wednesday, November 15</w:t>
            </w:r>
          </w:p>
        </w:tc>
        <w:tc>
          <w:tcPr>
            <w:tcW w:w="1120" w:type="dxa"/>
            <w:vAlign w:val="bottom"/>
          </w:tcPr>
          <w:p>
            <w:pPr>
              <w:ind w:left="700"/>
              <w:spacing w:after="0"/>
              <w:rPr>
                <w:sz w:val="20"/>
                <w:szCs w:val="20"/>
                <w:color w:val="auto"/>
              </w:rPr>
            </w:pPr>
            <w:r>
              <w:rPr>
                <w:rFonts w:ascii="Arial" w:cs="Arial" w:eastAsia="Arial" w:hAnsi="Arial"/>
                <w:sz w:val="18"/>
                <w:szCs w:val="18"/>
                <w:color w:val="auto"/>
                <w:w w:val="92"/>
              </w:rPr>
              <w:t>Date:</w:t>
            </w:r>
          </w:p>
        </w:tc>
        <w:tc>
          <w:tcPr>
            <w:tcW w:w="4740" w:type="dxa"/>
            <w:vAlign w:val="bottom"/>
          </w:tcPr>
          <w:p>
            <w:pPr>
              <w:ind w:left="120"/>
              <w:spacing w:after="0"/>
              <w:rPr>
                <w:sz w:val="20"/>
                <w:szCs w:val="20"/>
                <w:color w:val="auto"/>
              </w:rPr>
            </w:pPr>
            <w:r>
              <w:rPr>
                <w:rFonts w:ascii="Arial" w:cs="Arial" w:eastAsia="Arial" w:hAnsi="Arial"/>
                <w:sz w:val="18"/>
                <w:szCs w:val="18"/>
                <w:color w:val="auto"/>
              </w:rPr>
              <w:t>November 15, 2017</w:t>
            </w:r>
          </w:p>
        </w:tc>
      </w:tr>
    </w:tbl>
    <w:p>
      <w:pPr>
        <w:sectPr>
          <w:pgSz w:w="11900" w:h="16838" w:orient="portrait"/>
          <w:cols w:equalWidth="0" w:num="1">
            <w:col w:w="11024"/>
          </w:cols>
          <w:pgMar w:left="436" w:top="121" w:right="439" w:bottom="1440" w:gutter="0" w:footer="0" w:header="0"/>
        </w:sectPr>
      </w:pPr>
    </w:p>
    <w:bookmarkStart w:id="494" w:name="page495"/>
    <w:bookmarkEnd w:id="494"/>
    <w:p>
      <w:pPr>
        <w:jc w:val="right"/>
        <w:spacing w:after="0"/>
        <w:rPr>
          <w:sz w:val="20"/>
          <w:szCs w:val="20"/>
          <w:color w:val="auto"/>
        </w:rPr>
      </w:pPr>
      <w:r>
        <w:rPr>
          <w:rFonts w:ascii="Arial" w:cs="Arial" w:eastAsia="Arial" w:hAnsi="Arial"/>
          <w:sz w:val="18"/>
          <w:szCs w:val="18"/>
          <w:b w:val="1"/>
          <w:bCs w:val="1"/>
          <w:color w:val="auto"/>
        </w:rPr>
        <w:t>Exhibit 10.5(c)</w:t>
      </w:r>
    </w:p>
    <w:p>
      <w:pPr>
        <w:spacing w:after="0" w:line="225" w:lineRule="exact"/>
        <w:rPr>
          <w:sz w:val="20"/>
          <w:szCs w:val="20"/>
          <w:color w:val="auto"/>
        </w:rPr>
      </w:pPr>
    </w:p>
    <w:p>
      <w:pPr>
        <w:ind w:left="4" w:right="200" w:hanging="4"/>
        <w:spacing w:after="0" w:line="282" w:lineRule="auto"/>
        <w:tabs>
          <w:tab w:leader="none" w:pos="439"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is treated by the Registrant as private or confidential.</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SECOND AMENDMENT TO EXCLUSIVE LICENSE AGREEMENT</w:t>
      </w:r>
    </w:p>
    <w:p>
      <w:pPr>
        <w:spacing w:after="0" w:line="121" w:lineRule="exact"/>
        <w:rPr>
          <w:sz w:val="20"/>
          <w:szCs w:val="20"/>
          <w:color w:val="auto"/>
        </w:rPr>
      </w:pPr>
    </w:p>
    <w:p>
      <w:pPr>
        <w:ind w:left="4" w:right="80"/>
        <w:spacing w:after="0" w:line="286" w:lineRule="auto"/>
        <w:rPr>
          <w:sz w:val="20"/>
          <w:szCs w:val="20"/>
          <w:color w:val="auto"/>
        </w:rPr>
      </w:pPr>
      <w:r>
        <w:rPr>
          <w:rFonts w:ascii="Arial" w:cs="Arial" w:eastAsia="Arial" w:hAnsi="Arial"/>
          <w:sz w:val="17"/>
          <w:szCs w:val="17"/>
          <w:color w:val="auto"/>
        </w:rPr>
        <w:t>This Second Amendment (“Amendment”) is entered into effective as of April 9, 2019 and is made to the EXCLUSIVE LICENSE AGREEMENT dated November 23, 2015 as amended on November 13, 2017 (the “Agreement”) by and between THE SCRIPPS RESEARCH INSTITUTE, a California nonprofit public benefit corporation (“TSRI“), and BLACKTHORN THERAPEUTICS, NC., a Delaware corporation (“Licensee”).</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make certain amendments to the Agreement to clarify the parties rights and obligations;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connection with the entry into the Amendment, the Licensee shall issue to TSRI an aggregate of 152,088 shares of its Common Stock.</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to amend the Agreement as follows:</w:t>
      </w:r>
    </w:p>
    <w:p>
      <w:pPr>
        <w:spacing w:after="0" w:line="131" w:lineRule="exact"/>
        <w:rPr>
          <w:sz w:val="20"/>
          <w:szCs w:val="20"/>
          <w:color w:val="auto"/>
        </w:rPr>
      </w:pPr>
    </w:p>
    <w:p>
      <w:pPr>
        <w:ind w:left="964" w:right="420" w:hanging="532"/>
        <w:spacing w:after="0" w:line="282" w:lineRule="auto"/>
        <w:tabs>
          <w:tab w:leader="none" w:pos="964"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Amendment of Section 1.12</w:t>
      </w:r>
      <w:r>
        <w:rPr>
          <w:rFonts w:ascii="Arial" w:cs="Arial" w:eastAsia="Arial" w:hAnsi="Arial"/>
          <w:sz w:val="18"/>
          <w:szCs w:val="18"/>
          <w:color w:val="auto"/>
        </w:rPr>
        <w:t>. Section 1.12 of the Agreement, the definition of Licensed Patent Rights, is hereby amended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53" w:lineRule="exact"/>
        <w:rPr>
          <w:rFonts w:ascii="Arial" w:cs="Arial" w:eastAsia="Arial" w:hAnsi="Arial"/>
          <w:sz w:val="18"/>
          <w:szCs w:val="18"/>
          <w:color w:val="auto"/>
        </w:rPr>
      </w:pPr>
    </w:p>
    <w:p>
      <w:pPr>
        <w:ind w:left="984" w:right="260"/>
        <w:spacing w:after="0" w:line="347" w:lineRule="auto"/>
        <w:rPr>
          <w:rFonts w:ascii="Arial" w:cs="Arial" w:eastAsia="Arial" w:hAnsi="Arial"/>
          <w:sz w:val="18"/>
          <w:szCs w:val="18"/>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Licensed Patent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“Licensed Patent Rights” shall mean (i) all Patent Rights arising out of the patent application(s)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Exhibit B of this Agreement and the resulting issued patents t</w:t>
      </w:r>
      <w:r>
        <w:rPr>
          <w:rFonts w:ascii="Arial" w:cs="Arial" w:eastAsia="Arial" w:hAnsi="Arial"/>
          <w:sz w:val="16"/>
          <w:szCs w:val="16"/>
          <w:u w:val="single" w:color="auto"/>
          <w:color w:val="auto"/>
        </w:rPr>
        <w:t>herefrom</w:t>
      </w:r>
      <w:r>
        <w:rPr>
          <w:rFonts w:ascii="Arial" w:cs="Arial" w:eastAsia="Arial" w:hAnsi="Arial"/>
          <w:sz w:val="16"/>
          <w:szCs w:val="16"/>
          <w:color w:val="auto"/>
        </w:rPr>
        <w:t>, and (ii) TSRI’s Patent Rights for Option Products.”</w:t>
      </w:r>
    </w:p>
    <w:p>
      <w:pPr>
        <w:spacing w:after="0" w:line="21" w:lineRule="exact"/>
        <w:rPr>
          <w:rFonts w:ascii="Arial" w:cs="Arial" w:eastAsia="Arial" w:hAnsi="Arial"/>
          <w:sz w:val="18"/>
          <w:szCs w:val="18"/>
          <w:color w:val="auto"/>
        </w:rPr>
      </w:pPr>
    </w:p>
    <w:p>
      <w:pPr>
        <w:ind w:left="964" w:right="80" w:hanging="532"/>
        <w:spacing w:after="0" w:line="282" w:lineRule="auto"/>
        <w:tabs>
          <w:tab w:leader="none" w:pos="964"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Amendment of Section 1.13</w:t>
      </w:r>
      <w:r>
        <w:rPr>
          <w:rFonts w:ascii="Arial" w:cs="Arial" w:eastAsia="Arial" w:hAnsi="Arial"/>
          <w:sz w:val="18"/>
          <w:szCs w:val="18"/>
          <w:color w:val="auto"/>
        </w:rPr>
        <w:t>. Section 1.13 of the Agreement, the definition of Licensed Product, is hereby amended by the addition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final sentence:</w:t>
      </w:r>
    </w:p>
    <w:p>
      <w:pPr>
        <w:spacing w:after="0" w:line="5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“For avoidance of doubt, KOR Modulator [***] is a Licensed Product in accordance with this definition.”</w:t>
      </w:r>
    </w:p>
    <w:p>
      <w:pPr>
        <w:spacing w:after="0" w:line="126" w:lineRule="exact"/>
        <w:rPr>
          <w:rFonts w:ascii="Arial" w:cs="Arial" w:eastAsia="Arial" w:hAnsi="Arial"/>
          <w:sz w:val="18"/>
          <w:szCs w:val="18"/>
          <w:color w:val="auto"/>
        </w:rPr>
      </w:pPr>
    </w:p>
    <w:p>
      <w:pPr>
        <w:ind w:left="964" w:hanging="532"/>
        <w:spacing w:after="0"/>
        <w:tabs>
          <w:tab w:leader="none" w:pos="964"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Amendment of Section 3.5</w:t>
      </w:r>
      <w:r>
        <w:rPr>
          <w:rFonts w:ascii="Arial" w:cs="Arial" w:eastAsia="Arial" w:hAnsi="Arial"/>
          <w:sz w:val="18"/>
          <w:szCs w:val="18"/>
          <w:color w:val="auto"/>
        </w:rPr>
        <w:t>. Section 3.5 of the Agreement is hereby amended to read as set forth below:</w:t>
      </w:r>
    </w:p>
    <w:p>
      <w:pPr>
        <w:spacing w:after="0" w:line="121" w:lineRule="exact"/>
        <w:rPr>
          <w:rFonts w:ascii="Arial" w:cs="Arial" w:eastAsia="Arial" w:hAnsi="Arial"/>
          <w:sz w:val="18"/>
          <w:szCs w:val="18"/>
          <w:color w:val="auto"/>
        </w:rPr>
      </w:pPr>
    </w:p>
    <w:p>
      <w:pPr>
        <w:ind w:left="984" w:right="200"/>
        <w:spacing w:after="0" w:line="270" w:lineRule="auto"/>
        <w:rPr>
          <w:rFonts w:ascii="Arial" w:cs="Arial" w:eastAsia="Arial" w:hAnsi="Arial"/>
          <w:sz w:val="18"/>
          <w:szCs w:val="18"/>
          <w:color w:val="auto"/>
        </w:rPr>
      </w:pPr>
      <w:r>
        <w:rPr>
          <w:rFonts w:ascii="Arial" w:cs="Arial" w:eastAsia="Arial" w:hAnsi="Arial"/>
          <w:sz w:val="17"/>
          <w:szCs w:val="17"/>
          <w:u w:val="single" w:color="auto"/>
          <w:color w:val="auto"/>
        </w:rPr>
        <w:t>“Participation in Future Equity Offerings</w:t>
      </w:r>
      <w:r>
        <w:rPr>
          <w:rFonts w:ascii="Arial" w:cs="Arial" w:eastAsia="Arial" w:hAnsi="Arial"/>
          <w:sz w:val="17"/>
          <w:szCs w:val="17"/>
          <w:color w:val="auto"/>
        </w:rPr>
        <w:t>. If Licensee proposes to sell or sells any Equity Securities after the Financing Threshold is achieved (“Qualified Financing”), in each instance, TSRI and/or TSRI’s assignee, [***], or one other single assignee that is reasonable acceptable to Licensee (“Equity Assignee”) shall have the right, but not the obligation, to participate in such Qualified Financing on the same terms made available to all other investors in such Qualified Financing (other than in respect of any discount applicable to the conversion of indebtedness in consideration of another equity security) in an amount up to [***]. Licensee shall provide prior written notice and other relevant documents to TSRI to enable TSRI and/or its Equity Assignee to participate in each Qualified Financing. TSRI (or its Equity Assignee, if applicable) must deliver written notice of the exercise of its rights under this Section 3.5 to Licensee within [***] business days after Licensee’s written notice of the Qualified Financing or the rights will expire with respect to the Qualified Financing.</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95" w:name="page496"/>
    <w:bookmarkEnd w:id="495"/>
    <w:p>
      <w:pPr>
        <w:ind w:left="552"/>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clarity and without limitation, none of the following shall be considered a Qualified Financing: (a) the issuance of securities in connection with stock dividends, stock splits or similar divisions of Licensee’s capital stock; (b) the issuance of capital stock, or options or warrants to purchase capital stock issued to employees, officers, consultants or directors of Licensee, directly or pursuant to a stock option plan, restricted stock purchase plans or other stock plan; (c) the issuance of securities pursuant to the conversion or exercise of convertible or exercisable securities outstanding as of the Effective Date, including without limitation, warrants, notes or options; (d) the issuance of securities for consideration other than cash pursuant to a merger, consolidation, acquisition, or similar business combination; (e) the issuance of securities to financial institutions or lessors in connection with commercial credit arrangements, equipment financings, commercial property lease transactions, debt financing or similar transactions with such financial institutions or lessors; (f) the issuance of securities to an entity as a component of any business relationship with such entity primarily for the purpose of (i) joint venture, technology licensing or development activities, (ii) distribution, supply or manufacture of the Company’s products or services or (iii) any other arrangements involving corporate partners that are primarily for purposes other than raising capital; or (g) any public offering of the Licensee’s capital stock.</w:t>
      </w:r>
    </w:p>
    <w:p>
      <w:pPr>
        <w:spacing w:after="0" w:line="71" w:lineRule="exact"/>
        <w:rPr>
          <w:sz w:val="20"/>
          <w:szCs w:val="20"/>
          <w:color w:val="auto"/>
        </w:rPr>
      </w:pPr>
    </w:p>
    <w:p>
      <w:pPr>
        <w:ind w:left="552" w:right="40"/>
        <w:spacing w:after="0" w:line="288" w:lineRule="auto"/>
        <w:rPr>
          <w:sz w:val="20"/>
          <w:szCs w:val="20"/>
          <w:color w:val="auto"/>
        </w:rPr>
      </w:pPr>
      <w:r>
        <w:rPr>
          <w:rFonts w:ascii="Arial" w:cs="Arial" w:eastAsia="Arial" w:hAnsi="Arial"/>
          <w:sz w:val="16"/>
          <w:szCs w:val="16"/>
          <w:color w:val="auto"/>
        </w:rPr>
        <w:t>TSRI’s (and its Equity Assignee’s) rights under this Section 3.5 shall terminate: (a) on the date that TSRI (or its Equity Assignee, if applicable) ceases to own shares of the Licensee’s common stock, (b) immediately prior to consummation of any public offering by Licensee of shares of its common stock, or (c) immediately prior to consummation of (i) any merger of consolidation involving Licensee (except any such merger or consolidation involving Licensee in which the shares of capital stock of the Licensee outstanding immediately prior to such merger or consolidation continue to represent, or are converted into or exchanged for shares of capital stock that represent, immediately following such merger or consolidation, at least a majority, by voting power, of the capital stock of (A) the surviving or resulting corporation or (B) if the surviving or resulting corporation is a wholly owned subsidiary of another corporation immediately following such merger or consolidation, the parent corporation of such surviving or resulting corporation) or (ii) the sale, lease, transfer, exclusive license or other disposition, in a single transaction or series of related transactions, by Licensee or any subsidiary of Licensee of all or substantially all the assets of Licensee and its subsidiaries taken as a whole.”</w:t>
      </w:r>
    </w:p>
    <w:p>
      <w:pPr>
        <w:spacing w:after="0" w:line="70" w:lineRule="exact"/>
        <w:rPr>
          <w:sz w:val="20"/>
          <w:szCs w:val="20"/>
          <w:color w:val="auto"/>
        </w:rPr>
      </w:pPr>
    </w:p>
    <w:p>
      <w:pPr>
        <w:ind w:left="532" w:hanging="532"/>
        <w:spacing w:after="0"/>
        <w:tabs>
          <w:tab w:leader="none" w:pos="532"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Amendment of Section 4.2</w:t>
      </w:r>
      <w:r>
        <w:rPr>
          <w:rFonts w:ascii="Arial" w:cs="Arial" w:eastAsia="Arial" w:hAnsi="Arial"/>
          <w:sz w:val="18"/>
          <w:szCs w:val="18"/>
          <w:color w:val="auto"/>
        </w:rPr>
        <w:t>. Section 4.2 of the Agreement is hereby amended to read as set forth below:</w:t>
      </w:r>
    </w:p>
    <w:p>
      <w:pPr>
        <w:spacing w:after="0" w:line="121" w:lineRule="exact"/>
        <w:rPr>
          <w:rFonts w:ascii="Arial" w:cs="Arial" w:eastAsia="Arial" w:hAnsi="Arial"/>
          <w:sz w:val="18"/>
          <w:szCs w:val="18"/>
          <w:color w:val="auto"/>
        </w:rPr>
      </w:pPr>
    </w:p>
    <w:p>
      <w:pPr>
        <w:ind w:left="552" w:right="10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 Payments</w:t>
      </w:r>
      <w:r>
        <w:rPr>
          <w:rFonts w:ascii="Arial" w:cs="Arial" w:eastAsia="Arial" w:hAnsi="Arial"/>
          <w:sz w:val="18"/>
          <w:szCs w:val="18"/>
          <w:color w:val="auto"/>
        </w:rPr>
        <w:t>. The Following payments shall be made in cash (unless otherwise specified below) by Licensee to TSRI within [***] calendar days of the occurrence of any of the following events:</w:t>
      </w:r>
    </w:p>
    <w:p>
      <w:pPr>
        <w:spacing w:after="0" w:line="189" w:lineRule="exact"/>
        <w:rPr>
          <w:sz w:val="20"/>
          <w:szCs w:val="20"/>
          <w:color w:val="auto"/>
        </w:rPr>
      </w:pPr>
    </w:p>
    <w:tbl>
      <w:tblPr>
        <w:tblLayout w:type="fixed"/>
        <w:tblInd w:w="19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Event</w:t>
            </w:r>
          </w:p>
        </w:tc>
        <w:tc>
          <w:tcPr>
            <w:tcW w:w="39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Payment</w:t>
            </w:r>
          </w:p>
        </w:tc>
      </w:tr>
      <w:tr>
        <w:trPr>
          <w:trHeight w:val="195"/>
        </w:trPr>
        <w:tc>
          <w:tcPr>
            <w:tcW w:w="20" w:type="dxa"/>
            <w:vAlign w:val="bottom"/>
          </w:tcPr>
          <w:p>
            <w:pPr>
              <w:spacing w:after="0"/>
              <w:rPr>
                <w:sz w:val="16"/>
                <w:szCs w:val="16"/>
                <w:color w:val="auto"/>
              </w:rPr>
            </w:pPr>
          </w:p>
        </w:tc>
        <w:tc>
          <w:tcPr>
            <w:tcW w:w="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3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1740" w:type="dxa"/>
            <w:vAlign w:val="bottom"/>
            <w:gridSpan w:val="3"/>
          </w:tcPr>
          <w:p>
            <w:pPr>
              <w:jc w:val="center"/>
              <w:ind w:right="1340"/>
              <w:spacing w:after="0"/>
              <w:rPr>
                <w:sz w:val="20"/>
                <w:szCs w:val="20"/>
                <w:color w:val="auto"/>
              </w:rPr>
            </w:pPr>
            <w:r>
              <w:rPr>
                <w:rFonts w:ascii="Arial" w:cs="Arial" w:eastAsia="Arial" w:hAnsi="Arial"/>
                <w:sz w:val="18"/>
                <w:szCs w:val="18"/>
                <w:color w:val="auto"/>
              </w:rPr>
              <w:t>[***]</w:t>
            </w:r>
          </w:p>
        </w:tc>
        <w:tc>
          <w:tcPr>
            <w:tcW w:w="4500" w:type="dxa"/>
            <w:vAlign w:val="bottom"/>
            <w:gridSpan w:val="2"/>
          </w:tcPr>
          <w:p>
            <w:pPr>
              <w:jc w:val="center"/>
              <w:ind w:left="3870"/>
              <w:spacing w:after="0"/>
              <w:rPr>
                <w:sz w:val="20"/>
                <w:szCs w:val="20"/>
                <w:color w:val="auto"/>
              </w:rPr>
            </w:pPr>
            <w:r>
              <w:rPr>
                <w:rFonts w:ascii="Arial" w:cs="Arial" w:eastAsia="Arial" w:hAnsi="Arial"/>
                <w:sz w:val="18"/>
                <w:szCs w:val="18"/>
                <w:color w:val="auto"/>
              </w:rPr>
              <w:t>[***]</w:t>
            </w:r>
          </w:p>
        </w:tc>
      </w:tr>
      <w:tr>
        <w:trPr>
          <w:trHeight w:val="230"/>
        </w:trPr>
        <w:tc>
          <w:tcPr>
            <w:tcW w:w="1740" w:type="dxa"/>
            <w:vAlign w:val="bottom"/>
            <w:gridSpan w:val="3"/>
          </w:tcPr>
          <w:p>
            <w:pPr>
              <w:jc w:val="center"/>
              <w:ind w:right="1340"/>
              <w:spacing w:after="0"/>
              <w:rPr>
                <w:sz w:val="20"/>
                <w:szCs w:val="20"/>
                <w:color w:val="auto"/>
              </w:rPr>
            </w:pPr>
            <w:r>
              <w:rPr>
                <w:rFonts w:ascii="Arial" w:cs="Arial" w:eastAsia="Arial" w:hAnsi="Arial"/>
                <w:sz w:val="18"/>
                <w:szCs w:val="18"/>
                <w:color w:val="auto"/>
              </w:rPr>
              <w:t>[***]</w:t>
            </w:r>
          </w:p>
        </w:tc>
        <w:tc>
          <w:tcPr>
            <w:tcW w:w="4500" w:type="dxa"/>
            <w:vAlign w:val="bottom"/>
            <w:gridSpan w:val="2"/>
          </w:tcPr>
          <w:p>
            <w:pPr>
              <w:jc w:val="center"/>
              <w:ind w:left="3870"/>
              <w:spacing w:after="0"/>
              <w:rPr>
                <w:sz w:val="20"/>
                <w:szCs w:val="20"/>
                <w:color w:val="auto"/>
              </w:rPr>
            </w:pPr>
            <w:r>
              <w:rPr>
                <w:rFonts w:ascii="Arial" w:cs="Arial" w:eastAsia="Arial" w:hAnsi="Arial"/>
                <w:sz w:val="18"/>
                <w:szCs w:val="18"/>
                <w:color w:val="auto"/>
              </w:rPr>
              <w:t>[***]</w:t>
            </w: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40" w:type="dxa"/>
            <w:vAlign w:val="bottom"/>
          </w:tcPr>
          <w:p>
            <w:pPr>
              <w:jc w:val="right"/>
              <w:ind w:right="243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r>
    </w:tbl>
    <w:p>
      <w:pPr>
        <w:sectPr>
          <w:pgSz w:w="11900" w:h="16838" w:orient="portrait"/>
          <w:cols w:equalWidth="0" w:num="1">
            <w:col w:w="10532"/>
          </w:cols>
          <w:pgMar w:left="868" w:top="273" w:right="499" w:bottom="1440" w:gutter="0" w:footer="0" w:header="0"/>
        </w:sectPr>
      </w:pPr>
    </w:p>
    <w:bookmarkStart w:id="496" w:name="page497"/>
    <w:bookmarkEnd w:id="496"/>
    <w:p>
      <w:pPr>
        <w:ind w:left="540" w:hanging="532"/>
        <w:spacing w:after="0"/>
        <w:tabs>
          <w:tab w:leader="none" w:pos="540"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of Section 6.3</w:t>
      </w:r>
      <w:r>
        <w:rPr>
          <w:rFonts w:ascii="Arial" w:cs="Arial" w:eastAsia="Arial" w:hAnsi="Arial"/>
          <w:sz w:val="18"/>
          <w:szCs w:val="18"/>
          <w:color w:val="auto"/>
        </w:rPr>
        <w:t>. Section 6.3 of the Agreement is hereby amended to read as set forth below:</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Ownership</w:t>
      </w:r>
      <w:r>
        <w:rPr>
          <w:rFonts w:ascii="Arial" w:cs="Arial" w:eastAsia="Arial" w:hAnsi="Arial"/>
          <w:sz w:val="17"/>
          <w:szCs w:val="17"/>
          <w:color w:val="auto"/>
        </w:rPr>
        <w:t>. TSRI exclusively owns or jointly owns with Licensee all right, title and interest in and to the Licensed Patent Rights.”</w:t>
      </w:r>
    </w:p>
    <w:p>
      <w:pPr>
        <w:spacing w:after="0" w:line="142" w:lineRule="exact"/>
        <w:rPr>
          <w:rFonts w:ascii="Arial" w:cs="Arial" w:eastAsia="Arial" w:hAnsi="Arial"/>
          <w:sz w:val="18"/>
          <w:szCs w:val="18"/>
          <w:color w:val="auto"/>
        </w:rPr>
      </w:pPr>
    </w:p>
    <w:p>
      <w:pPr>
        <w:ind w:left="540" w:hanging="532"/>
        <w:spacing w:after="0"/>
        <w:tabs>
          <w:tab w:leader="none" w:pos="540"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 xml:space="preserve">Amendment of Section 6.5.1. </w:t>
      </w:r>
      <w:r>
        <w:rPr>
          <w:rFonts w:ascii="Arial" w:cs="Arial" w:eastAsia="Arial" w:hAnsi="Arial"/>
          <w:sz w:val="18"/>
          <w:szCs w:val="18"/>
          <w:color w:val="auto"/>
        </w:rPr>
        <w:t>Section 6.5.1 of the Agreement is hereby amended to read as set forth below;</w:t>
      </w:r>
    </w:p>
    <w:p>
      <w:pPr>
        <w:spacing w:after="0" w:line="121" w:lineRule="exact"/>
        <w:rPr>
          <w:rFonts w:ascii="Arial" w:cs="Arial" w:eastAsia="Arial" w:hAnsi="Arial"/>
          <w:sz w:val="18"/>
          <w:szCs w:val="18"/>
          <w:color w:val="auto"/>
        </w:rPr>
      </w:pPr>
    </w:p>
    <w:p>
      <w:pPr>
        <w:ind w:left="560"/>
        <w:spacing w:after="0" w:line="285"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Prosecution of Infringements</w:t>
      </w:r>
      <w:r>
        <w:rPr>
          <w:rFonts w:ascii="Arial" w:cs="Arial" w:eastAsia="Arial" w:hAnsi="Arial"/>
          <w:sz w:val="16"/>
          <w:szCs w:val="16"/>
          <w:color w:val="auto"/>
        </w:rPr>
        <w:t>. Licensee agrees to promptly notify TSRI in the event that Licensee becomes aware of any infringement or threatened infringement by a third party of any of the Licensed Patent Rights. TSRI and Licensee will mutually confer with one another with respect to any actions to be undertaken by either Party with respect to third party infringement of the Licensed Patent Rights. Licensee shall have the exclusive right to bring suit and to take action against any infringer of the Licensed Patent Rights in its own name, or in the name of TSRI where necessary, in which case Licensee shall control the prosecution of any such suit or claim, including without limitation the choice of counsel, and shall have the exclusive right to settle or dispose of any such suit or claim. TSRI shall at Licensee’s request, take all action reasonably necessary to assist in any such suit, including joining as a party. If Licensee undertakes to prosecute any infringement, Licensee may enter into settlements, stipulated judgments or other arrangements respecting such infringement, at its own expense, but only with TSRI’s prior written consent if such settlements, stipulated judgments or other arrangements would affect TSRI’s business or its rights in the Licensed Patent Rights. Licensee shall hold TSRI harmless from all liabilities and expenses with respect to such infringements. If Licensee declines to prosecute any such infringement, Licensee shall notify TSRI in writing of its decision within [***] days of the later of (i) mutual agreement of the parties to pursue the alleged infringer, and (ii) initiation of consultation between Licensee and TSRI as provided in the second sentence of this Section 6.5.1. If Licensee (a) notifies TSRI of its decision not to prosecute any such infringement or (b) fails to notify TSRI in writing of its decision to pursue the alleged infringer, in each case ((a) and (b)) within the [***]-day period referenced above, Licensee’s rights to pursue the infringer will end, and TSRI will thereafter have the right, but not the obligation, to prosecute such infringement itself.”</w:t>
      </w:r>
    </w:p>
    <w:p>
      <w:pPr>
        <w:spacing w:after="0" w:line="77" w:lineRule="exact"/>
        <w:rPr>
          <w:rFonts w:ascii="Arial" w:cs="Arial" w:eastAsia="Arial" w:hAnsi="Arial"/>
          <w:sz w:val="18"/>
          <w:szCs w:val="18"/>
          <w:color w:val="auto"/>
        </w:rPr>
      </w:pPr>
    </w:p>
    <w:p>
      <w:pPr>
        <w:ind w:left="540" w:hanging="532"/>
        <w:spacing w:after="0"/>
        <w:tabs>
          <w:tab w:leader="none" w:pos="540"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Amendment of Section 10.1</w:t>
      </w:r>
      <w:r>
        <w:rPr>
          <w:rFonts w:ascii="Arial" w:cs="Arial" w:eastAsia="Arial" w:hAnsi="Arial"/>
          <w:sz w:val="18"/>
          <w:szCs w:val="18"/>
          <w:color w:val="auto"/>
        </w:rPr>
        <w:t>. Section 10.1 of the Agreement is hereby amended to read as set forth below:</w:t>
      </w:r>
    </w:p>
    <w:p>
      <w:pPr>
        <w:spacing w:after="0" w:line="121" w:lineRule="exact"/>
        <w:rPr>
          <w:rFonts w:ascii="Arial" w:cs="Arial" w:eastAsia="Arial" w:hAnsi="Arial"/>
          <w:sz w:val="18"/>
          <w:szCs w:val="18"/>
          <w:color w:val="auto"/>
        </w:rPr>
      </w:pPr>
    </w:p>
    <w:p>
      <w:pPr>
        <w:ind w:left="560" w:right="80"/>
        <w:spacing w:after="0" w:line="291" w:lineRule="auto"/>
        <w:rPr>
          <w:rFonts w:ascii="Arial" w:cs="Arial" w:eastAsia="Arial" w:hAnsi="Arial"/>
          <w:sz w:val="18"/>
          <w:szCs w:val="18"/>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Any and all assignments of this Agreement or any rights hereunder by Licensee without TSRI’s prior written consent are void, except the Licensee may assign this Agreement and all of its rights and obligations hereunder without TSRI’s consent in connection with the transfer or sale of all or substantially all of Licensee’s business to a third party, whether by merger, sale of stock, sale of assets or otherwise (a “Change in Control Transaction”); provided that Licensee delivers to TSRI written notice of such Change in Control Transaction at least [***] days prior to the consummation of such transaction, and the successor or assignee of Licensee’s interest shall expressly assume in writing the performance of all the terms and conditions of this Agreement to be performed by Licensee and such written assumption shall be delivered to TSRI concurrently with the consummation of such transfer or assignment.”</w:t>
      </w:r>
    </w:p>
    <w:p>
      <w:pPr>
        <w:spacing w:after="0" w:line="9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860" w:top="269" w:right="499" w:bottom="1440" w:gutter="0" w:footer="0" w:header="0"/>
        </w:sectPr>
      </w:pPr>
    </w:p>
    <w:bookmarkStart w:id="497" w:name="page498"/>
    <w:bookmarkEnd w:id="497"/>
    <w:p>
      <w:pPr>
        <w:ind w:left="5300" w:right="3540" w:hanging="4872"/>
        <w:spacing w:after="0" w:line="261" w:lineRule="auto"/>
        <w:tabs>
          <w:tab w:leader="none" w:pos="959"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Amendment of Exhibit A. </w:t>
      </w:r>
      <w:r>
        <w:rPr>
          <w:rFonts w:ascii="Arial" w:cs="Arial" w:eastAsia="Arial" w:hAnsi="Arial"/>
          <w:sz w:val="18"/>
          <w:szCs w:val="18"/>
          <w:color w:val="auto"/>
        </w:rPr>
        <w:t>Exhibit A is hereby amended to delete the text set forth below.</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ind w:left="960" w:hanging="532"/>
        <w:spacing w:after="0"/>
        <w:tabs>
          <w:tab w:leader="none" w:pos="960"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Amendment of Exhibit B</w:t>
      </w:r>
      <w:r>
        <w:rPr>
          <w:rFonts w:ascii="Arial" w:cs="Arial" w:eastAsia="Arial" w:hAnsi="Arial"/>
          <w:sz w:val="18"/>
          <w:szCs w:val="18"/>
          <w:color w:val="auto"/>
        </w:rPr>
        <w:t>. Exhibit B of the Agreement is hereby amended by replacing the same with Exhibit 1 hereto.</w:t>
      </w:r>
    </w:p>
    <w:p>
      <w:pPr>
        <w:spacing w:after="0" w:line="112" w:lineRule="exact"/>
        <w:rPr>
          <w:rFonts w:ascii="Arial" w:cs="Arial" w:eastAsia="Arial" w:hAnsi="Arial"/>
          <w:sz w:val="18"/>
          <w:szCs w:val="18"/>
          <w:color w:val="auto"/>
        </w:rPr>
      </w:pPr>
    </w:p>
    <w:p>
      <w:pPr>
        <w:ind w:left="960" w:right="620" w:hanging="532"/>
        <w:spacing w:after="0" w:line="347" w:lineRule="auto"/>
        <w:tabs>
          <w:tab w:leader="none" w:pos="960" w:val="left"/>
        </w:tabs>
        <w:numPr>
          <w:ilvl w:val="0"/>
          <w:numId w:val="299"/>
        </w:numPr>
        <w:rPr>
          <w:rFonts w:ascii="Arial" w:cs="Arial" w:eastAsia="Arial" w:hAnsi="Arial"/>
          <w:sz w:val="16"/>
          <w:szCs w:val="16"/>
          <w:color w:val="auto"/>
        </w:rPr>
      </w:pPr>
      <w:r>
        <w:rPr>
          <w:rFonts w:ascii="Arial" w:cs="Arial" w:eastAsia="Arial" w:hAnsi="Arial"/>
          <w:sz w:val="16"/>
          <w:szCs w:val="16"/>
          <w:b w:val="1"/>
          <w:bCs w:val="1"/>
          <w:color w:val="auto"/>
        </w:rPr>
        <w:t>Waiver</w:t>
      </w:r>
      <w:r>
        <w:rPr>
          <w:rFonts w:ascii="Arial" w:cs="Arial" w:eastAsia="Arial" w:hAnsi="Arial"/>
          <w:sz w:val="16"/>
          <w:szCs w:val="16"/>
          <w:color w:val="auto"/>
        </w:rPr>
        <w:t>. Each party hereto on behalf of itself and its affiliates hereby waives any all noncompliance by the other party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 of the Agreement for any and all actions, omissions, or failures to act preceding the date of this Amendment.</w:t>
      </w:r>
    </w:p>
    <w:p>
      <w:pPr>
        <w:spacing w:after="0" w:line="21" w:lineRule="exact"/>
        <w:rPr>
          <w:rFonts w:ascii="Arial" w:cs="Arial" w:eastAsia="Arial" w:hAnsi="Arial"/>
          <w:sz w:val="16"/>
          <w:szCs w:val="16"/>
          <w:color w:val="auto"/>
        </w:rPr>
      </w:pPr>
    </w:p>
    <w:p>
      <w:pPr>
        <w:ind w:left="960" w:right="80" w:hanging="532"/>
        <w:spacing w:after="0" w:line="261" w:lineRule="auto"/>
        <w:tabs>
          <w:tab w:leader="none" w:pos="960"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Stock Issuance</w:t>
      </w:r>
      <w:r>
        <w:rPr>
          <w:rFonts w:ascii="Arial" w:cs="Arial" w:eastAsia="Arial" w:hAnsi="Arial"/>
          <w:sz w:val="18"/>
          <w:szCs w:val="18"/>
          <w:color w:val="auto"/>
        </w:rPr>
        <w:t>. Contemporaneous with the execution of this Amendment, Licensee shall issue to TSRI an aggregate of [***] shares of its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 full and complete satisfaction of its obligations under the Agreement and in consideration of the entry into this Amendment. The stock issuance shall be made pursuant to a form of stock issuance agreement mutually and reasonably agreeable to the parties.</w:t>
      </w:r>
    </w:p>
    <w:p>
      <w:pPr>
        <w:spacing w:after="0" w:line="85" w:lineRule="exact"/>
        <w:rPr>
          <w:rFonts w:ascii="Arial" w:cs="Arial" w:eastAsia="Arial" w:hAnsi="Arial"/>
          <w:sz w:val="18"/>
          <w:szCs w:val="18"/>
          <w:color w:val="auto"/>
        </w:rPr>
      </w:pPr>
    </w:p>
    <w:p>
      <w:pPr>
        <w:ind w:left="960" w:hanging="532"/>
        <w:spacing w:after="0"/>
        <w:tabs>
          <w:tab w:leader="none" w:pos="960"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0" w:right="160" w:hanging="439"/>
        <w:spacing w:after="0" w:line="277" w:lineRule="auto"/>
        <w:tabs>
          <w:tab w:leader="none" w:pos="14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Except as amended hereby, all other provisions of the Agreement shall remain unchanged and in full force and effect in accordance with their terms.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All capitalized terms not otherwise defined herein shall have the meaning so attributed to such terms in the Agreement.</w:t>
      </w:r>
    </w:p>
    <w:p>
      <w:pPr>
        <w:spacing w:after="0" w:line="130" w:lineRule="exact"/>
        <w:rPr>
          <w:rFonts w:ascii="Arial" w:cs="Arial" w:eastAsia="Arial" w:hAnsi="Arial"/>
          <w:sz w:val="18"/>
          <w:szCs w:val="18"/>
          <w:color w:val="auto"/>
        </w:rPr>
      </w:pPr>
    </w:p>
    <w:p>
      <w:pPr>
        <w:ind w:left="1420" w:right="220" w:hanging="439"/>
        <w:spacing w:after="0" w:line="277" w:lineRule="auto"/>
        <w:tabs>
          <w:tab w:leader="none" w:pos="14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In the event of a conflict between the terms and conditions of this Amendment and the terms and conditions of the Agreement, the terms and conditions of this Amendment shall control.</w:t>
      </w:r>
    </w:p>
    <w:p>
      <w:pPr>
        <w:spacing w:after="0" w:line="75" w:lineRule="exact"/>
        <w:rPr>
          <w:rFonts w:ascii="Arial" w:cs="Arial" w:eastAsia="Arial" w:hAnsi="Arial"/>
          <w:sz w:val="18"/>
          <w:szCs w:val="18"/>
          <w:color w:val="auto"/>
        </w:rPr>
      </w:pPr>
    </w:p>
    <w:p>
      <w:pPr>
        <w:jc w:val="both"/>
        <w:ind w:left="1420" w:right="40" w:hanging="439"/>
        <w:spacing w:after="0" w:line="286" w:lineRule="auto"/>
        <w:tabs>
          <w:tab w:leader="none" w:pos="1420" w:val="left"/>
        </w:tabs>
        <w:numPr>
          <w:ilvl w:val="1"/>
          <w:numId w:val="299"/>
        </w:numPr>
        <w:rPr>
          <w:rFonts w:ascii="Arial" w:cs="Arial" w:eastAsia="Arial" w:hAnsi="Arial"/>
          <w:sz w:val="17"/>
          <w:szCs w:val="17"/>
          <w:color w:val="auto"/>
        </w:rPr>
      </w:pPr>
      <w:r>
        <w:rPr>
          <w:rFonts w:ascii="Arial" w:cs="Arial" w:eastAsia="Arial" w:hAnsi="Arial"/>
          <w:sz w:val="17"/>
          <w:szCs w:val="17"/>
          <w:color w:val="auto"/>
        </w:rPr>
        <w:t>This Amendment may be executed simultaneously in two or more counterparts, and by PDF or other electronic transmission, each of which counterparts shall be deemed an original, but all of which together shall constitute one and the same instrument, provided that all such counterparts, in the aggregate, shall contain the signatures of all parties hereto.</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Second Amendment by their duly authorized representatives as of the date set forth above.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gridSpan w:val="2"/>
          </w:tcPr>
          <w:p>
            <w:pPr>
              <w:spacing w:after="0"/>
              <w:rPr>
                <w:sz w:val="20"/>
                <w:szCs w:val="20"/>
                <w:color w:val="auto"/>
              </w:rPr>
            </w:pPr>
            <w:r>
              <w:rPr>
                <w:rFonts w:ascii="Arial" w:cs="Arial" w:eastAsia="Arial" w:hAnsi="Arial"/>
                <w:sz w:val="18"/>
                <w:szCs w:val="18"/>
                <w:b w:val="1"/>
                <w:bCs w:val="1"/>
                <w:color w:val="auto"/>
              </w:rPr>
              <w:t>TSRI:</w:t>
            </w:r>
          </w:p>
        </w:tc>
        <w:tc>
          <w:tcPr>
            <w:tcW w:w="4660" w:type="dxa"/>
            <w:vAlign w:val="bottom"/>
          </w:tcPr>
          <w:p>
            <w:pPr>
              <w:spacing w:after="0"/>
              <w:rPr>
                <w:sz w:val="20"/>
                <w:szCs w:val="20"/>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Licensee:</w:t>
            </w:r>
          </w:p>
        </w:tc>
      </w:tr>
      <w:tr>
        <w:trPr>
          <w:trHeight w:val="338"/>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THE SCRIPPS RESEARCH INSTITUTE</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BLACKTHORN THERAPEUTICS, INC.</w:t>
            </w:r>
          </w:p>
        </w:tc>
      </w:tr>
      <w:tr>
        <w:trPr>
          <w:trHeight w:val="445"/>
        </w:trPr>
        <w:tc>
          <w:tcPr>
            <w:tcW w:w="500" w:type="dxa"/>
            <w:vAlign w:val="bottom"/>
            <w:gridSpan w:val="2"/>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w:t>
            </w: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740" w:type="dxa"/>
            <w:vAlign w:val="bottom"/>
          </w:tcPr>
          <w:p>
            <w:pPr>
              <w:ind w:left="120"/>
              <w:spacing w:after="0"/>
              <w:rPr>
                <w:sz w:val="20"/>
                <w:szCs w:val="20"/>
                <w:color w:val="auto"/>
              </w:rPr>
            </w:pPr>
            <w:r>
              <w:rPr>
                <w:rFonts w:ascii="Arial" w:cs="Arial" w:eastAsia="Arial" w:hAnsi="Arial"/>
                <w:sz w:val="18"/>
                <w:szCs w:val="18"/>
                <w:color w:val="auto"/>
              </w:rPr>
              <w:t>/s/</w:t>
            </w:r>
          </w:p>
        </w:tc>
      </w:tr>
      <w:tr>
        <w:trPr>
          <w:trHeight w:val="195"/>
        </w:trPr>
        <w:tc>
          <w:tcPr>
            <w:tcW w:w="42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80" w:type="dxa"/>
            <w:vAlign w:val="bottom"/>
            <w:tcBorders>
              <w:top w:val="single" w:sz="8" w:color="auto"/>
            </w:tcBorders>
          </w:tcPr>
          <w:p>
            <w:pPr>
              <w:spacing w:after="0"/>
              <w:rPr>
                <w:sz w:val="16"/>
                <w:szCs w:val="16"/>
                <w:color w:val="auto"/>
              </w:rPr>
            </w:pPr>
          </w:p>
        </w:tc>
        <w:tc>
          <w:tcPr>
            <w:tcW w:w="46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Chief Operating Officer</w:t>
            </w:r>
          </w:p>
        </w:tc>
        <w:tc>
          <w:tcPr>
            <w:tcW w:w="1120" w:type="dxa"/>
            <w:vAlign w:val="bottom"/>
          </w:tcPr>
          <w:p>
            <w:pPr>
              <w:ind w:left="700"/>
              <w:spacing w:after="0" w:line="195" w:lineRule="exact"/>
              <w:rPr>
                <w:sz w:val="20"/>
                <w:szCs w:val="20"/>
                <w:color w:val="auto"/>
              </w:rPr>
            </w:pPr>
            <w:r>
              <w:rPr>
                <w:rFonts w:ascii="Arial" w:cs="Arial" w:eastAsia="Arial" w:hAnsi="Arial"/>
                <w:sz w:val="18"/>
                <w:szCs w:val="18"/>
                <w:color w:val="auto"/>
              </w:rPr>
              <w:t>Title:</w:t>
            </w:r>
          </w:p>
        </w:tc>
        <w:tc>
          <w:tcPr>
            <w:tcW w:w="47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President &amp; COO</w:t>
            </w:r>
          </w:p>
        </w:tc>
      </w:tr>
      <w:tr>
        <w:trPr>
          <w:trHeight w:val="230"/>
        </w:trPr>
        <w:tc>
          <w:tcPr>
            <w:tcW w:w="500" w:type="dxa"/>
            <w:vAlign w:val="bottom"/>
            <w:gridSpan w:val="2"/>
          </w:tcPr>
          <w:p>
            <w:pPr>
              <w:spacing w:after="0"/>
              <w:rPr>
                <w:sz w:val="20"/>
                <w:szCs w:val="20"/>
                <w:color w:val="auto"/>
              </w:rPr>
            </w:pPr>
            <w:r>
              <w:rPr>
                <w:rFonts w:ascii="Arial" w:cs="Arial" w:eastAsia="Arial" w:hAnsi="Arial"/>
                <w:sz w:val="18"/>
                <w:szCs w:val="18"/>
                <w:color w:val="auto"/>
              </w:rPr>
              <w:t>Date:</w:t>
            </w:r>
          </w:p>
        </w:tc>
        <w:tc>
          <w:tcPr>
            <w:tcW w:w="4660" w:type="dxa"/>
            <w:vAlign w:val="bottom"/>
          </w:tcPr>
          <w:p>
            <w:pPr>
              <w:ind w:left="40"/>
              <w:spacing w:after="0"/>
              <w:rPr>
                <w:sz w:val="20"/>
                <w:szCs w:val="20"/>
                <w:color w:val="auto"/>
              </w:rPr>
            </w:pPr>
            <w:r>
              <w:rPr>
                <w:rFonts w:ascii="Arial" w:cs="Arial" w:eastAsia="Arial" w:hAnsi="Arial"/>
                <w:sz w:val="18"/>
                <w:szCs w:val="18"/>
                <w:color w:val="auto"/>
              </w:rPr>
              <w:t>April 9, 2019</w:t>
            </w:r>
          </w:p>
        </w:tc>
        <w:tc>
          <w:tcPr>
            <w:tcW w:w="1120" w:type="dxa"/>
            <w:vAlign w:val="bottom"/>
          </w:tcPr>
          <w:p>
            <w:pPr>
              <w:ind w:left="700"/>
              <w:spacing w:after="0"/>
              <w:rPr>
                <w:sz w:val="20"/>
                <w:szCs w:val="20"/>
                <w:color w:val="auto"/>
              </w:rPr>
            </w:pPr>
            <w:r>
              <w:rPr>
                <w:rFonts w:ascii="Arial" w:cs="Arial" w:eastAsia="Arial" w:hAnsi="Arial"/>
                <w:sz w:val="18"/>
                <w:szCs w:val="18"/>
                <w:color w:val="auto"/>
                <w:w w:val="92"/>
              </w:rPr>
              <w:t>Date:</w:t>
            </w:r>
          </w:p>
        </w:tc>
        <w:tc>
          <w:tcPr>
            <w:tcW w:w="4740" w:type="dxa"/>
            <w:vAlign w:val="bottom"/>
          </w:tcPr>
          <w:p>
            <w:pPr>
              <w:ind w:left="120"/>
              <w:spacing w:after="0"/>
              <w:rPr>
                <w:sz w:val="20"/>
                <w:szCs w:val="20"/>
                <w:color w:val="auto"/>
              </w:rPr>
            </w:pPr>
            <w:r>
              <w:rPr>
                <w:rFonts w:ascii="Arial" w:cs="Arial" w:eastAsia="Arial" w:hAnsi="Arial"/>
                <w:sz w:val="18"/>
                <w:szCs w:val="18"/>
                <w:color w:val="auto"/>
              </w:rPr>
              <w:t>4/9/2019</w:t>
            </w:r>
          </w:p>
        </w:tc>
      </w:tr>
      <w:tr>
        <w:trPr>
          <w:trHeight w:val="365"/>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4</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498" w:name="page499"/>
    <w:bookmarkEnd w:id="4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 TO THIS SECOND AMENDMENT:</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7"/>
          <w:szCs w:val="17"/>
          <w:u w:val="single" w:color="auto"/>
          <w:color w:val="auto"/>
        </w:rPr>
        <w:t>LICENSED PATENT RIGHTS</w:t>
      </w:r>
    </w:p>
    <w:p>
      <w:pPr>
        <w:spacing w:after="0" w:line="2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19"/>
          </w:cols>
          <w:pgMar w:left="440" w:top="269" w:right="1440" w:bottom="1440" w:gutter="0" w:footer="0" w:header="0"/>
        </w:sectPr>
      </w:pPr>
    </w:p>
    <w:bookmarkStart w:id="499" w:name="page500"/>
    <w:bookmarkEnd w:id="499"/>
    <w:p>
      <w:pPr>
        <w:jc w:val="right"/>
        <w:spacing w:after="0"/>
        <w:rPr>
          <w:sz w:val="20"/>
          <w:szCs w:val="20"/>
          <w:color w:val="auto"/>
        </w:rPr>
      </w:pPr>
      <w:r>
        <w:rPr>
          <w:rFonts w:ascii="Arial" w:cs="Arial" w:eastAsia="Arial" w:hAnsi="Arial"/>
          <w:sz w:val="18"/>
          <w:szCs w:val="18"/>
          <w:b w:val="1"/>
          <w:bCs w:val="1"/>
          <w:color w:val="auto"/>
        </w:rPr>
        <w:t>Exhibit 10.6(a)</w:t>
      </w:r>
    </w:p>
    <w:p>
      <w:pPr>
        <w:spacing w:after="0" w:line="225" w:lineRule="exact"/>
        <w:rPr>
          <w:sz w:val="20"/>
          <w:szCs w:val="20"/>
          <w:color w:val="auto"/>
        </w:rPr>
      </w:pPr>
    </w:p>
    <w:p>
      <w:pPr>
        <w:ind w:left="4" w:right="200" w:hanging="4"/>
        <w:spacing w:after="0" w:line="282" w:lineRule="auto"/>
        <w:tabs>
          <w:tab w:leader="none" w:pos="439"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is treated by the Registrant as private or confidential.</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7"/>
          <w:szCs w:val="17"/>
          <w:color w:val="auto"/>
        </w:rPr>
        <w:t xml:space="preserve">This License Agreement (this “Agreement”) is entered into as of this 15th day of June, 2020 (the “Effective Date”), by and between </w:t>
      </w:r>
      <w:r>
        <w:rPr>
          <w:rFonts w:ascii="Arial" w:cs="Arial" w:eastAsia="Arial" w:hAnsi="Arial"/>
          <w:sz w:val="17"/>
          <w:szCs w:val="17"/>
          <w:b w:val="1"/>
          <w:bCs w:val="1"/>
          <w:color w:val="auto"/>
        </w:rPr>
        <w:t>Syllable Life</w:t>
      </w:r>
      <w:r>
        <w:rPr>
          <w:rFonts w:ascii="Arial" w:cs="Arial" w:eastAsia="Arial" w:hAnsi="Arial"/>
          <w:sz w:val="17"/>
          <w:szCs w:val="17"/>
          <w:color w:val="auto"/>
        </w:rPr>
        <w:t xml:space="preserve"> </w:t>
      </w:r>
      <w:r>
        <w:rPr>
          <w:rFonts w:ascii="Arial" w:cs="Arial" w:eastAsia="Arial" w:hAnsi="Arial"/>
          <w:sz w:val="17"/>
          <w:szCs w:val="17"/>
          <w:b w:val="1"/>
          <w:bCs w:val="1"/>
          <w:color w:val="auto"/>
        </w:rPr>
        <w:t>Sciences, Inc.</w:t>
      </w:r>
      <w:r>
        <w:rPr>
          <w:rFonts w:ascii="Arial" w:cs="Arial" w:eastAsia="Arial" w:hAnsi="Arial"/>
          <w:sz w:val="17"/>
          <w:szCs w:val="17"/>
          <w:color w:val="auto"/>
        </w:rPr>
        <w:t>, a corporation existing under the laws of Delaware, having a place of business at c/o Cambridge Innovation Center, 1 Broadway, 14th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floor, Cambridge, MA 02142 (“Syllable”) and </w:t>
      </w:r>
      <w:r>
        <w:rPr>
          <w:rFonts w:ascii="Arial" w:cs="Arial" w:eastAsia="Arial" w:hAnsi="Arial"/>
          <w:sz w:val="17"/>
          <w:szCs w:val="17"/>
          <w:b w:val="1"/>
          <w:bCs w:val="1"/>
          <w:color w:val="auto"/>
        </w:rPr>
        <w:t>President and Fellows of Harvard College</w:t>
      </w:r>
      <w:r>
        <w:rPr>
          <w:rFonts w:ascii="Arial" w:cs="Arial" w:eastAsia="Arial" w:hAnsi="Arial"/>
          <w:sz w:val="17"/>
          <w:szCs w:val="17"/>
          <w:color w:val="auto"/>
        </w:rPr>
        <w:t>, an educational and charitable corporation existing under the laws and the constitution of the Commonwealth of Massachusetts, having a place of business at Richard A. and Susan F. Smith Campus Center, Suite 727E, 1350 Massachusetts Avenue, Cambridge, Massachusetts 02138 (“Harvard”).</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technology claimed in the Existing Patent Rights (as defined below) was developed in research conducted by Harvard researcher</w:t>
      </w:r>
    </w:p>
    <w:p>
      <w:pPr>
        <w:spacing w:after="0" w:line="50" w:lineRule="exact"/>
        <w:rPr>
          <w:sz w:val="20"/>
          <w:szCs w:val="20"/>
          <w:color w:val="auto"/>
        </w:rPr>
      </w:pPr>
    </w:p>
    <w:p>
      <w:pPr>
        <w:ind w:left="444" w:hanging="444"/>
        <w:spacing w:after="0"/>
        <w:tabs>
          <w:tab w:leader="none" w:pos="44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and others; and</w:t>
      </w:r>
    </w:p>
    <w:p>
      <w:pPr>
        <w:spacing w:after="0" w:line="206"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Harvard desires to have products and services based on such technology developed and commercialized to benefit the public; and</w:t>
      </w:r>
    </w:p>
    <w:p>
      <w:pPr>
        <w:spacing w:after="0" w:line="248" w:lineRule="exact"/>
        <w:rPr>
          <w:sz w:val="20"/>
          <w:szCs w:val="20"/>
          <w:color w:val="auto"/>
        </w:rPr>
      </w:pPr>
    </w:p>
    <w:p>
      <w:pPr>
        <w:ind w:left="4" w:right="8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Syllable recognizes that commercialization of such technology is consistent with its business objectives, and therefore wishes to</w:t>
      </w:r>
      <w:r>
        <w:rPr>
          <w:rFonts w:ascii="Arial" w:cs="Arial" w:eastAsia="Arial" w:hAnsi="Arial"/>
          <w:sz w:val="16"/>
          <w:szCs w:val="16"/>
          <w:b w:val="1"/>
          <w:bCs w:val="1"/>
          <w:color w:val="auto"/>
        </w:rPr>
        <w:t xml:space="preserve"> </w:t>
      </w:r>
      <w:r>
        <w:rPr>
          <w:rFonts w:ascii="Arial" w:cs="Arial" w:eastAsia="Arial" w:hAnsi="Arial"/>
          <w:sz w:val="16"/>
          <w:szCs w:val="16"/>
          <w:color w:val="auto"/>
        </w:rPr>
        <w:t>obtain a license under the Existing Patent Rights and Original Software in order to develop and commercialize products and services based thereon; and</w:t>
      </w:r>
    </w:p>
    <w:p>
      <w:pPr>
        <w:spacing w:after="0" w:line="116" w:lineRule="exact"/>
        <w:rPr>
          <w:sz w:val="20"/>
          <w:szCs w:val="20"/>
          <w:color w:val="auto"/>
        </w:rPr>
      </w:pPr>
    </w:p>
    <w:p>
      <w:pPr>
        <w:ind w:left="4" w:right="3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Syllable has represented to Harvard, in order to induce Harvard to enter into this Agreement, that Syllable shall commit itself to</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develop and commercialize such products and services;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intending to be legally bound, hereby agree as follows:</w:t>
      </w:r>
    </w:p>
    <w:p>
      <w:pPr>
        <w:spacing w:after="0" w:line="374" w:lineRule="exact"/>
        <w:rPr>
          <w:sz w:val="20"/>
          <w:szCs w:val="20"/>
          <w:color w:val="auto"/>
        </w:rPr>
      </w:pPr>
    </w:p>
    <w:p>
      <w:pPr>
        <w:ind w:left="424" w:hanging="424"/>
        <w:spacing w:after="0"/>
        <w:tabs>
          <w:tab w:leader="none" w:pos="424"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21"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Whenever used in this Agreement with an initial capital letter, the terms defined in this Article 1, whether used in the singular or the plural, will have the meanings specified below.</w:t>
      </w:r>
    </w:p>
    <w:p>
      <w:pPr>
        <w:spacing w:after="0" w:line="166"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first person, organization or entity, any other person, organization or entity Controlling, Controlled by or</w:t>
      </w:r>
      <w:r>
        <w:rPr>
          <w:rFonts w:ascii="Arial" w:cs="Arial" w:eastAsia="Arial" w:hAnsi="Arial"/>
          <w:sz w:val="18"/>
          <w:szCs w:val="18"/>
          <w:b w:val="1"/>
          <w:bCs w:val="1"/>
          <w:color w:val="auto"/>
        </w:rPr>
        <w:t xml:space="preserve"> </w:t>
      </w:r>
      <w:r>
        <w:rPr>
          <w:rFonts w:ascii="Arial" w:cs="Arial" w:eastAsia="Arial" w:hAnsi="Arial"/>
          <w:sz w:val="18"/>
          <w:szCs w:val="18"/>
          <w:color w:val="auto"/>
        </w:rPr>
        <w:t>under common Control with, such first person, organization or entity. “</w:t>
      </w:r>
      <w:r>
        <w:rPr>
          <w:rFonts w:ascii="Arial" w:cs="Arial" w:eastAsia="Arial" w:hAnsi="Arial"/>
          <w:sz w:val="18"/>
          <w:szCs w:val="18"/>
          <w:b w:val="1"/>
          <w:bCs w:val="1"/>
          <w:color w:val="auto"/>
        </w:rPr>
        <w:t>Control</w:t>
      </w:r>
      <w:r>
        <w:rPr>
          <w:rFonts w:ascii="Arial" w:cs="Arial" w:eastAsia="Arial" w:hAnsi="Arial"/>
          <w:sz w:val="18"/>
          <w:szCs w:val="18"/>
          <w:color w:val="auto"/>
        </w:rPr>
        <w:t>” of another person, organization or entity will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will be presumed to exist when a person, organization or entity (a) owns or directly controls fifty percent (50%) or more of the outstanding voting stock or other ownership interest of the other organization or entity or (b) possesses, directly or indirectly, the power to elect or appoint fifty percent (50%) or more of the members of the governing body of the other organization or entity.</w:t>
      </w:r>
    </w:p>
    <w:p>
      <w:pPr>
        <w:sectPr>
          <w:pgSz w:w="11900" w:h="16838" w:orient="portrait"/>
          <w:cols w:equalWidth="0" w:num="1">
            <w:col w:w="11024"/>
          </w:cols>
          <w:pgMar w:left="436" w:top="121" w:right="439" w:bottom="1440" w:gutter="0" w:footer="0" w:header="0"/>
        </w:sectPr>
      </w:pPr>
    </w:p>
    <w:bookmarkStart w:id="500" w:name="page501"/>
    <w:bookmarkEnd w:id="500"/>
    <w:p>
      <w:pPr>
        <w:ind w:right="20" w:firstLine="4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 </w:t>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 transaction or series of transactions resulting in (a) a merger, share exchange or other reorganization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Syllable, (b) the sale by one or more holders of a majority of the voting power of Syllable to one or more entities that was not a direct or indirect owner of Syllable prior to the transaction, (c) a sale of all or substantially all of the assets of Syllable or that portion of Syllable’s business to which the license granted under this Agreement relates, in which for each of (a), (b) and (c) the stockholders of Syllable prior to such transaction do not own a majority of the voting power of the acquiring, surviving or successor entity, as the case may be, or (d) an initial public offering of capital stock of Syllable; provided however, that a transaction in which working capital is raised through the non-public issuance of preferred equity in Syllable to third party investors shall not constitute a “Change of Control”.</w:t>
      </w:r>
    </w:p>
    <w:p>
      <w:pPr>
        <w:spacing w:after="0" w:line="17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Derivative Works</w:t>
      </w:r>
      <w:r>
        <w:rPr>
          <w:rFonts w:ascii="Arial" w:cs="Arial" w:eastAsia="Arial" w:hAnsi="Arial"/>
          <w:sz w:val="18"/>
          <w:szCs w:val="18"/>
          <w:color w:val="auto"/>
        </w:rPr>
        <w:t>” means any derivative works of the Software, as determined under U.S. copyright law 17 U.S.C.§101, created by or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Syllable, its Subsidiary or any Sublicensee, in accordance with the terms of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Development Milestones</w:t>
      </w:r>
      <w:r>
        <w:rPr>
          <w:rFonts w:ascii="Arial" w:cs="Arial" w:eastAsia="Arial" w:hAnsi="Arial"/>
          <w:sz w:val="18"/>
          <w:szCs w:val="18"/>
          <w:color w:val="auto"/>
        </w:rPr>
        <w:t>” means the development and commercialization milestones set forth in Exhibit 1.4 hereto.</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Development Plan</w:t>
      </w:r>
      <w:r>
        <w:rPr>
          <w:rFonts w:ascii="Arial" w:cs="Arial" w:eastAsia="Arial" w:hAnsi="Arial"/>
          <w:sz w:val="18"/>
          <w:szCs w:val="18"/>
          <w:color w:val="auto"/>
        </w:rPr>
        <w:t>” means the plan for the development and commercialization of Licensed Products attached hereto as Exhibit 1.5,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plan may be adjusted from time to time pursuant to Section 3.2.</w:t>
      </w:r>
    </w:p>
    <w:p>
      <w:pPr>
        <w:spacing w:after="0" w:line="162"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b w:val="1"/>
          <w:bCs w:val="1"/>
          <w:color w:val="auto"/>
        </w:rPr>
        <w:t xml:space="preserve">1.6. </w:t>
      </w:r>
      <w:r>
        <w:rPr>
          <w:rFonts w:ascii="Arial" w:cs="Arial" w:eastAsia="Arial" w:hAnsi="Arial"/>
          <w:sz w:val="17"/>
          <w:szCs w:val="17"/>
          <w:color w:val="auto"/>
        </w:rPr>
        <w:t>“</w:t>
      </w:r>
      <w:r>
        <w:rPr>
          <w:rFonts w:ascii="Arial" w:cs="Arial" w:eastAsia="Arial" w:hAnsi="Arial"/>
          <w:sz w:val="17"/>
          <w:szCs w:val="17"/>
          <w:b w:val="1"/>
          <w:bCs w:val="1"/>
          <w:color w:val="auto"/>
        </w:rPr>
        <w:t>Existing Patent Rights</w:t>
      </w:r>
      <w:r>
        <w:rPr>
          <w:rFonts w:ascii="Arial" w:cs="Arial" w:eastAsia="Arial" w:hAnsi="Arial"/>
          <w:sz w:val="17"/>
          <w:szCs w:val="17"/>
          <w:color w:val="auto"/>
        </w:rPr>
        <w:t>” means, in each case to the extent owned and controlled by Harvard: (a) the patents and patent applications listed in</w:t>
      </w:r>
      <w:r>
        <w:rPr>
          <w:rFonts w:ascii="Arial" w:cs="Arial" w:eastAsia="Arial" w:hAnsi="Arial"/>
          <w:sz w:val="17"/>
          <w:szCs w:val="17"/>
          <w:b w:val="1"/>
          <w:bCs w:val="1"/>
          <w:color w:val="auto"/>
        </w:rPr>
        <w:t xml:space="preserve"> </w:t>
      </w:r>
      <w:r>
        <w:rPr>
          <w:rFonts w:ascii="Arial" w:cs="Arial" w:eastAsia="Arial" w:hAnsi="Arial"/>
          <w:sz w:val="17"/>
          <w:szCs w:val="17"/>
          <w:color w:val="auto"/>
        </w:rPr>
        <w:t>Exhibit 1.6 (including those PCT and/or U.S. utility applications claiming priority to such application(s) that are filed on or before the one year conversion date of such application(s)); (b) any patent or patent application that claims priority to and is a divisional, continuation, reissue, renewal, reexamination, substitution or extension of any patent application identified in (a); (c) any patents issuing on any patent application identified in (a) or (b), including any reissues, renewals, reexaminations, substitutions or extensions thereof; (d) any claim of a continuation-in-part application or patent (including any reissues, renewals, reexaminations, substitutions or extensions thereof) that is entitled to the priority date of, and is directed specifically to subject matter specifically described in, at least one of the patents or patent applications identified in (a), (b) or (c); (e) any foreign counterpart (including PCTs) of any patent or patent application identified in (a), (b) or (c) or of the claims identified in (d); and (f) any supplementary protection certificates, pediatric exclusivity periods, any other patent term extensions and exclusivity periods and the like of any patents and patent applications identified in (a) through (e).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methods, equipment, systems and services included within the Patent Rights.</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the date of the first sale by or on behalf of Syllable, its Subsidiary or a Sublicensee of a Licensed Product to</w:t>
      </w:r>
      <w:r>
        <w:rPr>
          <w:rFonts w:ascii="Arial" w:cs="Arial" w:eastAsia="Arial" w:hAnsi="Arial"/>
          <w:sz w:val="18"/>
          <w:szCs w:val="18"/>
          <w:b w:val="1"/>
          <w:bCs w:val="1"/>
          <w:color w:val="auto"/>
        </w:rPr>
        <w:t xml:space="preserve"> </w:t>
      </w:r>
      <w:r>
        <w:rPr>
          <w:rFonts w:ascii="Arial" w:cs="Arial" w:eastAsia="Arial" w:hAnsi="Arial"/>
          <w:sz w:val="18"/>
          <w:szCs w:val="18"/>
          <w:color w:val="auto"/>
        </w:rPr>
        <w:t>a third party for end use or consumption of such Licensed Product.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Harvard Original Copyrights</w:t>
      </w:r>
      <w:r>
        <w:rPr>
          <w:rFonts w:ascii="Arial" w:cs="Arial" w:eastAsia="Arial" w:hAnsi="Arial"/>
          <w:sz w:val="18"/>
          <w:szCs w:val="18"/>
          <w:color w:val="auto"/>
        </w:rPr>
        <w:t>” means copyrights owned by Harvard covering the Original Software.</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69" w:right="479" w:bottom="1440" w:gutter="0" w:footer="0" w:header="0"/>
        </w:sectPr>
      </w:pPr>
    </w:p>
    <w:bookmarkStart w:id="501" w:name="page502"/>
    <w:bookmarkEnd w:id="501"/>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1.10. </w:t>
      </w:r>
      <w:r>
        <w:rPr>
          <w:rFonts w:ascii="Arial" w:cs="Arial" w:eastAsia="Arial" w:hAnsi="Arial"/>
          <w:sz w:val="18"/>
          <w:szCs w:val="18"/>
          <w:color w:val="auto"/>
        </w:rPr>
        <w:t>“</w:t>
      </w:r>
      <w:r>
        <w:rPr>
          <w:rFonts w:ascii="Arial" w:cs="Arial" w:eastAsia="Arial" w:hAnsi="Arial"/>
          <w:sz w:val="18"/>
          <w:szCs w:val="18"/>
          <w:b w:val="1"/>
          <w:bCs w:val="1"/>
          <w:color w:val="auto"/>
        </w:rPr>
        <w:t>Harvard Improvement Copyrights</w:t>
      </w:r>
      <w:r>
        <w:rPr>
          <w:rFonts w:ascii="Arial" w:cs="Arial" w:eastAsia="Arial" w:hAnsi="Arial"/>
          <w:sz w:val="18"/>
          <w:szCs w:val="18"/>
          <w:color w:val="auto"/>
        </w:rPr>
        <w:t>” means copyrights owned by Harvard covering the Harvard Improvement Software.</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color w:val="auto"/>
        </w:rPr>
        <w:t>“</w:t>
      </w:r>
      <w:r>
        <w:rPr>
          <w:rFonts w:ascii="Arial" w:cs="Arial" w:eastAsia="Arial" w:hAnsi="Arial"/>
          <w:sz w:val="17"/>
          <w:szCs w:val="17"/>
          <w:b w:val="1"/>
          <w:bCs w:val="1"/>
          <w:color w:val="auto"/>
        </w:rPr>
        <w:t>Harvard Improvement Software</w:t>
      </w:r>
      <w:r>
        <w:rPr>
          <w:rFonts w:ascii="Arial" w:cs="Arial" w:eastAsia="Arial" w:hAnsi="Arial"/>
          <w:sz w:val="17"/>
          <w:szCs w:val="17"/>
          <w:color w:val="auto"/>
        </w:rPr>
        <w:t>” means any copyrightable software disclosed to the Harvard Office of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(“OTD”) within [***] years after the Effective Date which (a) is authored solely by researchers working in the Harvard lab of [***], and (b) is a derivative work (as defined under U.S. copyright law) of the Software, and (c) includes [***] (for so long as he is employed by Harvard), and/or those faculty members, research fellows, students, technicians, scientists, and/or other individuals who are, at the time of such authorship, working on behalf of Harvard under [***]’s direction, as an author, and (d) is designed to enable commercial activity in the Field.</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color w:val="auto"/>
        </w:rPr>
        <w:t>“</w:t>
      </w:r>
      <w:r>
        <w:rPr>
          <w:rFonts w:ascii="Arial" w:cs="Arial" w:eastAsia="Arial" w:hAnsi="Arial"/>
          <w:sz w:val="17"/>
          <w:szCs w:val="17"/>
          <w:b w:val="1"/>
          <w:bCs w:val="1"/>
          <w:color w:val="auto"/>
        </w:rPr>
        <w:t>Harvard Improvement Invention</w:t>
      </w:r>
      <w:r>
        <w:rPr>
          <w:rFonts w:ascii="Arial" w:cs="Arial" w:eastAsia="Arial" w:hAnsi="Arial"/>
          <w:sz w:val="17"/>
          <w:szCs w:val="17"/>
          <w:color w:val="auto"/>
        </w:rPr>
        <w:t>” means any patentable invention disclosed to OTD within [***] years after the Effective Date which</w:t>
      </w:r>
    </w:p>
    <w:p>
      <w:pPr>
        <w:spacing w:after="0" w:line="39" w:lineRule="exact"/>
        <w:rPr>
          <w:sz w:val="20"/>
          <w:szCs w:val="20"/>
          <w:color w:val="auto"/>
        </w:rPr>
      </w:pPr>
    </w:p>
    <w:p>
      <w:pPr>
        <w:ind w:left="4" w:right="60" w:hanging="4"/>
        <w:spacing w:after="0" w:line="253" w:lineRule="auto"/>
        <w:tabs>
          <w:tab w:leader="none" w:pos="24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is conceived and reduced to practice solely in the Harvard lab of [***], and (b) the practice of which would infringe a Valid Claim within the Existing Patent Rights, directly or indirectly by contributory infringement or inducement to infringe, and (c) includes [***] (for so long as he is employed by Harvard), and/or those faculty members, research fellows, students, technicians, scientists, and/or other individuals who are, at the time of creation of such invention, working on behalf of Harvard under [***]’s direction), as an inventor, and (d) is designed to enable commercial activity in the Field.</w:t>
      </w:r>
    </w:p>
    <w:p>
      <w:pPr>
        <w:spacing w:after="0" w:line="187"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Harvard Improvement Patent Rights</w:t>
      </w:r>
      <w:r>
        <w:rPr>
          <w:rFonts w:ascii="Arial" w:cs="Arial" w:eastAsia="Arial" w:hAnsi="Arial"/>
          <w:sz w:val="18"/>
          <w:szCs w:val="18"/>
          <w:color w:val="auto"/>
        </w:rPr>
        <w:t>” shall mean any patents and patent applications that claim any Harvard Improvement Invention,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solely to the extent the claims are directed to the subject matter of such Harvard Improvement Invention.</w:t>
      </w:r>
    </w:p>
    <w:p>
      <w:pPr>
        <w:spacing w:after="0" w:line="162" w:lineRule="exact"/>
        <w:rPr>
          <w:sz w:val="20"/>
          <w:szCs w:val="20"/>
          <w:color w:val="auto"/>
        </w:rPr>
      </w:pPr>
    </w:p>
    <w:p>
      <w:pPr>
        <w:ind w:left="4" w:right="80" w:firstLine="440"/>
        <w:spacing w:after="0" w:line="281" w:lineRule="auto"/>
        <w:rPr>
          <w:sz w:val="20"/>
          <w:szCs w:val="20"/>
          <w:color w:val="auto"/>
        </w:rPr>
      </w:pPr>
      <w:r>
        <w:rPr>
          <w:rFonts w:ascii="Arial" w:cs="Arial" w:eastAsia="Arial" w:hAnsi="Arial"/>
          <w:sz w:val="17"/>
          <w:szCs w:val="17"/>
          <w:b w:val="1"/>
          <w:bCs w:val="1"/>
          <w:color w:val="auto"/>
        </w:rPr>
        <w:t xml:space="preserve">1.14. </w:t>
      </w:r>
      <w:r>
        <w:rPr>
          <w:rFonts w:ascii="Arial" w:cs="Arial" w:eastAsia="Arial" w:hAnsi="Arial"/>
          <w:sz w:val="17"/>
          <w:szCs w:val="17"/>
          <w:color w:val="auto"/>
        </w:rPr>
        <w:t>“</w:t>
      </w:r>
      <w:r>
        <w:rPr>
          <w:rFonts w:ascii="Arial" w:cs="Arial" w:eastAsia="Arial" w:hAnsi="Arial"/>
          <w:sz w:val="17"/>
          <w:szCs w:val="17"/>
          <w:b w:val="1"/>
          <w:bCs w:val="1"/>
          <w:color w:val="auto"/>
        </w:rPr>
        <w:t>Licensed Product</w:t>
      </w:r>
      <w:r>
        <w:rPr>
          <w:rFonts w:ascii="Arial" w:cs="Arial" w:eastAsia="Arial" w:hAnsi="Arial"/>
          <w:sz w:val="17"/>
          <w:szCs w:val="17"/>
          <w:color w:val="auto"/>
        </w:rPr>
        <w:t>” means (i) any product, the making, using or selling of which, or (ii) any service, the performance of which, in the case</w:t>
      </w:r>
      <w:r>
        <w:rPr>
          <w:rFonts w:ascii="Arial" w:cs="Arial" w:eastAsia="Arial" w:hAnsi="Arial"/>
          <w:sz w:val="17"/>
          <w:szCs w:val="17"/>
          <w:b w:val="1"/>
          <w:bCs w:val="1"/>
          <w:color w:val="auto"/>
        </w:rPr>
        <w:t xml:space="preserve"> </w:t>
      </w:r>
      <w:r>
        <w:rPr>
          <w:rFonts w:ascii="Arial" w:cs="Arial" w:eastAsia="Arial" w:hAnsi="Arial"/>
          <w:sz w:val="17"/>
          <w:szCs w:val="17"/>
          <w:color w:val="auto"/>
        </w:rPr>
        <w:t>of (i) or (ii), falls within the scope of a Valid Claim within the Patent Rights, and/or incorporates or makes use of the Software or Derivative Works, in whole or in part. For clarity, “Licensed Product” excludes any product that was identified, validated, selected or otherwise characterized using the Software or Derivative Works, but is not a software product itself, including but not limited to pharmaceutical agents.</w:t>
      </w:r>
    </w:p>
    <w:p>
      <w:pPr>
        <w:spacing w:after="0" w:line="165"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 xml:space="preserve">1.15. </w:t>
      </w: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means the gross amount billed or invoiced by or on behalf of Syllable, its Subsidiaries, Sublicensees (in each case, the</w:t>
      </w:r>
      <w:r>
        <w:rPr>
          <w:rFonts w:ascii="Arial" w:cs="Arial" w:eastAsia="Arial" w:hAnsi="Arial"/>
          <w:sz w:val="16"/>
          <w:szCs w:val="16"/>
          <w:b w:val="1"/>
          <w:bCs w:val="1"/>
          <w:color w:val="auto"/>
        </w:rPr>
        <w:t xml:space="preserve"> </w:t>
      </w:r>
      <w:r>
        <w:rPr>
          <w:rFonts w:ascii="Arial" w:cs="Arial" w:eastAsia="Arial" w:hAnsi="Arial"/>
          <w:sz w:val="16"/>
          <w:szCs w:val="16"/>
          <w:color w:val="auto"/>
        </w:rPr>
        <w:t>“Invoicing Entity”) on sales, leases or other transfers of Licensed Products, less the following to the extent applicable with respect to such sales, leases or other transfers and not previously deducted from the gross invoice price: (a) customary trade, quantity or cash discounts to the extent actually allowed and taken; (b) amounts actually repaid or credited by reason of rejection or return of any previously sold, leased or otherwise transferred Licensed Products; (c) customer freight charges that are paid by or on behalf of the Invoicing Entity; and (d) to the extent separately stated on purchase orders, invoices or other documents of sale, any sales, value added or similar taxes, custom duties or other similar governmental charges levied directly on the production, sale, transportation, delivery or use of a Licensed Product that are paid by or on behalf of the Invoicing Entity, but not including any tax levied with respect to income; provided that in the event that an Invoicing Entity receives non-cash consideration for any Licensed Products or in the case of transactions not at arm’s length with a non-Affiliate of an Invoicing Entity, Net Sales will be calculated based on the fair market value of such consideration or transaction, assuming an arm’s length transaction made in the ordinary course of business.</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69" w:right="479" w:bottom="1440" w:gutter="0" w:footer="0" w:header="0"/>
        </w:sectPr>
      </w:pPr>
    </w:p>
    <w:bookmarkStart w:id="502" w:name="page503"/>
    <w:bookmarkEnd w:id="502"/>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Sales of Licensed Products by an Invoicing Entity to its Affiliate or a Sublicensee for resale by such Affiliate or Sublicensee shall not be deemed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Net Sales. Instead, Net Sales will be determined based on the gross amount billed or invoiced by such Affiliate or Sublicensee upon resale of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Licensed Products to a third party purchaser.</w:t>
      </w:r>
    </w:p>
    <w:p>
      <w:pPr>
        <w:spacing w:after="0" w:line="207"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6"/>
          <w:szCs w:val="16"/>
          <w:b w:val="1"/>
          <w:bCs w:val="1"/>
          <w:color w:val="auto"/>
        </w:rPr>
        <w:t xml:space="preserve">1.16. </w:t>
      </w:r>
      <w:r>
        <w:rPr>
          <w:rFonts w:ascii="Arial" w:cs="Arial" w:eastAsia="Arial" w:hAnsi="Arial"/>
          <w:sz w:val="16"/>
          <w:szCs w:val="16"/>
          <w:color w:val="auto"/>
        </w:rPr>
        <w:t>“</w:t>
      </w:r>
      <w:r>
        <w:rPr>
          <w:rFonts w:ascii="Arial" w:cs="Arial" w:eastAsia="Arial" w:hAnsi="Arial"/>
          <w:sz w:val="16"/>
          <w:szCs w:val="16"/>
          <w:b w:val="1"/>
          <w:bCs w:val="1"/>
          <w:color w:val="auto"/>
        </w:rPr>
        <w:t>Non-Royalty Income</w:t>
      </w:r>
      <w:r>
        <w:rPr>
          <w:rFonts w:ascii="Arial" w:cs="Arial" w:eastAsia="Arial" w:hAnsi="Arial"/>
          <w:sz w:val="16"/>
          <w:szCs w:val="16"/>
          <w:color w:val="auto"/>
        </w:rPr>
        <w:t>” means any payments or other consideration that Syllable or any of its Subsidiaries receives in connection with a</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 or Strategic Partnership, other than (a) running royalties based on Net Sales, (b) amounts received as reimbursement for documented fully-burdened costs incurred by Syllable or its Subsidiaries after the Effective Date and after the effective date of the Sublicense or Strategic Partnership agreement, for research and development of Licensed Products covered by such Sublicense or Strategic Partnership, to the extent such amounts are stipulated to be allocated specifically to reimburse such costs under the terms of the applicable Sublicense or Strategic Partnership agreement</w:t>
      </w:r>
    </w:p>
    <w:p>
      <w:pPr>
        <w:spacing w:after="0" w:line="2" w:lineRule="exact"/>
        <w:rPr>
          <w:sz w:val="20"/>
          <w:szCs w:val="20"/>
          <w:color w:val="auto"/>
        </w:rPr>
      </w:pPr>
    </w:p>
    <w:p>
      <w:pPr>
        <w:ind w:left="4" w:right="60" w:hanging="4"/>
        <w:spacing w:after="0" w:line="288" w:lineRule="auto"/>
        <w:tabs>
          <w:tab w:leader="none" w:pos="249"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amounts received as reimbursement for payments made to Harvard pursuant to Section 6.2 (Patent Expenses) of this Agreement, to the extent such amounts are stipulated to be allocated specifically to reimburse such costs under the terms of the applicable Sublicense or Strategic Partnership agreement; and (d) consideration for the issuance of equity interests in Syllable to the extent the amount paid for such equity does not exceed its fair market value. If Syllable or its Subsidiaries receives non-cash consideration in connection with a Sublicense or Strategic Partnership or in the case of transactions not at arm’s length, Non-Royalty Income will be calculated based on the fair market value of such consideration or transaction, at the time of the transaction, assuming an arm’s length transaction made in the ordinary course of business. Wherever said non-cash consideration for such transaction is expressed, income shall be deemed collected at the time of receipt of said non-cash consideration.</w:t>
      </w:r>
    </w:p>
    <w:p>
      <w:pPr>
        <w:spacing w:after="0" w:line="164"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Original Software</w:t>
      </w:r>
      <w:r>
        <w:rPr>
          <w:rFonts w:ascii="Arial" w:cs="Arial" w:eastAsia="Arial" w:hAnsi="Arial"/>
          <w:sz w:val="18"/>
          <w:szCs w:val="18"/>
          <w:color w:val="auto"/>
        </w:rPr>
        <w:t>” means the original software program or programs, in both object code and source code form, as described in Harvard</w:t>
      </w:r>
      <w:r>
        <w:rPr>
          <w:rFonts w:ascii="Arial" w:cs="Arial" w:eastAsia="Arial" w:hAnsi="Arial"/>
          <w:sz w:val="18"/>
          <w:szCs w:val="18"/>
          <w:b w:val="1"/>
          <w:bCs w:val="1"/>
          <w:color w:val="auto"/>
        </w:rPr>
        <w:t xml:space="preserve"> </w:t>
      </w:r>
      <w:r>
        <w:rPr>
          <w:rFonts w:ascii="Arial" w:cs="Arial" w:eastAsia="Arial" w:hAnsi="Arial"/>
          <w:sz w:val="18"/>
          <w:szCs w:val="18"/>
          <w:color w:val="auto"/>
        </w:rPr>
        <w:t>Case Nos. [***], as set forth in Exhibit 1.19.</w:t>
      </w:r>
    </w:p>
    <w:p>
      <w:pPr>
        <w:spacing w:after="0" w:line="162"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the Existing Patent Rights and, if any, the Harvard Improvement Patent Rights, to the extent licensed to Syllable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2.6 hereof.</w:t>
      </w:r>
    </w:p>
    <w:p>
      <w:pPr>
        <w:spacing w:after="0" w:line="162"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the Original Software and any Harvard Improvement Software, to the extent licensed to Syllable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2.6 hereof.</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Strategic Partner</w:t>
      </w:r>
      <w:r>
        <w:rPr>
          <w:rFonts w:ascii="Arial" w:cs="Arial" w:eastAsia="Arial" w:hAnsi="Arial"/>
          <w:sz w:val="18"/>
          <w:szCs w:val="18"/>
          <w:color w:val="auto"/>
        </w:rPr>
        <w:t>” means any person or entity that has entered into a Strategic Partnership with Syllable or its Subsidiary.</w:t>
      </w:r>
    </w:p>
    <w:p>
      <w:pPr>
        <w:spacing w:after="0" w:line="225"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Strategic Partnership</w:t>
      </w:r>
      <w:r>
        <w:rPr>
          <w:rFonts w:ascii="Arial" w:cs="Arial" w:eastAsia="Arial" w:hAnsi="Arial"/>
          <w:sz w:val="18"/>
          <w:szCs w:val="18"/>
          <w:color w:val="auto"/>
        </w:rPr>
        <w:t>” means any agreement between Syllable or any of its Subsidiaries and a third party, under which such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compensate Syllable or its Subsidiaries in exchange for Syllable’s or its Subsidiaries’ practice of the rights that are licensed to Syllable pursuant to Section 2.1 of this Agreement on behalf of or in collaboration with such third party, including without limitation, for commercialization and development activities with respect to Licensed Products.</w:t>
      </w:r>
    </w:p>
    <w:p>
      <w:pPr>
        <w:spacing w:after="0" w:line="116"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4"/>
          </w:cols>
          <w:pgMar w:left="436" w:top="273" w:right="539" w:bottom="1440" w:gutter="0" w:footer="0" w:header="0"/>
        </w:sectPr>
      </w:pPr>
    </w:p>
    <w:bookmarkStart w:id="503" w:name="page504"/>
    <w:bookmarkEnd w:id="503"/>
    <w:p>
      <w:pPr>
        <w:ind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1.22. </w:t>
      </w:r>
      <w:r>
        <w:rPr>
          <w:rFonts w:ascii="Arial" w:cs="Arial" w:eastAsia="Arial" w:hAnsi="Arial"/>
          <w:sz w:val="17"/>
          <w:szCs w:val="17"/>
          <w:color w:val="auto"/>
        </w:rPr>
        <w:t>“</w:t>
      </w:r>
      <w:r>
        <w:rPr>
          <w:rFonts w:ascii="Arial" w:cs="Arial" w:eastAsia="Arial" w:hAnsi="Arial"/>
          <w:sz w:val="17"/>
          <w:szCs w:val="17"/>
          <w:b w:val="1"/>
          <w:bCs w:val="1"/>
          <w:color w:val="auto"/>
        </w:rPr>
        <w:t>Sublicense</w:t>
      </w:r>
      <w:r>
        <w:rPr>
          <w:rFonts w:ascii="Arial" w:cs="Arial" w:eastAsia="Arial" w:hAnsi="Arial"/>
          <w:sz w:val="17"/>
          <w:szCs w:val="17"/>
          <w:color w:val="auto"/>
        </w:rPr>
        <w:t>” means: (a) any right granted, license given or agreement entered into by Syllable to or with any other person or entity, under or</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or permitting any use or exploitation of any of the Patent Rights or Software or otherwise permitting the development, manufacture, marketing, distribution, use and/or sale of Licensed Products; (b) any option or other right granted by Syllable to any other person or entity to negotiate for or receive any of the rights described under clause (a); or (c) any standstill or similar obligation undertaken by Syllable toward any other person or entity not to grant any of the rights described in clause (a) or (b) to any third party; in each case regardless of whether such grant of rights, license given or agreement entered into is referred to or is described as a sublicense.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any person or entity granted a Sublicense.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 Affiliate of Syllable that is Controlled (as defined in Section 1.1), directly or indirectly, by Syllable.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means the term of this Agreement as set forth in Section 10.1.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organization or entity other than Syllable, its Affiliates, and Harvard.</w:t>
      </w:r>
    </w:p>
    <w:p>
      <w:pPr>
        <w:spacing w:after="0" w:line="225" w:lineRule="exact"/>
        <w:rPr>
          <w:sz w:val="20"/>
          <w:szCs w:val="20"/>
          <w:color w:val="auto"/>
        </w:rPr>
      </w:pPr>
    </w:p>
    <w:p>
      <w:pPr>
        <w:jc w:val="both"/>
        <w:ind w:right="280" w:firstLine="440"/>
        <w:spacing w:after="0" w:line="266"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Third Party Proposed Product</w:t>
      </w:r>
      <w:r>
        <w:rPr>
          <w:rFonts w:ascii="Arial" w:cs="Arial" w:eastAsia="Arial" w:hAnsi="Arial"/>
          <w:sz w:val="18"/>
          <w:szCs w:val="18"/>
          <w:color w:val="auto"/>
        </w:rPr>
        <w:t>” means an actual or potential Licensed Product that is for an application or market segment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Harvard reasonably believes a Licensed Product is not being actively developed and commercialized by Syllable, its Subsidiaries or any Sublicensee hereunder.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Third Party Code</w:t>
      </w:r>
      <w:r>
        <w:rPr>
          <w:rFonts w:ascii="Arial" w:cs="Arial" w:eastAsia="Arial" w:hAnsi="Arial"/>
          <w:sz w:val="18"/>
          <w:szCs w:val="18"/>
          <w:color w:val="auto"/>
        </w:rPr>
        <w:t>” means any open source third party code contained in the Original Software.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Third Party Software License</w:t>
      </w:r>
      <w:r>
        <w:rPr>
          <w:rFonts w:ascii="Arial" w:cs="Arial" w:eastAsia="Arial" w:hAnsi="Arial"/>
          <w:sz w:val="18"/>
          <w:szCs w:val="18"/>
          <w:color w:val="auto"/>
        </w:rPr>
        <w:t>” means the open source license under which the Third Party Code may be used.</w:t>
      </w:r>
    </w:p>
    <w:p>
      <w:pPr>
        <w:spacing w:after="0" w:line="225"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a claim of an issued and unexpired patent within the Patent Rights that has not been (i) held permanently revoked,</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unpatentable or invalid by a decision of a court or governmental body of competent jurisdiction, unappealable or unappealed within the time allowed for appeal, (ii) rendered unenforceable through disclaimer or otherwise, (iii) abandoned or (iv) permanently lost through an interference or opposition proceeding without any right of appeal or review; or (b) a pending claim of a pending patent application within the Patent Rights that (i) has been asserted and continues to be prosecuted in good faith and (ii) has not been abandoned or finally rejected without the possibility of appeal or refiling.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69" w:right="479" w:bottom="1440" w:gutter="0" w:footer="0" w:header="0"/>
        </w:sectPr>
      </w:pPr>
    </w:p>
    <w:bookmarkStart w:id="504" w:name="page505"/>
    <w:bookmarkEnd w:id="504"/>
    <w:p>
      <w:pPr>
        <w:ind w:left="424" w:hanging="424"/>
        <w:spacing w:after="0"/>
        <w:tabs>
          <w:tab w:leader="none" w:pos="424"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License Grant</w:t>
      </w:r>
      <w:r>
        <w:rPr>
          <w:rFonts w:ascii="Arial" w:cs="Arial" w:eastAsia="Arial" w:hAnsi="Arial"/>
          <w:sz w:val="18"/>
          <w:szCs w:val="18"/>
          <w:color w:val="auto"/>
        </w:rPr>
        <w:t>. Subject to the terms and conditions set forth in this Agreement, Harvard hereby grants to Syllable the following:</w:t>
      </w:r>
    </w:p>
    <w:p>
      <w:pPr>
        <w:spacing w:after="0" w:line="117" w:lineRule="exact"/>
        <w:rPr>
          <w:sz w:val="20"/>
          <w:szCs w:val="20"/>
          <w:color w:val="auto"/>
        </w:rPr>
      </w:pPr>
    </w:p>
    <w:p>
      <w:pPr>
        <w:ind w:left="4" w:right="380" w:firstLine="991"/>
        <w:spacing w:after="0" w:line="266"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an exclusive (subject to Section 2.2 below), worldwide, royalty-bearing license (with the right to sublicense) under Harvard’s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and to the Existing Patent Rights solely to develop, make, have made, offer for sale, sell, have sold and import Licensed Products for use within the Field; and</w:t>
      </w:r>
    </w:p>
    <w:p>
      <w:pPr>
        <w:spacing w:after="0" w:line="176" w:lineRule="exact"/>
        <w:rPr>
          <w:sz w:val="20"/>
          <w:szCs w:val="20"/>
          <w:color w:val="auto"/>
        </w:rPr>
      </w:pPr>
    </w:p>
    <w:p>
      <w:pPr>
        <w:ind w:left="4" w:firstLine="991"/>
        <w:spacing w:after="0" w:line="294"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color w:val="auto"/>
        </w:rPr>
        <w:t>an exclusive (subject to Section 2.2 below), worldwide license under Harvard’s interest in the Harvard Original Copyrights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sublicense) to use, execute, reproduce, and to prepare Derivative Works based upon, the Software, solely to develop, make, have made, offer for sale, sell, have sold and import Licensed Products for use within the Field; provided, that the use of any Third Party Code included in the Software is subject to the terms and conditions of the Third Party Software License that applies to such Third Party Code; and provided, further, that Syllable’s right to prepare and use any Derivative Works under this Agreement is subject to Harvard’s ownership of the Software and the Harvard Original Copyrights and Harvard Improvement Copyrights, if any, and conditional upon the effectiveness of the license to such copyrights, granted hereunder.</w:t>
      </w:r>
    </w:p>
    <w:p>
      <w:pPr>
        <w:spacing w:after="0" w:line="16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2.2. Reservation of Certain Rights</w:t>
      </w:r>
      <w:r>
        <w:rPr>
          <w:rFonts w:ascii="Arial" w:cs="Arial" w:eastAsia="Arial" w:hAnsi="Arial"/>
          <w:sz w:val="18"/>
          <w:szCs w:val="18"/>
          <w:color w:val="auto"/>
        </w:rPr>
        <w:t>. Notwithstanding the exclusive licenses granted above, Harvard retains the following rights:</w:t>
      </w:r>
    </w:p>
    <w:p>
      <w:pPr>
        <w:spacing w:after="0" w:line="225" w:lineRule="exact"/>
        <w:rPr>
          <w:sz w:val="20"/>
          <w:szCs w:val="20"/>
          <w:color w:val="auto"/>
        </w:rPr>
      </w:pPr>
    </w:p>
    <w:p>
      <w:pPr>
        <w:jc w:val="both"/>
        <w:ind w:left="4" w:right="320" w:firstLine="991"/>
        <w:spacing w:after="0" w:line="266"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for itself and for other not-for-profit research organizations, to practice the Patent Rights and to use, execute, reproduce, modify,</w:t>
      </w:r>
      <w:r>
        <w:rPr>
          <w:rFonts w:ascii="Arial" w:cs="Arial" w:eastAsia="Arial" w:hAnsi="Arial"/>
          <w:sz w:val="18"/>
          <w:szCs w:val="18"/>
          <w:b w:val="1"/>
          <w:bCs w:val="1"/>
          <w:color w:val="auto"/>
        </w:rPr>
        <w:t xml:space="preserve"> </w:t>
      </w:r>
      <w:r>
        <w:rPr>
          <w:rFonts w:ascii="Arial" w:cs="Arial" w:eastAsia="Arial" w:hAnsi="Arial"/>
          <w:sz w:val="18"/>
          <w:szCs w:val="18"/>
          <w:color w:val="auto"/>
        </w:rPr>
        <w:t>display, perform, transmit, distribute internally or externally, and prepare derivative works based upon, the Software within the scope of the license granted above, solely for research, educational and scholarly purposes; and</w:t>
      </w:r>
    </w:p>
    <w:p>
      <w:pPr>
        <w:spacing w:after="0" w:line="176" w:lineRule="exact"/>
        <w:rPr>
          <w:sz w:val="20"/>
          <w:szCs w:val="20"/>
          <w:color w:val="auto"/>
        </w:rPr>
      </w:pPr>
    </w:p>
    <w:p>
      <w:pPr>
        <w:ind w:left="4" w:right="220" w:firstLine="991"/>
        <w:spacing w:after="0" w:line="277" w:lineRule="auto"/>
        <w:rPr>
          <w:sz w:val="20"/>
          <w:szCs w:val="20"/>
          <w:color w:val="auto"/>
        </w:rPr>
      </w:pPr>
      <w:r>
        <w:rPr>
          <w:rFonts w:ascii="Arial" w:cs="Arial" w:eastAsia="Arial" w:hAnsi="Arial"/>
          <w:sz w:val="17"/>
          <w:szCs w:val="17"/>
          <w:b w:val="1"/>
          <w:bCs w:val="1"/>
          <w:color w:val="auto"/>
        </w:rPr>
        <w:t xml:space="preserve">2.2.2. </w:t>
      </w:r>
      <w:r>
        <w:rPr>
          <w:rFonts w:ascii="Arial" w:cs="Arial" w:eastAsia="Arial" w:hAnsi="Arial"/>
          <w:sz w:val="17"/>
          <w:szCs w:val="17"/>
          <w:color w:val="auto"/>
        </w:rPr>
        <w:t>for one (1) for-profit third party to (i) practice the Existing Patent Rights and to (ii) use, execute, reproduce, modify, display,</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transmit, distribute internally the Software, and prepare derivative works based upon, the Software, in each such case, solely for such third party’s internal research and development purposes (and sublicensable only for those internal research purposes involving (a) third party vendors performing services for such third party, to the extent necessary for such vendors to perform such services and (b) research collaborators of such third party), as such right was secured under an agreement entered into prior to the Effective Date; and</w:t>
      </w:r>
    </w:p>
    <w:p>
      <w:pPr>
        <w:spacing w:after="0" w:line="168" w:lineRule="exact"/>
        <w:rPr>
          <w:sz w:val="20"/>
          <w:szCs w:val="20"/>
          <w:color w:val="auto"/>
        </w:rPr>
      </w:pPr>
    </w:p>
    <w:p>
      <w:pPr>
        <w:ind w:left="4" w:right="300" w:firstLine="991"/>
        <w:spacing w:after="0" w:line="266"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the United States federal government retains rights in the Patent Rights pursuant to 35 U.S.C. §§ 200-212 and 37 C.F.R. § 401 et</w:t>
      </w:r>
      <w:r>
        <w:rPr>
          <w:rFonts w:ascii="Arial" w:cs="Arial" w:eastAsia="Arial" w:hAnsi="Arial"/>
          <w:sz w:val="18"/>
          <w:szCs w:val="18"/>
          <w:b w:val="1"/>
          <w:bCs w:val="1"/>
          <w:color w:val="auto"/>
        </w:rPr>
        <w:t xml:space="preserve"> </w:t>
      </w:r>
      <w:r>
        <w:rPr>
          <w:rFonts w:ascii="Arial" w:cs="Arial" w:eastAsia="Arial" w:hAnsi="Arial"/>
          <w:sz w:val="18"/>
          <w:szCs w:val="18"/>
          <w:color w:val="auto"/>
        </w:rPr>
        <w:t>seq., and any right granted in this Agreement greater than that permitted under 35 U.S.C. §§ 200-212 or 37 C.F.R. § 401 et seq. will be subject to modification as may be required to conform to the provisions of those statutes and regulations.</w:t>
      </w:r>
    </w:p>
    <w:p>
      <w:pPr>
        <w:spacing w:after="0" w:line="176" w:lineRule="exact"/>
        <w:rPr>
          <w:sz w:val="20"/>
          <w:szCs w:val="20"/>
          <w:color w:val="auto"/>
        </w:rPr>
      </w:pPr>
    </w:p>
    <w:p>
      <w:pPr>
        <w:ind w:left="4" w:right="280" w:firstLine="440"/>
        <w:spacing w:after="0" w:line="261" w:lineRule="auto"/>
        <w:rPr>
          <w:sz w:val="20"/>
          <w:szCs w:val="20"/>
          <w:color w:val="auto"/>
        </w:rPr>
      </w:pPr>
      <w:r>
        <w:rPr>
          <w:rFonts w:ascii="Arial" w:cs="Arial" w:eastAsia="Arial" w:hAnsi="Arial"/>
          <w:sz w:val="18"/>
          <w:szCs w:val="18"/>
          <w:b w:val="1"/>
          <w:bCs w:val="1"/>
          <w:color w:val="auto"/>
        </w:rPr>
        <w:t>2.3. License Grant to Derivative Works</w:t>
      </w:r>
      <w:r>
        <w:rPr>
          <w:rFonts w:ascii="Arial" w:cs="Arial" w:eastAsia="Arial" w:hAnsi="Arial"/>
          <w:sz w:val="18"/>
          <w:szCs w:val="18"/>
          <w:color w:val="auto"/>
        </w:rPr>
        <w:t>. Syllable hereby grants to Harvard a non-exclusive, royalty-free license to use, execute, reproduce,</w:t>
      </w:r>
      <w:r>
        <w:rPr>
          <w:rFonts w:ascii="Arial" w:cs="Arial" w:eastAsia="Arial" w:hAnsi="Arial"/>
          <w:sz w:val="18"/>
          <w:szCs w:val="18"/>
          <w:b w:val="1"/>
          <w:bCs w:val="1"/>
          <w:color w:val="auto"/>
        </w:rPr>
        <w:t xml:space="preserve"> </w:t>
      </w:r>
      <w:r>
        <w:rPr>
          <w:rFonts w:ascii="Arial" w:cs="Arial" w:eastAsia="Arial" w:hAnsi="Arial"/>
          <w:sz w:val="18"/>
          <w:szCs w:val="18"/>
          <w:color w:val="auto"/>
        </w:rPr>
        <w:t>modify, display, perform, transmit, distribute internally, and prepare derivative works of, the Derivative Works solely for its internal research, educational and scholarly purposes. In connection with the foregoing, Syllable will deliver a copy of the Derivative Works to Harvard promptly after they become generally available.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69" w:right="479" w:bottom="1440" w:gutter="0" w:footer="0" w:header="0"/>
        </w:sectPr>
      </w:pPr>
    </w:p>
    <w:bookmarkStart w:id="505" w:name="page506"/>
    <w:bookmarkEnd w:id="505"/>
    <w:p>
      <w:pPr>
        <w:ind w:right="6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 Subsidiaries</w:t>
      </w:r>
      <w:r>
        <w:rPr>
          <w:rFonts w:ascii="Arial" w:cs="Arial" w:eastAsia="Arial" w:hAnsi="Arial"/>
          <w:sz w:val="17"/>
          <w:szCs w:val="17"/>
          <w:color w:val="auto"/>
        </w:rPr>
        <w:t>. The license granted to Syllable under Section 2.1 includes the right to have some or all of Syllable’s rights or obligations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exercised or performed by one or more of Syllable’s Subsidiaries solely on Syllable’s behalf; provided, however, that:</w:t>
      </w:r>
    </w:p>
    <w:p>
      <w:pPr>
        <w:spacing w:after="0" w:line="32" w:lineRule="exact"/>
        <w:rPr>
          <w:sz w:val="20"/>
          <w:szCs w:val="20"/>
          <w:color w:val="auto"/>
        </w:rPr>
      </w:pPr>
    </w:p>
    <w:p>
      <w:pPr>
        <w:ind w:right="80" w:firstLine="991"/>
        <w:spacing w:after="0" w:line="266"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no such Subsidiary shall be entitled to grant, directly or indirectly, to any third party any right of whatever nature under, or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or permitting any use or exploitation of, any of the Patent Rights or the Software, including any right to develop, manufacture, market or sell Licensed Products;</w:t>
      </w:r>
    </w:p>
    <w:p>
      <w:pPr>
        <w:spacing w:after="0" w:line="176"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any act or omission taken or made by a Subsidiary of Syllable under this Agreement will be deemed an act or omission by Syllable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2.5. Sublicenses.</w:t>
      </w:r>
    </w:p>
    <w:p>
      <w:pPr>
        <w:spacing w:after="0" w:line="225"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b w:val="1"/>
          <w:bCs w:val="1"/>
          <w:color w:val="auto"/>
        </w:rPr>
        <w:t>2.5.1. Sublicense Grant</w:t>
      </w:r>
      <w:r>
        <w:rPr>
          <w:rFonts w:ascii="Arial" w:cs="Arial" w:eastAsia="Arial" w:hAnsi="Arial"/>
          <w:sz w:val="18"/>
          <w:szCs w:val="18"/>
          <w:color w:val="auto"/>
        </w:rPr>
        <w:t>. Syllable and its direct Sublicensees (i.e. two sublicensing tiers only) will be entitled to grant Sublicenses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Syllable’s Affiliates (other than Subsidiaries) and Third Parties under the license granted pursuant to Section 2.1 subject to the terms of this Section 2.5. Any such Sublicense shall be negotiated at arms length, and shall be on terms and conditions in compliance with and not inconsistent with the terms of this Agreement.</w:t>
      </w:r>
    </w:p>
    <w:p>
      <w:pPr>
        <w:spacing w:after="0" w:line="180" w:lineRule="exact"/>
        <w:rPr>
          <w:sz w:val="20"/>
          <w:szCs w:val="20"/>
          <w:color w:val="auto"/>
        </w:rPr>
      </w:pPr>
    </w:p>
    <w:p>
      <w:pPr>
        <w:ind w:right="180" w:firstLine="991"/>
        <w:spacing w:after="0" w:line="282" w:lineRule="auto"/>
        <w:rPr>
          <w:sz w:val="20"/>
          <w:szCs w:val="20"/>
          <w:color w:val="auto"/>
        </w:rPr>
      </w:pPr>
      <w:r>
        <w:rPr>
          <w:rFonts w:ascii="Arial" w:cs="Arial" w:eastAsia="Arial" w:hAnsi="Arial"/>
          <w:sz w:val="18"/>
          <w:szCs w:val="18"/>
          <w:b w:val="1"/>
          <w:bCs w:val="1"/>
          <w:color w:val="auto"/>
        </w:rPr>
        <w:t>2.5.2. Sublicense Agreements</w:t>
      </w:r>
      <w:r>
        <w:rPr>
          <w:rFonts w:ascii="Arial" w:cs="Arial" w:eastAsia="Arial" w:hAnsi="Arial"/>
          <w:sz w:val="18"/>
          <w:szCs w:val="18"/>
          <w:color w:val="auto"/>
        </w:rPr>
        <w:t>. Syllable shall grant sublicenses pursuant to written agreements, which will be subject and subordinate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of this Agreement. Such Sublicense agreements will contain, among other things, the following:</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2.5.2.1. </w:t>
      </w:r>
      <w:r>
        <w:rPr>
          <w:rFonts w:ascii="Arial" w:cs="Arial" w:eastAsia="Arial" w:hAnsi="Arial"/>
          <w:sz w:val="18"/>
          <w:szCs w:val="18"/>
          <w:color w:val="auto"/>
        </w:rPr>
        <w:t>all provisions necessary to ensure Syllable’s ability to perform its obligations under this Agreement;</w:t>
      </w:r>
    </w:p>
    <w:p>
      <w:pPr>
        <w:spacing w:after="0" w:line="225" w:lineRule="exact"/>
        <w:rPr>
          <w:sz w:val="20"/>
          <w:szCs w:val="20"/>
          <w:color w:val="auto"/>
        </w:rPr>
      </w:pPr>
    </w:p>
    <w:p>
      <w:pPr>
        <w:ind w:right="380" w:firstLine="1432"/>
        <w:spacing w:after="0" w:line="312" w:lineRule="auto"/>
        <w:rPr>
          <w:sz w:val="20"/>
          <w:szCs w:val="20"/>
          <w:color w:val="auto"/>
        </w:rPr>
      </w:pPr>
      <w:r>
        <w:rPr>
          <w:rFonts w:ascii="Arial" w:cs="Arial" w:eastAsia="Arial" w:hAnsi="Arial"/>
          <w:sz w:val="17"/>
          <w:szCs w:val="17"/>
          <w:b w:val="1"/>
          <w:bCs w:val="1"/>
          <w:color w:val="auto"/>
        </w:rPr>
        <w:t xml:space="preserve">2.5.2.2. </w:t>
      </w:r>
      <w:r>
        <w:rPr>
          <w:rFonts w:ascii="Arial" w:cs="Arial" w:eastAsia="Arial" w:hAnsi="Arial"/>
          <w:sz w:val="17"/>
          <w:szCs w:val="17"/>
          <w:color w:val="auto"/>
        </w:rPr>
        <w:t>a section substantially the same as Article 9 of this Agreement, which also will state that the Indemnitees (as defined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9.1) are intended third party beneficiaries of such Sublicense agreement for the purpose of enforcing such indemnification;</w:t>
      </w:r>
    </w:p>
    <w:p>
      <w:pPr>
        <w:spacing w:after="0" w:line="140" w:lineRule="exact"/>
        <w:rPr>
          <w:sz w:val="20"/>
          <w:szCs w:val="20"/>
          <w:color w:val="auto"/>
        </w:rPr>
      </w:pPr>
    </w:p>
    <w:p>
      <w:pPr>
        <w:ind w:right="580" w:firstLine="1432"/>
        <w:spacing w:after="0" w:line="312" w:lineRule="auto"/>
        <w:rPr>
          <w:sz w:val="20"/>
          <w:szCs w:val="20"/>
          <w:color w:val="auto"/>
        </w:rPr>
      </w:pPr>
      <w:r>
        <w:rPr>
          <w:rFonts w:ascii="Arial" w:cs="Arial" w:eastAsia="Arial" w:hAnsi="Arial"/>
          <w:sz w:val="17"/>
          <w:szCs w:val="17"/>
          <w:b w:val="1"/>
          <w:bCs w:val="1"/>
          <w:color w:val="auto"/>
        </w:rPr>
        <w:t xml:space="preserve">2.5.2.3. </w:t>
      </w:r>
      <w:r>
        <w:rPr>
          <w:rFonts w:ascii="Arial" w:cs="Arial" w:eastAsia="Arial" w:hAnsi="Arial"/>
          <w:sz w:val="17"/>
          <w:szCs w:val="17"/>
          <w:color w:val="auto"/>
        </w:rPr>
        <w:t>a provision clarifying that, in the event of termination of the license set forth in Section 3.1 (in whole or in part (e.g.,</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in a particular country)), any existing Sublicense agreement shall terminate to the extent of such terminated license;</w:t>
      </w:r>
    </w:p>
    <w:p>
      <w:pPr>
        <w:spacing w:after="0" w:line="140" w:lineRule="exact"/>
        <w:rPr>
          <w:sz w:val="20"/>
          <w:szCs w:val="20"/>
          <w:color w:val="auto"/>
        </w:rPr>
      </w:pPr>
    </w:p>
    <w:p>
      <w:pPr>
        <w:ind w:right="520" w:firstLine="1432"/>
        <w:spacing w:after="0" w:line="282" w:lineRule="auto"/>
        <w:rPr>
          <w:sz w:val="20"/>
          <w:szCs w:val="20"/>
          <w:color w:val="auto"/>
        </w:rPr>
      </w:pPr>
      <w:r>
        <w:rPr>
          <w:rFonts w:ascii="Arial" w:cs="Arial" w:eastAsia="Arial" w:hAnsi="Arial"/>
          <w:sz w:val="18"/>
          <w:szCs w:val="18"/>
          <w:b w:val="1"/>
          <w:bCs w:val="1"/>
          <w:color w:val="auto"/>
        </w:rPr>
        <w:t xml:space="preserve">2.5.2.4. </w:t>
      </w:r>
      <w:r>
        <w:rPr>
          <w:rFonts w:ascii="Arial" w:cs="Arial" w:eastAsia="Arial" w:hAnsi="Arial"/>
          <w:sz w:val="18"/>
          <w:szCs w:val="18"/>
          <w:color w:val="auto"/>
        </w:rPr>
        <w:t>a provision prohibiting the Sublicensee from sublicensing its rights under such Sublicense agreement, except where a</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 is the direct Sublicensee of rights granted from Licensee hereunder; and</w:t>
      </w:r>
    </w:p>
    <w:p>
      <w:pPr>
        <w:spacing w:after="0" w:line="162" w:lineRule="exact"/>
        <w:rPr>
          <w:sz w:val="20"/>
          <w:szCs w:val="20"/>
          <w:color w:val="auto"/>
        </w:rPr>
      </w:pPr>
    </w:p>
    <w:p>
      <w:pPr>
        <w:ind w:right="280" w:firstLine="1432"/>
        <w:spacing w:after="0" w:line="261" w:lineRule="auto"/>
        <w:rPr>
          <w:sz w:val="20"/>
          <w:szCs w:val="20"/>
          <w:color w:val="auto"/>
        </w:rPr>
      </w:pPr>
      <w:r>
        <w:rPr>
          <w:rFonts w:ascii="Arial" w:cs="Arial" w:eastAsia="Arial" w:hAnsi="Arial"/>
          <w:sz w:val="18"/>
          <w:szCs w:val="18"/>
          <w:b w:val="1"/>
          <w:bCs w:val="1"/>
          <w:color w:val="auto"/>
        </w:rPr>
        <w:t xml:space="preserve">2.5.2.5. </w:t>
      </w:r>
      <w:r>
        <w:rPr>
          <w:rFonts w:ascii="Arial" w:cs="Arial" w:eastAsia="Arial" w:hAnsi="Arial"/>
          <w:sz w:val="18"/>
          <w:szCs w:val="18"/>
          <w:color w:val="auto"/>
        </w:rPr>
        <w:t>a provision prohibiting the Sublicensee from assigning the Sublicense agreement without the prior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Harvard, except that Sublicensee may assign the Sublicense agreement to a successor in connection with the merger, consolidation or sale of all or substantially all of its assets or that portion of its business to which the Sublicense agreement relates; provided, however, that any permitted assignee agrees in writing to be bound by the terms of such Sublicense agreement.</w:t>
      </w:r>
    </w:p>
    <w:p>
      <w:pPr>
        <w:spacing w:after="0" w:line="180" w:lineRule="exact"/>
        <w:rPr>
          <w:sz w:val="20"/>
          <w:szCs w:val="20"/>
          <w:color w:val="auto"/>
        </w:rPr>
      </w:pPr>
    </w:p>
    <w:p>
      <w:pPr>
        <w:ind w:firstLine="991"/>
        <w:spacing w:after="0" w:line="289" w:lineRule="auto"/>
        <w:rPr>
          <w:sz w:val="20"/>
          <w:szCs w:val="20"/>
          <w:color w:val="auto"/>
        </w:rPr>
      </w:pPr>
      <w:r>
        <w:rPr>
          <w:rFonts w:ascii="Arial" w:cs="Arial" w:eastAsia="Arial" w:hAnsi="Arial"/>
          <w:sz w:val="17"/>
          <w:szCs w:val="17"/>
          <w:b w:val="1"/>
          <w:bCs w:val="1"/>
          <w:color w:val="auto"/>
        </w:rPr>
        <w:t>2.5.3. Delivery of Sublicense Agreement</w:t>
      </w:r>
      <w:r>
        <w:rPr>
          <w:rFonts w:ascii="Arial" w:cs="Arial" w:eastAsia="Arial" w:hAnsi="Arial"/>
          <w:sz w:val="17"/>
          <w:szCs w:val="17"/>
          <w:color w:val="auto"/>
        </w:rPr>
        <w:t>. Syllable shall furnish Harvard with a fully executed copy of any Sublicense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after its execution. Harvard shall keep all such copies in its confidential files and shall use them solely for the purpose of monitoring Syllable’s and Sublicensees’ compliance with their obligations hereunder and enforcing Harvard’s rights under this Agreement.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69" w:right="479" w:bottom="1440" w:gutter="0" w:footer="0" w:header="0"/>
        </w:sectPr>
      </w:pPr>
    </w:p>
    <w:bookmarkStart w:id="506" w:name="page507"/>
    <w:bookmarkEnd w:id="506"/>
    <w:p>
      <w:pPr>
        <w:ind w:right="18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2.5.4. Breach by Sublicensee</w:t>
      </w:r>
      <w:r>
        <w:rPr>
          <w:rFonts w:ascii="Arial" w:cs="Arial" w:eastAsia="Arial" w:hAnsi="Arial"/>
          <w:sz w:val="18"/>
          <w:szCs w:val="18"/>
          <w:color w:val="auto"/>
        </w:rPr>
        <w:t>. Any act or omission by a Sublicensee that would have constituted a breach of this Agreement had it been</w:t>
      </w:r>
      <w:r>
        <w:rPr>
          <w:rFonts w:ascii="Arial" w:cs="Arial" w:eastAsia="Arial" w:hAnsi="Arial"/>
          <w:sz w:val="18"/>
          <w:szCs w:val="18"/>
          <w:b w:val="1"/>
          <w:bCs w:val="1"/>
          <w:color w:val="auto"/>
        </w:rPr>
        <w:t xml:space="preserve"> </w:t>
      </w:r>
      <w:r>
        <w:rPr>
          <w:rFonts w:ascii="Arial" w:cs="Arial" w:eastAsia="Arial" w:hAnsi="Arial"/>
          <w:sz w:val="18"/>
          <w:szCs w:val="18"/>
          <w:color w:val="auto"/>
        </w:rPr>
        <w:t>an act or omission by Syllable shall constitute a breach of this Agreement.</w:t>
      </w:r>
    </w:p>
    <w:p>
      <w:pPr>
        <w:spacing w:after="0" w:line="162" w:lineRule="exact"/>
        <w:rPr>
          <w:sz w:val="20"/>
          <w:szCs w:val="20"/>
          <w:color w:val="auto"/>
        </w:rPr>
      </w:pPr>
    </w:p>
    <w:p>
      <w:pPr>
        <w:ind w:right="240" w:firstLine="991"/>
        <w:spacing w:after="0" w:line="292" w:lineRule="auto"/>
        <w:rPr>
          <w:sz w:val="20"/>
          <w:szCs w:val="20"/>
          <w:color w:val="auto"/>
        </w:rPr>
      </w:pPr>
      <w:r>
        <w:rPr>
          <w:rFonts w:ascii="Arial" w:cs="Arial" w:eastAsia="Arial" w:hAnsi="Arial"/>
          <w:sz w:val="16"/>
          <w:szCs w:val="16"/>
          <w:b w:val="1"/>
          <w:bCs w:val="1"/>
          <w:color w:val="auto"/>
        </w:rPr>
        <w:t>2.5.5. Transactions with Affiliates</w:t>
      </w:r>
      <w:r>
        <w:rPr>
          <w:rFonts w:ascii="Arial" w:cs="Arial" w:eastAsia="Arial" w:hAnsi="Arial"/>
          <w:sz w:val="16"/>
          <w:szCs w:val="16"/>
          <w:color w:val="auto"/>
        </w:rPr>
        <w:t>. If Syllable transacts any business with an Affiliate of Syllable, other than a Subsidiary,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any contract for service or license or transfer of any intellectual property rights or other asset, then either (i) the terms of such business transaction must be no less favorable to Syllable than those that could be commercially obtained by Syllable in an arms-length transaction negotiated with an unrelated party, or (ii) the transaction must not affect the interests of Harvard or any co-owner with Harvard in an adverse manner relative to the effect of the transaction on other shareholders of Syllable, taking into account all interests of such shareholders, including those in capacities other than as shareholders of Syllable. A transaction shall be deemed to satisfy (i) or (ii) if the independent members of Syllable’s board of directors who have no interest in such transaction unanimously determine prior to such transaction that (i) or (ii) is met.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2.6. Option to Harvard Improvements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b w:val="1"/>
          <w:bCs w:val="1"/>
          <w:color w:val="auto"/>
        </w:rPr>
        <w:t>2.6.1. Grant</w:t>
      </w:r>
      <w:r>
        <w:rPr>
          <w:rFonts w:ascii="Arial" w:cs="Arial" w:eastAsia="Arial" w:hAnsi="Arial"/>
          <w:sz w:val="18"/>
          <w:szCs w:val="18"/>
          <w:color w:val="auto"/>
        </w:rPr>
        <w:t>. Subject to the provisions of this Section 2.6, Harvard hereby grants to Syllable an option to negotiate with Harvard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faith the terms of a license under Harvard’s interest in any Harvard Improvement Patent Rights and/or Harvard Improvement Copyrights (the “</w:t>
      </w:r>
      <w:r>
        <w:rPr>
          <w:rFonts w:ascii="Arial" w:cs="Arial" w:eastAsia="Arial" w:hAnsi="Arial"/>
          <w:sz w:val="18"/>
          <w:szCs w:val="18"/>
          <w:b w:val="1"/>
          <w:bCs w:val="1"/>
          <w:color w:val="auto"/>
        </w:rPr>
        <w:t>Harvard</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 Option</w:t>
      </w:r>
      <w:r>
        <w:rPr>
          <w:rFonts w:ascii="Arial" w:cs="Arial" w:eastAsia="Arial" w:hAnsi="Arial"/>
          <w:sz w:val="18"/>
          <w:szCs w:val="18"/>
          <w:color w:val="auto"/>
        </w:rPr>
        <w:t>”).</w:t>
      </w:r>
    </w:p>
    <w:p>
      <w:pPr>
        <w:spacing w:after="0" w:line="176" w:lineRule="exact"/>
        <w:rPr>
          <w:sz w:val="20"/>
          <w:szCs w:val="20"/>
          <w:color w:val="auto"/>
        </w:rPr>
      </w:pPr>
    </w:p>
    <w:p>
      <w:pPr>
        <w:ind w:right="140" w:firstLine="991"/>
        <w:spacing w:after="0" w:line="277" w:lineRule="auto"/>
        <w:rPr>
          <w:sz w:val="20"/>
          <w:szCs w:val="20"/>
          <w:color w:val="auto"/>
        </w:rPr>
      </w:pPr>
      <w:r>
        <w:rPr>
          <w:rFonts w:ascii="Arial" w:cs="Arial" w:eastAsia="Arial" w:hAnsi="Arial"/>
          <w:sz w:val="17"/>
          <w:szCs w:val="17"/>
          <w:b w:val="1"/>
          <w:bCs w:val="1"/>
          <w:color w:val="auto"/>
        </w:rPr>
        <w:t>2.6.2. Exercise</w:t>
      </w:r>
      <w:r>
        <w:rPr>
          <w:rFonts w:ascii="Arial" w:cs="Arial" w:eastAsia="Arial" w:hAnsi="Arial"/>
          <w:sz w:val="17"/>
          <w:szCs w:val="17"/>
          <w:color w:val="auto"/>
        </w:rPr>
        <w:t>. Harvard shall promptly provide Syllable with written notice of each Harvard Improvement Invention and Harvard</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Software reported to OTD. Syllable may exercise a Harvard Improvement Option by delivering to Harvard within [***] days following Syllable’s receipt of Harvard’s notice of such Harvard Improvement Invention or Harvard Improvement Software, written notice of Syllable’s intent to exercise such option, including a development plan for Licensed Products in the Field covered by the Harvard Improvement Patent Rights and/or Harvard Improvement Copyright [***] for Harvard’s review and approval, such approval not to be unreasonably withheld.</w:t>
      </w:r>
    </w:p>
    <w:p>
      <w:pPr>
        <w:spacing w:after="0" w:line="168" w:lineRule="exact"/>
        <w:rPr>
          <w:sz w:val="20"/>
          <w:szCs w:val="20"/>
          <w:color w:val="auto"/>
        </w:rPr>
      </w:pPr>
    </w:p>
    <w:p>
      <w:pPr>
        <w:ind w:right="400" w:firstLine="991"/>
        <w:spacing w:after="0" w:line="312" w:lineRule="auto"/>
        <w:rPr>
          <w:sz w:val="20"/>
          <w:szCs w:val="20"/>
          <w:color w:val="auto"/>
        </w:rPr>
      </w:pPr>
      <w:r>
        <w:rPr>
          <w:rFonts w:ascii="Arial" w:cs="Arial" w:eastAsia="Arial" w:hAnsi="Arial"/>
          <w:sz w:val="17"/>
          <w:szCs w:val="17"/>
          <w:b w:val="1"/>
          <w:bCs w:val="1"/>
          <w:color w:val="auto"/>
        </w:rPr>
        <w:t>2.6.3. Patent Costs</w:t>
      </w:r>
      <w:r>
        <w:rPr>
          <w:rFonts w:ascii="Arial" w:cs="Arial" w:eastAsia="Arial" w:hAnsi="Arial"/>
          <w:sz w:val="17"/>
          <w:szCs w:val="17"/>
          <w:color w:val="auto"/>
        </w:rPr>
        <w:t>. If Syllable exercises a Harvard Improvement Option for Harvard Improvement Patent Rights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2.6.2 above, Syllable shall reimburse Harvard for patent costs incurred by Harvard pursuant to Section 6.2.2 below.</w:t>
      </w:r>
    </w:p>
    <w:p>
      <w:pPr>
        <w:spacing w:after="0" w:line="140"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b w:val="1"/>
          <w:bCs w:val="1"/>
          <w:color w:val="auto"/>
        </w:rPr>
        <w:t>2.6.4. License</w:t>
      </w:r>
      <w:r>
        <w:rPr>
          <w:rFonts w:ascii="Arial" w:cs="Arial" w:eastAsia="Arial" w:hAnsi="Arial"/>
          <w:sz w:val="18"/>
          <w:szCs w:val="18"/>
          <w:color w:val="auto"/>
        </w:rPr>
        <w:t>. Subject to (i) any legal or contractual obligations of Harvard to any third parties and (ii) the agreement of the inventors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Harvard Improvement Invention or authors of such Harvard Improvement Software, or at the discretion of OTD in the absence of such agreement of the inventors or authors, upon Harvard’s approval of Syllable’s development plan, the parties shall enter into negotiations for a period of up to [***] days (the “Improvement Negotiation Period”) to amend this Agreement to include a grant of rights under Harvard’s interest in the Harvard Improvement Patent Rights and/or Harvard Improvement Copyright [***].</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69" w:right="479" w:bottom="1440" w:gutter="0" w:footer="0" w:header="0"/>
        </w:sectPr>
      </w:pPr>
    </w:p>
    <w:bookmarkStart w:id="507" w:name="page508"/>
    <w:bookmarkEnd w:id="507"/>
    <w:p>
      <w:pPr>
        <w:ind w:right="140" w:firstLine="99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2.6.5. Expiration</w:t>
      </w:r>
      <w:r>
        <w:rPr>
          <w:rFonts w:ascii="Arial" w:cs="Arial" w:eastAsia="Arial" w:hAnsi="Arial"/>
          <w:sz w:val="18"/>
          <w:szCs w:val="18"/>
          <w:color w:val="auto"/>
        </w:rPr>
        <w:t>. If Harvard and Syllable fail to reach agreement within such Improvement Negotiation Period, or if Harvard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Syllable’s development plan, then Syllable shall have no further rights with respect to the Harvard Improvement Patent Rights and/or Harvard Improvement Copyright and Harvard will be entitled to grant licenses to third parties to such Harvard Improvement Patent Rights and/or Harvard Improvement Copyrights without any further obligation to Syllable.</w:t>
      </w:r>
    </w:p>
    <w:p>
      <w:pPr>
        <w:spacing w:after="0" w:line="180"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2.7. Third Party Proposed Products</w:t>
      </w:r>
      <w:r>
        <w:rPr>
          <w:rFonts w:ascii="Arial" w:cs="Arial" w:eastAsia="Arial" w:hAnsi="Arial"/>
          <w:sz w:val="18"/>
          <w:szCs w:val="18"/>
          <w:color w:val="auto"/>
        </w:rPr>
        <w:t>. If a Third Party makes a bona fide proposal to Harvard for developing a Third Party Proposed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Harvard is interested in having such Third Party Proposed Product developed and commercialized, Harvard may, in its sole discretion, notify Syllable of the Third Party’s proposal, and shall include in such notification non-confidential information regarding the Third Party proposal. Within [***] days after the receipt of such notification from Harvard, Syllable shall notify Harvard whether it is interested in developing such Third Party Proposed Product.</w:t>
      </w:r>
    </w:p>
    <w:p>
      <w:pPr>
        <w:spacing w:after="0" w:line="183" w:lineRule="exact"/>
        <w:rPr>
          <w:sz w:val="20"/>
          <w:szCs w:val="20"/>
          <w:color w:val="auto"/>
        </w:rPr>
      </w:pPr>
    </w:p>
    <w:p>
      <w:pPr>
        <w:ind w:right="20" w:firstLine="991"/>
        <w:spacing w:after="0" w:line="256" w:lineRule="auto"/>
        <w:rPr>
          <w:sz w:val="20"/>
          <w:szCs w:val="20"/>
          <w:color w:val="auto"/>
        </w:rPr>
      </w:pPr>
      <w:r>
        <w:rPr>
          <w:rFonts w:ascii="Arial" w:cs="Arial" w:eastAsia="Arial" w:hAnsi="Arial"/>
          <w:sz w:val="18"/>
          <w:szCs w:val="18"/>
          <w:b w:val="1"/>
          <w:bCs w:val="1"/>
          <w:color w:val="auto"/>
        </w:rPr>
        <w:t xml:space="preserve">2.7.1. </w:t>
      </w:r>
      <w:r>
        <w:rPr>
          <w:rFonts w:ascii="Arial" w:cs="Arial" w:eastAsia="Arial" w:hAnsi="Arial"/>
          <w:sz w:val="18"/>
          <w:szCs w:val="18"/>
          <w:color w:val="auto"/>
        </w:rPr>
        <w:t>If Syllable notifies Harvard within such [***] day period that it is interested in developing such Third Party Proposed Product,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will negotiate in good faith and agree, during the [***] days following such notification, upon a development plan with respect to such Third Party Proposed Product, which development plan will be similar to the Development Plan with respect to other Licensed Products developed by Syllable, subject to necessary adjustments, [***]. After the parties agree on such development plan [***] within such [***] day period, Syllable shall be obligated (a) to use commercially reasonable efforts to develop and commercialize the Third Party Proposed Product in accordance with such new development plan [***].</w:t>
      </w:r>
    </w:p>
    <w:p>
      <w:pPr>
        <w:spacing w:after="0" w:line="18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b w:val="1"/>
          <w:bCs w:val="1"/>
          <w:color w:val="auto"/>
        </w:rPr>
        <w:t xml:space="preserve">2.7.2. </w:t>
      </w:r>
      <w:r>
        <w:rPr>
          <w:rFonts w:ascii="Arial" w:cs="Arial" w:eastAsia="Arial" w:hAnsi="Arial"/>
          <w:sz w:val="17"/>
          <w:szCs w:val="17"/>
          <w:color w:val="auto"/>
        </w:rPr>
        <w:t>If Syllable states in its notification to Harvard that it is not interested in developing such Third Party Proposed Product, Harvard will</w:t>
      </w:r>
      <w:r>
        <w:rPr>
          <w:rFonts w:ascii="Arial" w:cs="Arial" w:eastAsia="Arial" w:hAnsi="Arial"/>
          <w:sz w:val="17"/>
          <w:szCs w:val="17"/>
          <w:b w:val="1"/>
          <w:bCs w:val="1"/>
          <w:color w:val="auto"/>
        </w:rPr>
        <w:t xml:space="preserve"> </w:t>
      </w:r>
      <w:r>
        <w:rPr>
          <w:rFonts w:ascii="Arial" w:cs="Arial" w:eastAsia="Arial" w:hAnsi="Arial"/>
          <w:sz w:val="17"/>
          <w:szCs w:val="17"/>
          <w:color w:val="auto"/>
        </w:rPr>
        <w:t>introduce such Third Party to Syllable so that Syllable can negotiate the grant of a Sublicense to such Third Party with respect to such Third Party Proposed Product. Syllable shall grant a sublicense to such Third Party for the purpose of developing such Third Party Proposed Product, if such development would not reasonably be anticipated to undermine or jeopardize Syllable’s right and ability to develop and commercialize other Licensed Products that are either being developed and commercialized by Syllable at such time or are the subject of Syllable’s future development and commercialization plans to the extent previously disclosed in writing to Harvard, including, without limitation, because such Third Party Proposed Product would compete with a Licensed Product being developed and commercialized by Syllable or a Licensed Product that is the subject of Syllable’s future development and commercialization plans to the extent previously disclosed in writing to Harvard. Syllable will have [***] days (or such longer time as will be agreed to by the parties in writing) to negotiate and enter into such a Sublicense agreement with such Third Party on commercially reasonable terms.</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2.7.3. </w:t>
      </w:r>
      <w:r>
        <w:rPr>
          <w:rFonts w:ascii="Arial" w:cs="Arial" w:eastAsia="Arial" w:hAnsi="Arial"/>
          <w:sz w:val="18"/>
          <w:szCs w:val="18"/>
          <w:color w:val="auto"/>
        </w:rPr>
        <w:t>If Syllable fails to enter into such a Sublicense agreement within such [***] day period, then [***].</w:t>
      </w:r>
    </w:p>
    <w:p>
      <w:pPr>
        <w:spacing w:after="0" w:line="225" w:lineRule="exact"/>
        <w:rPr>
          <w:sz w:val="20"/>
          <w:szCs w:val="20"/>
          <w:color w:val="auto"/>
        </w:rPr>
      </w:pPr>
    </w:p>
    <w:p>
      <w:pPr>
        <w:ind w:right="580" w:firstLine="440"/>
        <w:spacing w:after="0" w:line="312" w:lineRule="auto"/>
        <w:rPr>
          <w:sz w:val="20"/>
          <w:szCs w:val="20"/>
          <w:color w:val="auto"/>
        </w:rPr>
      </w:pPr>
      <w:r>
        <w:rPr>
          <w:rFonts w:ascii="Arial" w:cs="Arial" w:eastAsia="Arial" w:hAnsi="Arial"/>
          <w:sz w:val="17"/>
          <w:szCs w:val="17"/>
          <w:b w:val="1"/>
          <w:bCs w:val="1"/>
          <w:color w:val="auto"/>
        </w:rPr>
        <w:t>2.8. Third Party Access to Licensed Products</w:t>
      </w:r>
      <w:r>
        <w:rPr>
          <w:rFonts w:ascii="Arial" w:cs="Arial" w:eastAsia="Arial" w:hAnsi="Arial"/>
          <w:sz w:val="17"/>
          <w:szCs w:val="17"/>
          <w:color w:val="auto"/>
        </w:rPr>
        <w:t>. If, after the [***] anniversary of the Effective Date, a third party notifies Harvard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Products are not available for purchase, Harvard shall first confirm such information with Syllable, and, if confirmed, [***].</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69" w:right="479" w:bottom="1440" w:gutter="0" w:footer="0" w:header="0"/>
        </w:sectPr>
      </w:pPr>
    </w:p>
    <w:bookmarkStart w:id="508" w:name="page509"/>
    <w:bookmarkEnd w:id="508"/>
    <w:p>
      <w:pPr>
        <w:ind w:left="4" w:right="8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2.9. No Other Grant of Rights</w:t>
      </w:r>
      <w:r>
        <w:rPr>
          <w:rFonts w:ascii="Arial" w:cs="Arial" w:eastAsia="Arial" w:hAnsi="Arial"/>
          <w:sz w:val="18"/>
          <w:szCs w:val="18"/>
          <w:color w:val="auto"/>
        </w:rPr>
        <w:t>. Except as expressly provided herein, nothing in this Agreement will be construed to confer any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license or other rights upon Syllable by implication, estoppel or otherwise as to any technology, intellectual property rights, products or biological materials of Harvard, or any other entity, regardless of whether such technology, intellectual property rights, products or biological materials are dominant, subordinate or otherwise related to any Patent Rights.</w:t>
      </w:r>
    </w:p>
    <w:p>
      <w:pPr>
        <w:spacing w:after="0" w:line="328" w:lineRule="exact"/>
        <w:rPr>
          <w:sz w:val="20"/>
          <w:szCs w:val="20"/>
          <w:color w:val="auto"/>
        </w:rPr>
      </w:pPr>
    </w:p>
    <w:p>
      <w:pPr>
        <w:ind w:left="444" w:right="7640" w:hanging="444"/>
        <w:spacing w:after="0" w:line="445" w:lineRule="auto"/>
        <w:tabs>
          <w:tab w:leader="none" w:pos="436"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Development and Commercialization</w:t>
      </w:r>
      <w:r>
        <w:rPr>
          <w:rFonts w:ascii="Arial" w:cs="Arial" w:eastAsia="Arial" w:hAnsi="Arial"/>
          <w:sz w:val="17"/>
          <w:szCs w:val="17"/>
          <w:color w:val="auto"/>
        </w:rPr>
        <w:t>.</w:t>
      </w:r>
      <w:r>
        <w:rPr>
          <w:rFonts w:ascii="Arial" w:cs="Arial" w:eastAsia="Arial" w:hAnsi="Arial"/>
          <w:sz w:val="17"/>
          <w:szCs w:val="17"/>
          <w:b w:val="1"/>
          <w:bCs w:val="1"/>
          <w:color w:val="auto"/>
        </w:rPr>
        <w:t xml:space="preserve"> 3.1. Diligence</w:t>
      </w:r>
      <w:r>
        <w:rPr>
          <w:rFonts w:ascii="Arial" w:cs="Arial" w:eastAsia="Arial" w:hAnsi="Arial"/>
          <w:sz w:val="17"/>
          <w:szCs w:val="17"/>
          <w:color w:val="auto"/>
        </w:rPr>
        <w:t>.</w:t>
      </w:r>
    </w:p>
    <w:p>
      <w:pPr>
        <w:spacing w:after="0" w:line="31" w:lineRule="exact"/>
        <w:rPr>
          <w:sz w:val="20"/>
          <w:szCs w:val="20"/>
          <w:color w:val="auto"/>
        </w:rPr>
      </w:pPr>
    </w:p>
    <w:p>
      <w:pPr>
        <w:ind w:left="4" w:right="100" w:firstLine="991"/>
        <w:spacing w:after="0" w:line="303" w:lineRule="auto"/>
        <w:rPr>
          <w:sz w:val="20"/>
          <w:szCs w:val="20"/>
          <w:color w:val="auto"/>
        </w:rPr>
      </w:pPr>
      <w:r>
        <w:rPr>
          <w:rFonts w:ascii="Arial" w:cs="Arial" w:eastAsia="Arial" w:hAnsi="Arial"/>
          <w:sz w:val="16"/>
          <w:szCs w:val="16"/>
          <w:b w:val="1"/>
          <w:bCs w:val="1"/>
          <w:color w:val="auto"/>
        </w:rPr>
        <w:t>3.1.1. Product Development</w:t>
      </w:r>
      <w:r>
        <w:rPr>
          <w:rFonts w:ascii="Arial" w:cs="Arial" w:eastAsia="Arial" w:hAnsi="Arial"/>
          <w:sz w:val="16"/>
          <w:szCs w:val="16"/>
          <w:color w:val="auto"/>
        </w:rPr>
        <w:t>. Syllable shall use commercially reasonable efforts and shall cause its Sublicensees to use commercially</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efforts: (a) to develop Licensed Products in accordance with the Development Plan; (b) to introduce Licensed Products into the commercial market; and (c) to market Licensed Products following such introduction into the market. In addition, Syllable, by itself or through its Subsidiaries or Sublicensees, shall achieve each of the Development Milestones for Licensed Products within the time periods specified in Exhibit 1.4.</w:t>
      </w:r>
    </w:p>
    <w:p>
      <w:pPr>
        <w:spacing w:after="0" w:line="151" w:lineRule="exact"/>
        <w:rPr>
          <w:sz w:val="20"/>
          <w:szCs w:val="20"/>
          <w:color w:val="auto"/>
        </w:rPr>
      </w:pPr>
    </w:p>
    <w:p>
      <w:pPr>
        <w:ind w:left="4" w:right="220" w:firstLine="991"/>
        <w:spacing w:after="0" w:line="282" w:lineRule="auto"/>
        <w:rPr>
          <w:sz w:val="20"/>
          <w:szCs w:val="20"/>
          <w:color w:val="auto"/>
        </w:rPr>
      </w:pPr>
      <w:r>
        <w:rPr>
          <w:rFonts w:ascii="Arial" w:cs="Arial" w:eastAsia="Arial" w:hAnsi="Arial"/>
          <w:sz w:val="18"/>
          <w:szCs w:val="18"/>
          <w:b w:val="1"/>
          <w:bCs w:val="1"/>
          <w:color w:val="auto"/>
        </w:rPr>
        <w:t>3.1.2. Threshold Funding</w:t>
      </w:r>
      <w:r>
        <w:rPr>
          <w:rFonts w:ascii="Arial" w:cs="Arial" w:eastAsia="Arial" w:hAnsi="Arial"/>
          <w:sz w:val="18"/>
          <w:szCs w:val="18"/>
          <w:color w:val="auto"/>
        </w:rPr>
        <w:t>. In support of these development and commercialization efforts, the Parties agree that the following funding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(each a “</w:t>
      </w:r>
      <w:r>
        <w:rPr>
          <w:rFonts w:ascii="Arial" w:cs="Arial" w:eastAsia="Arial" w:hAnsi="Arial"/>
          <w:sz w:val="18"/>
          <w:szCs w:val="18"/>
          <w:b w:val="1"/>
          <w:bCs w:val="1"/>
          <w:color w:val="auto"/>
        </w:rPr>
        <w:t>Threshold Funding Amount</w:t>
      </w:r>
      <w:r>
        <w:rPr>
          <w:rFonts w:ascii="Arial" w:cs="Arial" w:eastAsia="Arial" w:hAnsi="Arial"/>
          <w:sz w:val="18"/>
          <w:szCs w:val="18"/>
          <w:color w:val="auto"/>
        </w:rPr>
        <w:t>”) must be obtained by Syllable prior to the following dates:</w:t>
      </w:r>
    </w:p>
    <w:p>
      <w:pPr>
        <w:spacing w:after="0" w:line="54" w:lineRule="exact"/>
        <w:rPr>
          <w:sz w:val="20"/>
          <w:szCs w:val="20"/>
          <w:color w:val="auto"/>
        </w:rPr>
      </w:pPr>
    </w:p>
    <w:p>
      <w:pPr>
        <w:ind w:left="1424"/>
        <w:spacing w:after="0"/>
        <w:rPr>
          <w:sz w:val="20"/>
          <w:szCs w:val="20"/>
          <w:color w:val="auto"/>
        </w:rPr>
      </w:pPr>
      <w:r>
        <w:rPr>
          <w:rFonts w:ascii="Arial" w:cs="Arial" w:eastAsia="Arial" w:hAnsi="Arial"/>
          <w:sz w:val="18"/>
          <w:szCs w:val="18"/>
          <w:b w:val="1"/>
          <w:bCs w:val="1"/>
          <w:color w:val="auto"/>
        </w:rPr>
        <w:t xml:space="preserve">3.1.2.1. </w:t>
      </w:r>
      <w:r>
        <w:rPr>
          <w:rFonts w:ascii="Arial" w:cs="Arial" w:eastAsia="Arial" w:hAnsi="Arial"/>
          <w:sz w:val="18"/>
          <w:szCs w:val="18"/>
          <w:color w:val="auto"/>
        </w:rPr>
        <w:t>[***] by [***];</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b w:val="1"/>
          <w:bCs w:val="1"/>
          <w:color w:val="auto"/>
        </w:rPr>
        <w:t xml:space="preserve">3.1.2.2. </w:t>
      </w:r>
      <w:r>
        <w:rPr>
          <w:rFonts w:ascii="Arial" w:cs="Arial" w:eastAsia="Arial" w:hAnsi="Arial"/>
          <w:sz w:val="18"/>
          <w:szCs w:val="18"/>
          <w:color w:val="auto"/>
        </w:rPr>
        <w:t>An additional [***] by [***].</w:t>
      </w:r>
    </w:p>
    <w:p>
      <w:pPr>
        <w:spacing w:after="0" w:line="229"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The Threshold Funding Amounts may include proceeds resulting from equity financings, grants, strategic partnerships or sales revenue, but not as a result of a line of credit or other loan or debt instrument. Upon Harvard’s request, Syllable shall provide Harvard with satisfactory documentation reflecting its financial position in connection with these obligations. Failure to achieve the Threshold Funding Amounts by the time periods set forth in Sections 3.1.2.1 and 3.1.2.2 shall permit Harvard to terminate this Agreement upon written notice, in accordance with Section 10.2.2.</w:t>
      </w:r>
    </w:p>
    <w:p>
      <w:pPr>
        <w:spacing w:after="0" w:line="153" w:lineRule="exact"/>
        <w:rPr>
          <w:sz w:val="20"/>
          <w:szCs w:val="20"/>
          <w:color w:val="auto"/>
        </w:rPr>
      </w:pPr>
    </w:p>
    <w:p>
      <w:pPr>
        <w:ind w:left="4" w:right="800" w:firstLine="440"/>
        <w:spacing w:after="0" w:line="266" w:lineRule="auto"/>
        <w:rPr>
          <w:sz w:val="20"/>
          <w:szCs w:val="20"/>
          <w:color w:val="auto"/>
        </w:rPr>
      </w:pPr>
      <w:r>
        <w:rPr>
          <w:rFonts w:ascii="Arial" w:cs="Arial" w:eastAsia="Arial" w:hAnsi="Arial"/>
          <w:sz w:val="18"/>
          <w:szCs w:val="18"/>
          <w:b w:val="1"/>
          <w:bCs w:val="1"/>
          <w:color w:val="auto"/>
        </w:rPr>
        <w:t>3.2. Adjustments of Development Plan</w:t>
      </w:r>
      <w:r>
        <w:rPr>
          <w:rFonts w:ascii="Arial" w:cs="Arial" w:eastAsia="Arial" w:hAnsi="Arial"/>
          <w:sz w:val="18"/>
          <w:szCs w:val="18"/>
          <w:color w:val="auto"/>
        </w:rPr>
        <w:t>. Syllable will be entitled, from time to time, to make such adjustments to the then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Plan as Syllable believes, in its good faith judgment, are needed in order to improve Syllable’s ability to meet the Development Milestones.</w:t>
      </w:r>
    </w:p>
    <w:p>
      <w:pPr>
        <w:spacing w:after="0" w:line="176"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b w:val="1"/>
          <w:bCs w:val="1"/>
          <w:color w:val="auto"/>
        </w:rPr>
        <w:t>3.3. Reporting</w:t>
      </w:r>
      <w:r>
        <w:rPr>
          <w:rFonts w:ascii="Arial" w:cs="Arial" w:eastAsia="Arial" w:hAnsi="Arial"/>
          <w:sz w:val="17"/>
          <w:szCs w:val="17"/>
          <w:color w:val="auto"/>
        </w:rPr>
        <w:t>. Within [***] days after the end of each calendar year, Syllable shall furnish Harvard with a written report summarizing its,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and its Sublicensees’ efforts during the prior year to develop and commercialize Licensed Products, including: (a) research and development activities; (b) commercialization efforts; and (c) marketing efforts. Each report must contain a sufficient level of detail for Harvard to assess whether Syllable is in compliance with its obligations under Section 3.1 and a discussion of intended efforts for the then current year. Together with each report, Syllable shall provide Harvard with a copy of the then current Development Plan. The contents of each report shall be held and treated as confidential by Harvard, and used by Harvard solely for the purpose of monitoring Syllable’s and Sublicensees’ compliance with their obligations hereunder and enforcing Harvard’s rights under this Agreement.</w:t>
      </w:r>
    </w:p>
    <w:p>
      <w:pPr>
        <w:spacing w:after="0" w:line="10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69" w:right="499" w:bottom="1440" w:gutter="0" w:footer="0" w:header="0"/>
        </w:sectPr>
      </w:pPr>
    </w:p>
    <w:bookmarkStart w:id="509" w:name="page510"/>
    <w:bookmarkEnd w:id="509"/>
    <w:p>
      <w:pPr>
        <w:ind w:left="4"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 Failure to Meet Development Milestone; Opportunity to Cure</w:t>
      </w:r>
      <w:r>
        <w:rPr>
          <w:rFonts w:ascii="Arial" w:cs="Arial" w:eastAsia="Arial" w:hAnsi="Arial"/>
          <w:sz w:val="17"/>
          <w:szCs w:val="17"/>
          <w:color w:val="auto"/>
        </w:rPr>
        <w:t>. If Syllable believes that it will not achieve a Development Milestone, it</w:t>
      </w:r>
      <w:r>
        <w:rPr>
          <w:rFonts w:ascii="Arial" w:cs="Arial" w:eastAsia="Arial" w:hAnsi="Arial"/>
          <w:sz w:val="17"/>
          <w:szCs w:val="17"/>
          <w:b w:val="1"/>
          <w:bCs w:val="1"/>
          <w:color w:val="auto"/>
        </w:rPr>
        <w:t xml:space="preserve"> </w:t>
      </w:r>
      <w:r>
        <w:rPr>
          <w:rFonts w:ascii="Arial" w:cs="Arial" w:eastAsia="Arial" w:hAnsi="Arial"/>
          <w:sz w:val="17"/>
          <w:szCs w:val="17"/>
          <w:color w:val="auto"/>
        </w:rPr>
        <w:t>may notify Harvard in writing in advance of the relevant deadline. Syllable shall include with such notice (a) a reasonable explanation of the reasons for such failure [***] (“Explanation”) and (b) a reasonable, detailed, written plan for promptly achieving a reasonable extended and/or amended milestone (“Plan”). If Syllable so notifies Harvard, but fails to provide Harvard with both an Explanation and Plan, then Syllable will have an additional [***] days or until the original deadline of the relevant Development Milestone, whichever is later, to meet such milestone. Syllable’s failure to do so shall constitute a material breach of this Agreement and Harvard shall have the right to terminate this Agreement forthwith. If Syllable so notifies Harvard and provides Harvard with an Explanation and Plan, both of which are acceptable to Harvard in its reasonable discretion, then Exhibit 1.4 will be amended automatically to incorporate the extended and/or amended milestone set forth in the Plan. If Syllable so notifies Harvard and provides Harvard with an Explanation and Plan, but the Explanation is not acceptable to Harvard in its reasonable discretion (e.g., [***]), then Syllable will have an additional [***] days or until the original deadline of the relevant Development Milestone, whichever is later, to meet such milestone. Syllable’s failure to do so shall constitute a material breach of this Agreement and Harvard shall have the right to terminate this Agreement forthwith. For clarity, if Syllable fails to achieve a Development Milestone and does not avail itself of the procedure set forth in this Section 3.4, such failure shall be a material breach that entitles Harvard to proceed under Section 10.2.2.1.</w:t>
      </w:r>
    </w:p>
    <w:p>
      <w:pPr>
        <w:spacing w:after="0" w:line="324" w:lineRule="exact"/>
        <w:rPr>
          <w:sz w:val="20"/>
          <w:szCs w:val="20"/>
          <w:color w:val="auto"/>
        </w:rPr>
      </w:pPr>
    </w:p>
    <w:p>
      <w:pPr>
        <w:ind w:left="424" w:hanging="424"/>
        <w:spacing w:after="0"/>
        <w:tabs>
          <w:tab w:leader="none" w:pos="424"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 for Grant of License</w:t>
      </w:r>
      <w:r>
        <w:rPr>
          <w:rFonts w:ascii="Arial" w:cs="Arial" w:eastAsia="Arial" w:hAnsi="Arial"/>
          <w:sz w:val="18"/>
          <w:szCs w:val="18"/>
          <w:color w:val="auto"/>
        </w:rPr>
        <w:t>.</w:t>
      </w:r>
    </w:p>
    <w:p>
      <w:pPr>
        <w:spacing w:after="0" w:line="117"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b w:val="1"/>
          <w:bCs w:val="1"/>
          <w:color w:val="auto"/>
        </w:rPr>
        <w:t>4.1. License Issuance Fee</w:t>
      </w:r>
      <w:r>
        <w:rPr>
          <w:rFonts w:ascii="Arial" w:cs="Arial" w:eastAsia="Arial" w:hAnsi="Arial"/>
          <w:sz w:val="18"/>
          <w:szCs w:val="18"/>
          <w:color w:val="auto"/>
        </w:rPr>
        <w:t>. As partial consideration for the license granted hereunder in Harvard’s interest in the Existing Patent Rights, Syllable</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pay Harvard a non-refundable license fee of [***], due and payable within [***] days after the Effective Date.</w:t>
      </w:r>
    </w:p>
    <w:p>
      <w:pPr>
        <w:spacing w:after="0" w:line="162"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4.2. Annual License Maintenance Fees</w:t>
      </w:r>
      <w:r>
        <w:rPr>
          <w:rFonts w:ascii="Arial" w:cs="Arial" w:eastAsia="Arial" w:hAnsi="Arial"/>
          <w:sz w:val="18"/>
          <w:szCs w:val="18"/>
          <w:color w:val="auto"/>
        </w:rPr>
        <w:t>. As partial consideration for the license granted hereunder in Harvard’s interest in the Existing Patent</w:t>
      </w:r>
      <w:r>
        <w:rPr>
          <w:rFonts w:ascii="Arial" w:cs="Arial" w:eastAsia="Arial" w:hAnsi="Arial"/>
          <w:sz w:val="18"/>
          <w:szCs w:val="18"/>
          <w:b w:val="1"/>
          <w:bCs w:val="1"/>
          <w:color w:val="auto"/>
        </w:rPr>
        <w:t xml:space="preserve"> </w:t>
      </w:r>
      <w:r>
        <w:rPr>
          <w:rFonts w:ascii="Arial" w:cs="Arial" w:eastAsia="Arial" w:hAnsi="Arial"/>
          <w:sz w:val="18"/>
          <w:szCs w:val="18"/>
          <w:color w:val="auto"/>
        </w:rPr>
        <w:t>Rights, Syllable agrees to pay Harvard annual license maintenance fee as follows:</w:t>
      </w:r>
    </w:p>
    <w:p>
      <w:pPr>
        <w:spacing w:after="0" w:line="54"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4.2.1. </w:t>
      </w:r>
      <w:r>
        <w:rPr>
          <w:rFonts w:ascii="Arial" w:cs="Arial" w:eastAsia="Arial" w:hAnsi="Arial"/>
          <w:sz w:val="18"/>
          <w:szCs w:val="18"/>
          <w:color w:val="auto"/>
        </w:rPr>
        <w:t>[***] for [***]; and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4.2.2. </w:t>
      </w:r>
      <w:r>
        <w:rPr>
          <w:rFonts w:ascii="Arial" w:cs="Arial" w:eastAsia="Arial" w:hAnsi="Arial"/>
          <w:sz w:val="18"/>
          <w:szCs w:val="18"/>
          <w:color w:val="auto"/>
        </w:rPr>
        <w:t>[***] for [***].</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such fee shall be due and payable on the first business day (in January) of the calendar year to which such fee applies.</w:t>
      </w:r>
    </w:p>
    <w:p>
      <w:pPr>
        <w:spacing w:after="0" w:line="22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Each annual license maintenance fee shall be creditable against any royalty amounts payable under Section 4.4 below with respect to Licensed Products sold in the same calendar year that such annual license maintenance fee was due.</w:t>
      </w:r>
    </w:p>
    <w:p>
      <w:pPr>
        <w:spacing w:after="0" w:line="166"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4.3. Change of Control Milestone Payment</w:t>
      </w:r>
      <w:r>
        <w:rPr>
          <w:rFonts w:ascii="Arial" w:cs="Arial" w:eastAsia="Arial" w:hAnsi="Arial"/>
          <w:sz w:val="18"/>
          <w:szCs w:val="18"/>
          <w:color w:val="auto"/>
        </w:rPr>
        <w:t>. As partial consideration for the license granted hereunder in Harvard’s interest in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Patent Rights, Syllable shall pay Harvard the amount of Three Hundred Fifty Thousand U.S. Dollars ($350,000) within [***] days following the date of a Change of Control.</w:t>
      </w:r>
    </w:p>
    <w:p>
      <w:pPr>
        <w:spacing w:after="0" w:line="11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69" w:right="499" w:bottom="1440" w:gutter="0" w:footer="0" w:header="0"/>
        </w:sectPr>
      </w:pPr>
    </w:p>
    <w:bookmarkStart w:id="510" w:name="page511"/>
    <w:bookmarkEnd w:id="51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 Royalty on Net Sales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4.4.1. Rate</w:t>
      </w:r>
      <w:r>
        <w:rPr>
          <w:rFonts w:ascii="Arial" w:cs="Arial" w:eastAsia="Arial" w:hAnsi="Arial"/>
          <w:sz w:val="18"/>
          <w:szCs w:val="18"/>
          <w:color w:val="auto"/>
        </w:rPr>
        <w:t>. Syllable shall pay Harvard an amount equal to (i) [***] of Net Sales of Licensed Products.</w:t>
      </w:r>
    </w:p>
    <w:p>
      <w:pPr>
        <w:spacing w:after="0" w:line="225" w:lineRule="exact"/>
        <w:rPr>
          <w:sz w:val="20"/>
          <w:szCs w:val="20"/>
          <w:color w:val="auto"/>
        </w:rPr>
      </w:pPr>
    </w:p>
    <w:p>
      <w:pPr>
        <w:jc w:val="both"/>
        <w:ind w:right="140" w:firstLine="991"/>
        <w:spacing w:after="0" w:line="281" w:lineRule="auto"/>
        <w:rPr>
          <w:sz w:val="20"/>
          <w:szCs w:val="20"/>
          <w:color w:val="auto"/>
        </w:rPr>
      </w:pPr>
      <w:r>
        <w:rPr>
          <w:rFonts w:ascii="Arial" w:cs="Arial" w:eastAsia="Arial" w:hAnsi="Arial"/>
          <w:sz w:val="17"/>
          <w:szCs w:val="17"/>
          <w:b w:val="1"/>
          <w:bCs w:val="1"/>
          <w:color w:val="auto"/>
        </w:rPr>
        <w:t>4.4.2. Royalty Term</w:t>
      </w:r>
      <w:r>
        <w:rPr>
          <w:rFonts w:ascii="Arial" w:cs="Arial" w:eastAsia="Arial" w:hAnsi="Arial"/>
          <w:sz w:val="17"/>
          <w:szCs w:val="17"/>
          <w:color w:val="auto"/>
        </w:rPr>
        <w:t>. With respect to any Licensed Product covered by a Valid Claim, royalties will be payable on a country-by-country</w:t>
      </w:r>
      <w:r>
        <w:rPr>
          <w:rFonts w:ascii="Arial" w:cs="Arial" w:eastAsia="Arial" w:hAnsi="Arial"/>
          <w:sz w:val="17"/>
          <w:szCs w:val="17"/>
          <w:b w:val="1"/>
          <w:bCs w:val="1"/>
          <w:color w:val="auto"/>
        </w:rPr>
        <w:t xml:space="preserve"> </w:t>
      </w:r>
      <w:r>
        <w:rPr>
          <w:rFonts w:ascii="Arial" w:cs="Arial" w:eastAsia="Arial" w:hAnsi="Arial"/>
          <w:sz w:val="17"/>
          <w:szCs w:val="17"/>
          <w:color w:val="auto"/>
        </w:rPr>
        <w:t>basis until the last to expire Valid Claim covering such Licensed Product. With respect to any Licensed Product not covered, or no longer covered, by a Valid Claim but incorporating or making use of Software and/or Derivative Works, royalties will be payable on a country-by-country basis for a period of fifteen (15) years from the date of the First Commercial Sale of such Licensed Product in such country.</w:t>
      </w:r>
    </w:p>
    <w:p>
      <w:pPr>
        <w:spacing w:after="0" w:line="165" w:lineRule="exact"/>
        <w:rPr>
          <w:sz w:val="20"/>
          <w:szCs w:val="20"/>
          <w:color w:val="auto"/>
        </w:rPr>
      </w:pPr>
    </w:p>
    <w:p>
      <w:pPr>
        <w:ind w:right="20" w:firstLine="991"/>
        <w:spacing w:after="0" w:line="274" w:lineRule="auto"/>
        <w:rPr>
          <w:sz w:val="20"/>
          <w:szCs w:val="20"/>
          <w:color w:val="auto"/>
        </w:rPr>
      </w:pPr>
      <w:r>
        <w:rPr>
          <w:rFonts w:ascii="Arial" w:cs="Arial" w:eastAsia="Arial" w:hAnsi="Arial"/>
          <w:sz w:val="17"/>
          <w:szCs w:val="17"/>
          <w:b w:val="1"/>
          <w:bCs w:val="1"/>
          <w:color w:val="auto"/>
        </w:rPr>
        <w:t>4.4.3. Patent Challenge</w:t>
      </w:r>
      <w:r>
        <w:rPr>
          <w:rFonts w:ascii="Arial" w:cs="Arial" w:eastAsia="Arial" w:hAnsi="Arial"/>
          <w:sz w:val="17"/>
          <w:szCs w:val="17"/>
          <w:color w:val="auto"/>
        </w:rPr>
        <w:t>. If Syllable, its Subsidiary or a Sublicensee (“Challenging Party”) commences an action in which it challenges the</w:t>
      </w:r>
      <w:r>
        <w:rPr>
          <w:rFonts w:ascii="Arial" w:cs="Arial" w:eastAsia="Arial" w:hAnsi="Arial"/>
          <w:sz w:val="17"/>
          <w:szCs w:val="17"/>
          <w:b w:val="1"/>
          <w:bCs w:val="1"/>
          <w:color w:val="auto"/>
        </w:rPr>
        <w:t xml:space="preserve"> </w:t>
      </w:r>
      <w:r>
        <w:rPr>
          <w:rFonts w:ascii="Arial" w:cs="Arial" w:eastAsia="Arial" w:hAnsi="Arial"/>
          <w:sz w:val="17"/>
          <w:szCs w:val="17"/>
          <w:color w:val="auto"/>
        </w:rPr>
        <w:t>validity, enforceability or scope of any of the Patent Rights (a “Challenge Proceeding”), the royalty rate specified in Section 4.4.1 will be [***] with respect to Net Sales of Licensed Products that are sold during the pendency of such Challenge Proceeding. If the outcome of such Challenge Proceeding is a determination against the Challenging Party, (a) the royalty rate specified in Section 4.4.1 with respect to Net Sales of Licensed Products that are covered by the Patent Rights that are the subject of such Challenge Proceeding shall remain at such [***] rate and (b) Syllable shall [***]. If the outcome of such Challenge Proceeding is a determination in favor of the Challenging Party, [***].</w:t>
      </w:r>
    </w:p>
    <w:p>
      <w:pPr>
        <w:spacing w:after="0" w:line="173"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4.5. Non-Royalty Income</w:t>
      </w:r>
      <w:r>
        <w:rPr>
          <w:rFonts w:ascii="Arial" w:cs="Arial" w:eastAsia="Arial" w:hAnsi="Arial"/>
          <w:sz w:val="18"/>
          <w:szCs w:val="18"/>
          <w:color w:val="auto"/>
        </w:rPr>
        <w:t>. Syllable will pay Harvard an amount equal to [***] of all Non-Royalty Income received by Syllable or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Sublicenses entered into prior to [***], and [***] of all Non-Royalty Income received by Syllable or its Subsidiaries under Sublicenses entered into on or after [***].</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4.6. Equity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b w:val="1"/>
          <w:bCs w:val="1"/>
          <w:color w:val="auto"/>
        </w:rPr>
        <w:t>4.6.1. Issuance</w:t>
      </w:r>
      <w:r>
        <w:rPr>
          <w:rFonts w:ascii="Arial" w:cs="Arial" w:eastAsia="Arial" w:hAnsi="Arial"/>
          <w:sz w:val="17"/>
          <w:szCs w:val="17"/>
          <w:color w:val="auto"/>
        </w:rPr>
        <w:t>. As partial consideration for the license granted hereunder in Harvard’s interest in the Existing Patent Rights, and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a mutually-agreeable stock purchase or subscription agreement, upon the Effective Date, Syllable shall issue to Harvard a number of shares of Syllable’s common stock representing five percent (5%) of Syllable’s capital stock on a Fully Diluted Basis (as defined below) after giving effect to such issuance (the “Shares”). Syllable agrees that it shall grant Harvard the right to review and enter into any stockholders agreement (e.g., registration rights agreement) to the same extent that any other owner of common stock of Syllable has such rights regarding any such agreement. Upon the date of issuance of the Shares and, if applicable, any Anti-Dilution Shares, Syllable shall provide to Harvard a capitalization table (the “Cap Table”) which shall include the number of shares of capital stock of Syllable issued and outstanding, and the related ownership percentage, on a Fully Diluted Basis, of each of the owners of record of capital stock of Syllable, and the amount of investment made by each owner of record in exchange for such stock, all as of such date of issuance of the Shares.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69" w:right="439" w:bottom="1440" w:gutter="0" w:footer="0" w:header="0"/>
        </w:sectPr>
      </w:pPr>
    </w:p>
    <w:bookmarkStart w:id="511" w:name="page512"/>
    <w:bookmarkEnd w:id="511"/>
    <w:p>
      <w:pPr>
        <w:ind w:right="2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4.6.2. Representations and Warranties</w:t>
      </w:r>
      <w:r>
        <w:rPr>
          <w:rFonts w:ascii="Arial" w:cs="Arial" w:eastAsia="Arial" w:hAnsi="Arial"/>
          <w:sz w:val="18"/>
          <w:szCs w:val="18"/>
          <w:color w:val="auto"/>
        </w:rPr>
        <w:t>. Syllable represents and warrants to Harvard that, upon issuance of the Shares, and upon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Anti-Dilution Shares:</w:t>
      </w:r>
    </w:p>
    <w:p>
      <w:pPr>
        <w:spacing w:after="0" w:line="54" w:lineRule="exact"/>
        <w:rPr>
          <w:sz w:val="20"/>
          <w:szCs w:val="20"/>
          <w:color w:val="auto"/>
        </w:rPr>
      </w:pPr>
    </w:p>
    <w:p>
      <w:pPr>
        <w:ind w:right="180" w:firstLine="1432"/>
        <w:spacing w:after="0" w:line="282" w:lineRule="auto"/>
        <w:rPr>
          <w:sz w:val="20"/>
          <w:szCs w:val="20"/>
          <w:color w:val="auto"/>
        </w:rPr>
      </w:pPr>
      <w:r>
        <w:rPr>
          <w:rFonts w:ascii="Arial" w:cs="Arial" w:eastAsia="Arial" w:hAnsi="Arial"/>
          <w:sz w:val="18"/>
          <w:szCs w:val="18"/>
          <w:b w:val="1"/>
          <w:bCs w:val="1"/>
          <w:color w:val="auto"/>
        </w:rPr>
        <w:t xml:space="preserve">4.6.2.1. </w:t>
      </w:r>
      <w:r>
        <w:rPr>
          <w:rFonts w:ascii="Arial" w:cs="Arial" w:eastAsia="Arial" w:hAnsi="Arial"/>
          <w:sz w:val="18"/>
          <w:szCs w:val="18"/>
          <w:color w:val="auto"/>
        </w:rPr>
        <w:t>the Cap Table sets forth all of the capital stock of Syllable on a Fully-Diluted Basis as of the date of issuance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or the Anti-Dilution Shares.</w:t>
      </w:r>
    </w:p>
    <w:p>
      <w:pPr>
        <w:spacing w:after="0" w:line="162" w:lineRule="exact"/>
        <w:rPr>
          <w:sz w:val="20"/>
          <w:szCs w:val="20"/>
          <w:color w:val="auto"/>
        </w:rPr>
      </w:pPr>
    </w:p>
    <w:p>
      <w:pPr>
        <w:ind w:right="80" w:firstLine="1432"/>
        <w:spacing w:after="0" w:line="303" w:lineRule="auto"/>
        <w:rPr>
          <w:sz w:val="20"/>
          <w:szCs w:val="20"/>
          <w:color w:val="auto"/>
        </w:rPr>
      </w:pPr>
      <w:r>
        <w:rPr>
          <w:rFonts w:ascii="Arial" w:cs="Arial" w:eastAsia="Arial" w:hAnsi="Arial"/>
          <w:sz w:val="16"/>
          <w:szCs w:val="16"/>
          <w:b w:val="1"/>
          <w:bCs w:val="1"/>
          <w:color w:val="auto"/>
        </w:rPr>
        <w:t xml:space="preserve">4.6.2.2. </w:t>
      </w:r>
      <w:r>
        <w:rPr>
          <w:rFonts w:ascii="Arial" w:cs="Arial" w:eastAsia="Arial" w:hAnsi="Arial"/>
          <w:sz w:val="16"/>
          <w:szCs w:val="16"/>
          <w:color w:val="auto"/>
        </w:rPr>
        <w:t>other than as set forth in the Cap Table, as of the date of issuance of the Shares or Anti-Dilution Shares, as applicable, there</w:t>
      </w:r>
      <w:r>
        <w:rPr>
          <w:rFonts w:ascii="Arial" w:cs="Arial" w:eastAsia="Arial" w:hAnsi="Arial"/>
          <w:sz w:val="16"/>
          <w:szCs w:val="16"/>
          <w:b w:val="1"/>
          <w:bCs w:val="1"/>
          <w:color w:val="auto"/>
        </w:rPr>
        <w:t xml:space="preserve"> </w:t>
      </w:r>
      <w:r>
        <w:rPr>
          <w:rFonts w:ascii="Arial" w:cs="Arial" w:eastAsia="Arial" w:hAnsi="Arial"/>
          <w:sz w:val="16"/>
          <w:szCs w:val="16"/>
          <w:color w:val="auto"/>
        </w:rPr>
        <w:t>are no outstanding shares of capital stock, convertible securities, outstanding warrants, options or other rights to subscribe for, purchase or acquire from Syllable any capital stock of Syllable and there are no contracts or binding commitments providing for the issuance of, or the granting of rights to acquire, any capital stock of Syllable or under which Syllable is, or may become, obligated to issue any of its securities; and</w:t>
      </w:r>
    </w:p>
    <w:p>
      <w:pPr>
        <w:spacing w:after="0" w:line="151" w:lineRule="exact"/>
        <w:rPr>
          <w:sz w:val="20"/>
          <w:szCs w:val="20"/>
          <w:color w:val="auto"/>
        </w:rPr>
      </w:pPr>
    </w:p>
    <w:p>
      <w:pPr>
        <w:ind w:right="520" w:firstLine="1432"/>
        <w:spacing w:after="0" w:line="282" w:lineRule="auto"/>
        <w:rPr>
          <w:sz w:val="20"/>
          <w:szCs w:val="20"/>
          <w:color w:val="auto"/>
        </w:rPr>
      </w:pPr>
      <w:r>
        <w:rPr>
          <w:rFonts w:ascii="Arial" w:cs="Arial" w:eastAsia="Arial" w:hAnsi="Arial"/>
          <w:sz w:val="18"/>
          <w:szCs w:val="18"/>
          <w:b w:val="1"/>
          <w:bCs w:val="1"/>
          <w:color w:val="auto"/>
        </w:rPr>
        <w:t xml:space="preserve">4.6.2.3. </w:t>
      </w:r>
      <w:r>
        <w:rPr>
          <w:rFonts w:ascii="Arial" w:cs="Arial" w:eastAsia="Arial" w:hAnsi="Arial"/>
          <w:sz w:val="18"/>
          <w:szCs w:val="18"/>
          <w:color w:val="auto"/>
        </w:rPr>
        <w:t>the Shares or the Anti-Dilution Shares, as the case may be, when issued pursuant to the terms hereof, shall, upon such</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be duly authorized, validly issued, fully paid and nonassessable.</w:t>
      </w:r>
    </w:p>
    <w:p>
      <w:pPr>
        <w:spacing w:after="0" w:line="162" w:lineRule="exact"/>
        <w:rPr>
          <w:sz w:val="20"/>
          <w:szCs w:val="20"/>
          <w:color w:val="auto"/>
        </w:rPr>
      </w:pPr>
    </w:p>
    <w:p>
      <w:pPr>
        <w:ind w:right="40" w:firstLine="991"/>
        <w:spacing w:after="0" w:line="294" w:lineRule="auto"/>
        <w:rPr>
          <w:sz w:val="20"/>
          <w:szCs w:val="20"/>
          <w:color w:val="auto"/>
        </w:rPr>
      </w:pPr>
      <w:r>
        <w:rPr>
          <w:rFonts w:ascii="Arial" w:cs="Arial" w:eastAsia="Arial" w:hAnsi="Arial"/>
          <w:sz w:val="16"/>
          <w:szCs w:val="16"/>
          <w:b w:val="1"/>
          <w:bCs w:val="1"/>
          <w:color w:val="auto"/>
        </w:rPr>
        <w:t>4.6.3. Anti-Dilution</w:t>
      </w:r>
      <w:r>
        <w:rPr>
          <w:rFonts w:ascii="Arial" w:cs="Arial" w:eastAsia="Arial" w:hAnsi="Arial"/>
          <w:sz w:val="16"/>
          <w:szCs w:val="16"/>
          <w:color w:val="auto"/>
        </w:rPr>
        <w:t>. If, at any time until immediately after the achievement of the Initial Funding (as defined below), Syllable issues</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Securities that would cause Harvard’s shareholdings in Syllable to drop below five percent (5%) on a Fully-Diluted Basis, concurrently with the issuance of such Additional Securities, Syllable shall issue to Harvard for no additional consideration such additional number of shares of common stock of Syllable (the “Anti-Dilution Shares”) such that Harvard’s shareholdings in Syllable shall equal five percent (5%) of the capital stock of Syllable on a Fully Diluted Basis, as calculated after giving effect to the anti-dilutive issuance and the issuance of such Additional Securities through the Initial Funding. Such issuances shall continue only up to, and until the Initial Funding. Thereafter, no additional shares shall be due to Harvard.</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4.6.4. Definitions</w:t>
      </w:r>
      <w:r>
        <w:rPr>
          <w:rFonts w:ascii="Arial" w:cs="Arial" w:eastAsia="Arial" w:hAnsi="Arial"/>
          <w:sz w:val="18"/>
          <w:szCs w:val="18"/>
          <w:color w:val="auto"/>
        </w:rPr>
        <w:t>. The following terms shall have the following meanings:</w:t>
      </w:r>
    </w:p>
    <w:p>
      <w:pPr>
        <w:spacing w:after="0" w:line="117" w:lineRule="exact"/>
        <w:rPr>
          <w:sz w:val="20"/>
          <w:szCs w:val="20"/>
          <w:color w:val="auto"/>
        </w:rPr>
      </w:pPr>
    </w:p>
    <w:p>
      <w:pPr>
        <w:ind w:right="560" w:firstLine="1432"/>
        <w:spacing w:after="0" w:line="282" w:lineRule="auto"/>
        <w:rPr>
          <w:sz w:val="20"/>
          <w:szCs w:val="20"/>
          <w:color w:val="auto"/>
        </w:rPr>
      </w:pPr>
      <w:r>
        <w:rPr>
          <w:rFonts w:ascii="Arial" w:cs="Arial" w:eastAsia="Arial" w:hAnsi="Arial"/>
          <w:sz w:val="18"/>
          <w:szCs w:val="18"/>
          <w:b w:val="1"/>
          <w:bCs w:val="1"/>
          <w:color w:val="auto"/>
        </w:rPr>
        <w:t xml:space="preserve">4.6.4.1. </w:t>
      </w:r>
      <w:r>
        <w:rPr>
          <w:rFonts w:ascii="Arial" w:cs="Arial" w:eastAsia="Arial" w:hAnsi="Arial"/>
          <w:sz w:val="18"/>
          <w:szCs w:val="18"/>
          <w:color w:val="auto"/>
        </w:rPr>
        <w:t>“</w:t>
      </w:r>
      <w:r>
        <w:rPr>
          <w:rFonts w:ascii="Arial" w:cs="Arial" w:eastAsia="Arial" w:hAnsi="Arial"/>
          <w:sz w:val="18"/>
          <w:szCs w:val="18"/>
          <w:b w:val="1"/>
          <w:bCs w:val="1"/>
          <w:color w:val="auto"/>
        </w:rPr>
        <w:t>Additional Securities</w:t>
      </w:r>
      <w:r>
        <w:rPr>
          <w:rFonts w:ascii="Arial" w:cs="Arial" w:eastAsia="Arial" w:hAnsi="Arial"/>
          <w:sz w:val="18"/>
          <w:szCs w:val="18"/>
          <w:color w:val="auto"/>
        </w:rPr>
        <w:t>” shall mean shares of capital stock, convertible securities, warrants, options or other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subscribe for, purchase or acquire from Syllable any capital stock of Syllable.</w:t>
      </w:r>
    </w:p>
    <w:p>
      <w:pPr>
        <w:spacing w:after="0" w:line="162"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b w:val="1"/>
          <w:bCs w:val="1"/>
          <w:color w:val="auto"/>
        </w:rPr>
        <w:t xml:space="preserve">4.6.4.2. </w:t>
      </w:r>
      <w:r>
        <w:rPr>
          <w:rFonts w:ascii="Arial" w:cs="Arial" w:eastAsia="Arial" w:hAnsi="Arial"/>
          <w:sz w:val="18"/>
          <w:szCs w:val="18"/>
          <w:color w:val="auto"/>
        </w:rPr>
        <w:t>“</w:t>
      </w:r>
      <w:r>
        <w:rPr>
          <w:rFonts w:ascii="Arial" w:cs="Arial" w:eastAsia="Arial" w:hAnsi="Arial"/>
          <w:sz w:val="18"/>
          <w:szCs w:val="18"/>
          <w:b w:val="1"/>
          <w:bCs w:val="1"/>
          <w:color w:val="auto"/>
        </w:rPr>
        <w:t>Fully Diluted Basis</w:t>
      </w:r>
      <w:r>
        <w:rPr>
          <w:rFonts w:ascii="Arial" w:cs="Arial" w:eastAsia="Arial" w:hAnsi="Arial"/>
          <w:sz w:val="18"/>
          <w:szCs w:val="18"/>
          <w:color w:val="auto"/>
        </w:rPr>
        <w:t>” shall mean, as of a specified date, the number of shares of common stock of Syllable then-outstanding (assuming conversion of all outstanding stock other than common stock into common stock), plus the number of shares of common stock of Syllable issuable upon exercise or conversion of then-outstanding convertible securities, options, rights or warrants of Syllable (which shall be determined without regard to whether such securities are then vested, exercisable or convertible), plus the number of shares of common stock of Syllable that would be outstanding or acquirable, directly or indirectly, upon the issuance (and exercise, conversion or exchange, if applicable) of all securities reserved or otherwise intended for future issuance under any stock purchase, stock option or other compensatory benefit plan or arrangement of Syllable.</w:t>
      </w:r>
    </w:p>
    <w:p>
      <w:pPr>
        <w:spacing w:after="0" w:line="189" w:lineRule="exact"/>
        <w:rPr>
          <w:sz w:val="20"/>
          <w:szCs w:val="20"/>
          <w:color w:val="auto"/>
        </w:rPr>
      </w:pPr>
    </w:p>
    <w:p>
      <w:pPr>
        <w:ind w:right="100" w:firstLine="1432"/>
        <w:spacing w:after="0" w:line="282" w:lineRule="auto"/>
        <w:rPr>
          <w:sz w:val="20"/>
          <w:szCs w:val="20"/>
          <w:color w:val="auto"/>
        </w:rPr>
      </w:pPr>
      <w:r>
        <w:rPr>
          <w:rFonts w:ascii="Arial" w:cs="Arial" w:eastAsia="Arial" w:hAnsi="Arial"/>
          <w:sz w:val="18"/>
          <w:szCs w:val="18"/>
          <w:b w:val="1"/>
          <w:bCs w:val="1"/>
          <w:color w:val="auto"/>
        </w:rPr>
        <w:t xml:space="preserve">4.6.4.3. </w:t>
      </w:r>
      <w:r>
        <w:rPr>
          <w:rFonts w:ascii="Arial" w:cs="Arial" w:eastAsia="Arial" w:hAnsi="Arial"/>
          <w:sz w:val="18"/>
          <w:szCs w:val="18"/>
          <w:color w:val="auto"/>
        </w:rPr>
        <w:t>“</w:t>
      </w:r>
      <w:r>
        <w:rPr>
          <w:rFonts w:ascii="Arial" w:cs="Arial" w:eastAsia="Arial" w:hAnsi="Arial"/>
          <w:sz w:val="18"/>
          <w:szCs w:val="18"/>
          <w:b w:val="1"/>
          <w:bCs w:val="1"/>
          <w:color w:val="auto"/>
        </w:rPr>
        <w:t>Initial Funding</w:t>
      </w:r>
      <w:r>
        <w:rPr>
          <w:rFonts w:ascii="Arial" w:cs="Arial" w:eastAsia="Arial" w:hAnsi="Arial"/>
          <w:sz w:val="18"/>
          <w:szCs w:val="18"/>
          <w:color w:val="auto"/>
        </w:rPr>
        <w:t>” means cash investment in Syllable by third party investors of at least [***] in the aggregate, in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for capital stock of Syllable, or, if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69" w:right="459" w:bottom="1440" w:gutter="0" w:footer="0" w:header="0"/>
        </w:sectPr>
      </w:pPr>
    </w:p>
    <w:bookmarkStart w:id="512" w:name="page513"/>
    <w:bookmarkEnd w:id="512"/>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greater, the total amount invested under a bona fide “Series A” investment or other bona fide preferred stock financing pursuant to which Syllable issues shares of preferred stock of Syllable having rights and preferences senior to the common stock of Syllable to one or more independent institutional investors.</w:t>
      </w:r>
    </w:p>
    <w:p>
      <w:pPr>
        <w:spacing w:after="0" w:line="180" w:lineRule="exact"/>
        <w:rPr>
          <w:sz w:val="20"/>
          <w:szCs w:val="20"/>
          <w:color w:val="auto"/>
        </w:rPr>
      </w:pPr>
    </w:p>
    <w:p>
      <w:pPr>
        <w:ind w:left="4" w:right="160" w:firstLine="991"/>
        <w:spacing w:after="0" w:line="255" w:lineRule="auto"/>
        <w:rPr>
          <w:sz w:val="20"/>
          <w:szCs w:val="20"/>
          <w:color w:val="auto"/>
        </w:rPr>
      </w:pPr>
      <w:r>
        <w:rPr>
          <w:rFonts w:ascii="Arial" w:cs="Arial" w:eastAsia="Arial" w:hAnsi="Arial"/>
          <w:sz w:val="18"/>
          <w:szCs w:val="18"/>
          <w:b w:val="1"/>
          <w:bCs w:val="1"/>
          <w:color w:val="auto"/>
        </w:rPr>
        <w:t>4.6.5. Participation Rights</w:t>
      </w:r>
      <w:r>
        <w:rPr>
          <w:rFonts w:ascii="Arial" w:cs="Arial" w:eastAsia="Arial" w:hAnsi="Arial"/>
          <w:sz w:val="18"/>
          <w:szCs w:val="18"/>
          <w:color w:val="auto"/>
        </w:rPr>
        <w:t>. If Syllable proposes to sell any equity securities or securities that are convertible into equity securities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Syllable, then Harvard and/or its Assignee (as defined below) will have the right to purchase up to five percent (5%) of the securities issued in each offering on the same terms and conditions as are offered to the other purchasers in each such financing. Syllable shall provide [***] days advanced written notice of each such financing to Harvard and to any Assignee about which Harvard provided written notice to Syllable, including reasonable detail regarding the terms and purchasers in the financing. The term “Assignee” means (a) any entity to which Harvard’s participation rights under this section have been assigned either by Harvard or another entity, or (b) any entity that is controlled by Harvard. This paragraph shall survive the termination of this Agreement.</w:t>
      </w:r>
    </w:p>
    <w:p>
      <w:pPr>
        <w:spacing w:after="0" w:line="189" w:lineRule="exact"/>
        <w:rPr>
          <w:sz w:val="20"/>
          <w:szCs w:val="20"/>
          <w:color w:val="auto"/>
        </w:rPr>
      </w:pPr>
    </w:p>
    <w:p>
      <w:pPr>
        <w:ind w:left="4" w:right="220" w:firstLine="991"/>
        <w:spacing w:after="0" w:line="281" w:lineRule="auto"/>
        <w:rPr>
          <w:sz w:val="20"/>
          <w:szCs w:val="20"/>
          <w:color w:val="auto"/>
        </w:rPr>
      </w:pPr>
      <w:r>
        <w:rPr>
          <w:rFonts w:ascii="Arial" w:cs="Arial" w:eastAsia="Arial" w:hAnsi="Arial"/>
          <w:sz w:val="17"/>
          <w:szCs w:val="17"/>
          <w:b w:val="1"/>
          <w:bCs w:val="1"/>
          <w:color w:val="auto"/>
        </w:rPr>
        <w:t>4.6.6. Information Rights</w:t>
      </w:r>
      <w:r>
        <w:rPr>
          <w:rFonts w:ascii="Arial" w:cs="Arial" w:eastAsia="Arial" w:hAnsi="Arial"/>
          <w:sz w:val="17"/>
          <w:szCs w:val="17"/>
          <w:color w:val="auto"/>
        </w:rPr>
        <w:t>. Harvard and any Assignee shall be entitled to receive all financial statements, budgets and business plans of</w:t>
      </w:r>
      <w:r>
        <w:rPr>
          <w:rFonts w:ascii="Arial" w:cs="Arial" w:eastAsia="Arial" w:hAnsi="Arial"/>
          <w:sz w:val="17"/>
          <w:szCs w:val="17"/>
          <w:b w:val="1"/>
          <w:bCs w:val="1"/>
          <w:color w:val="auto"/>
        </w:rPr>
        <w:t xml:space="preserve"> </w:t>
      </w:r>
      <w:r>
        <w:rPr>
          <w:rFonts w:ascii="Arial" w:cs="Arial" w:eastAsia="Arial" w:hAnsi="Arial"/>
          <w:sz w:val="17"/>
          <w:szCs w:val="17"/>
          <w:color w:val="auto"/>
        </w:rPr>
        <w:t>Syllable that Syllable provides to any other shareholder of Syllable, at the same time and in the same format and under the same confidentiality obligations as provided to such other shareholders. Syllable shall provide such information related to this Agreement as reasonably necessary for Harvard to comply with state law for accounting for the value of investments, upon reasonable request by Syllable.</w:t>
      </w:r>
    </w:p>
    <w:p>
      <w:pPr>
        <w:spacing w:after="0" w:line="313" w:lineRule="exact"/>
        <w:rPr>
          <w:sz w:val="20"/>
          <w:szCs w:val="20"/>
          <w:color w:val="auto"/>
        </w:rPr>
      </w:pPr>
    </w:p>
    <w:p>
      <w:pPr>
        <w:ind w:left="444" w:right="8320" w:hanging="444"/>
        <w:spacing w:after="0" w:line="488" w:lineRule="auto"/>
        <w:tabs>
          <w:tab w:leader="none" w:pos="436" w:val="left"/>
        </w:tabs>
        <w:numPr>
          <w:ilvl w:val="0"/>
          <w:numId w:val="308"/>
        </w:numPr>
        <w:rPr>
          <w:rFonts w:ascii="Arial" w:cs="Arial" w:eastAsia="Arial" w:hAnsi="Arial"/>
          <w:sz w:val="16"/>
          <w:szCs w:val="16"/>
          <w:b w:val="1"/>
          <w:bCs w:val="1"/>
          <w:color w:val="auto"/>
        </w:rPr>
      </w:pPr>
      <w:r>
        <w:rPr>
          <w:rFonts w:ascii="Arial" w:cs="Arial" w:eastAsia="Arial" w:hAnsi="Arial"/>
          <w:sz w:val="16"/>
          <w:szCs w:val="16"/>
          <w:b w:val="1"/>
          <w:bCs w:val="1"/>
          <w:color w:val="auto"/>
        </w:rPr>
        <w:t>Reports; Payments; Records</w:t>
      </w:r>
      <w:r>
        <w:rPr>
          <w:rFonts w:ascii="Arial" w:cs="Arial" w:eastAsia="Arial" w:hAnsi="Arial"/>
          <w:sz w:val="16"/>
          <w:szCs w:val="16"/>
          <w:color w:val="auto"/>
        </w:rPr>
        <w:t>.</w:t>
      </w:r>
      <w:r>
        <w:rPr>
          <w:rFonts w:ascii="Arial" w:cs="Arial" w:eastAsia="Arial" w:hAnsi="Arial"/>
          <w:sz w:val="16"/>
          <w:szCs w:val="16"/>
          <w:b w:val="1"/>
          <w:bCs w:val="1"/>
          <w:color w:val="auto"/>
        </w:rPr>
        <w:t xml:space="preserve"> 5.1. Reports and Payments</w:t>
      </w:r>
      <w:r>
        <w:rPr>
          <w:rFonts w:ascii="Arial" w:cs="Arial" w:eastAsia="Arial" w:hAnsi="Arial"/>
          <w:sz w:val="16"/>
          <w:szCs w:val="16"/>
          <w:color w:val="auto"/>
        </w:rPr>
        <w:t>.</w:t>
      </w:r>
    </w:p>
    <w:p>
      <w:pPr>
        <w:spacing w:after="0" w:line="8" w:lineRule="exact"/>
        <w:rPr>
          <w:sz w:val="20"/>
          <w:szCs w:val="20"/>
          <w:color w:val="auto"/>
        </w:rPr>
      </w:pPr>
    </w:p>
    <w:p>
      <w:pPr>
        <w:ind w:left="4" w:firstLine="991"/>
        <w:spacing w:after="0" w:line="258" w:lineRule="auto"/>
        <w:rPr>
          <w:sz w:val="20"/>
          <w:szCs w:val="20"/>
          <w:color w:val="auto"/>
        </w:rPr>
      </w:pPr>
      <w:r>
        <w:rPr>
          <w:rFonts w:ascii="Arial" w:cs="Arial" w:eastAsia="Arial" w:hAnsi="Arial"/>
          <w:sz w:val="18"/>
          <w:szCs w:val="18"/>
          <w:b w:val="1"/>
          <w:bCs w:val="1"/>
          <w:color w:val="auto"/>
        </w:rPr>
        <w:t>5.1.1. Reports</w:t>
      </w:r>
      <w:r>
        <w:rPr>
          <w:rFonts w:ascii="Arial" w:cs="Arial" w:eastAsia="Arial" w:hAnsi="Arial"/>
          <w:sz w:val="18"/>
          <w:szCs w:val="18"/>
          <w:color w:val="auto"/>
        </w:rPr>
        <w:t>. Within [***] days after the conclusion of each calendar quarter commencing with the first calendar quarter in which Net</w:t>
      </w:r>
      <w:r>
        <w:rPr>
          <w:rFonts w:ascii="Arial" w:cs="Arial" w:eastAsia="Arial" w:hAnsi="Arial"/>
          <w:sz w:val="18"/>
          <w:szCs w:val="18"/>
          <w:b w:val="1"/>
          <w:bCs w:val="1"/>
          <w:color w:val="auto"/>
        </w:rPr>
        <w:t xml:space="preserve"> </w:t>
      </w:r>
      <w:r>
        <w:rPr>
          <w:rFonts w:ascii="Arial" w:cs="Arial" w:eastAsia="Arial" w:hAnsi="Arial"/>
          <w:sz w:val="18"/>
          <w:szCs w:val="18"/>
          <w:color w:val="auto"/>
        </w:rPr>
        <w:t>Sales are generated or Non-Royalty Income is received, Syllable shall deliver to Harvard a report containing the following information (in each instance, with a Licensed Product-by-Licensed Product and country-by-country breakdown) in the form of Exhibit 5.1.1. The contents of each report shall be held and treated as confidential by Harvard and used by Harvard solely for the purpose of monitoring Syllable’s and Sublicensees’ compliance with their obligations hereunder and enforcing Harvard’s rights under this Agreement.</w:t>
      </w:r>
    </w:p>
    <w:p>
      <w:pPr>
        <w:spacing w:after="0" w:line="183" w:lineRule="exact"/>
        <w:rPr>
          <w:sz w:val="20"/>
          <w:szCs w:val="20"/>
          <w:color w:val="auto"/>
        </w:rPr>
      </w:pPr>
    </w:p>
    <w:p>
      <w:pPr>
        <w:ind w:left="4" w:right="520" w:firstLine="1432"/>
        <w:spacing w:after="0" w:line="282" w:lineRule="auto"/>
        <w:rPr>
          <w:sz w:val="20"/>
          <w:szCs w:val="20"/>
          <w:color w:val="auto"/>
        </w:rPr>
      </w:pPr>
      <w:r>
        <w:rPr>
          <w:rFonts w:ascii="Arial" w:cs="Arial" w:eastAsia="Arial" w:hAnsi="Arial"/>
          <w:sz w:val="18"/>
          <w:szCs w:val="18"/>
          <w:b w:val="1"/>
          <w:bCs w:val="1"/>
          <w:color w:val="auto"/>
        </w:rPr>
        <w:t xml:space="preserve">5.1.1.1. </w:t>
      </w:r>
      <w:r>
        <w:rPr>
          <w:rFonts w:ascii="Arial" w:cs="Arial" w:eastAsia="Arial" w:hAnsi="Arial"/>
          <w:sz w:val="18"/>
          <w:szCs w:val="18"/>
          <w:color w:val="auto"/>
        </w:rPr>
        <w:t>the number of units of Licensed Products sold, leased or otherwise transferred by Invoicing Entities for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quarter (with a breakdown by type of Licensed Products);</w:t>
      </w:r>
    </w:p>
    <w:p>
      <w:pPr>
        <w:spacing w:after="0" w:line="162" w:lineRule="exact"/>
        <w:rPr>
          <w:sz w:val="20"/>
          <w:szCs w:val="20"/>
          <w:color w:val="auto"/>
        </w:rPr>
      </w:pPr>
    </w:p>
    <w:p>
      <w:pPr>
        <w:ind w:left="4" w:right="100" w:firstLine="1432"/>
        <w:spacing w:after="0" w:line="282" w:lineRule="auto"/>
        <w:rPr>
          <w:sz w:val="20"/>
          <w:szCs w:val="20"/>
          <w:color w:val="auto"/>
        </w:rPr>
      </w:pPr>
      <w:r>
        <w:rPr>
          <w:rFonts w:ascii="Arial" w:cs="Arial" w:eastAsia="Arial" w:hAnsi="Arial"/>
          <w:sz w:val="18"/>
          <w:szCs w:val="18"/>
          <w:b w:val="1"/>
          <w:bCs w:val="1"/>
          <w:color w:val="auto"/>
        </w:rPr>
        <w:t xml:space="preserve">5.1.1.2. </w:t>
      </w:r>
      <w:r>
        <w:rPr>
          <w:rFonts w:ascii="Arial" w:cs="Arial" w:eastAsia="Arial" w:hAnsi="Arial"/>
          <w:sz w:val="18"/>
          <w:szCs w:val="18"/>
          <w:color w:val="auto"/>
        </w:rPr>
        <w:t>the gross amount billed or invoiced for Licensed Products sold, leased or otherwise transferred by Invoicing Entities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calendar quarter;</w:t>
      </w:r>
    </w:p>
    <w:p>
      <w:pPr>
        <w:spacing w:after="0" w:line="162" w:lineRule="exact"/>
        <w:rPr>
          <w:sz w:val="20"/>
          <w:szCs w:val="20"/>
          <w:color w:val="auto"/>
        </w:rPr>
      </w:pPr>
    </w:p>
    <w:p>
      <w:pPr>
        <w:ind w:left="1424"/>
        <w:spacing w:after="0"/>
        <w:rPr>
          <w:sz w:val="20"/>
          <w:szCs w:val="20"/>
          <w:color w:val="auto"/>
        </w:rPr>
      </w:pPr>
      <w:r>
        <w:rPr>
          <w:rFonts w:ascii="Arial" w:cs="Arial" w:eastAsia="Arial" w:hAnsi="Arial"/>
          <w:sz w:val="17"/>
          <w:szCs w:val="17"/>
          <w:b w:val="1"/>
          <w:bCs w:val="1"/>
          <w:color w:val="auto"/>
        </w:rPr>
        <w:t xml:space="preserve">5.1.1.3. </w:t>
      </w:r>
      <w:r>
        <w:rPr>
          <w:rFonts w:ascii="Arial" w:cs="Arial" w:eastAsia="Arial" w:hAnsi="Arial"/>
          <w:sz w:val="17"/>
          <w:szCs w:val="17"/>
          <w:color w:val="auto"/>
        </w:rPr>
        <w:t>a calculation of Net Sales for the applicable calendar quarter, including an itemized listing of allowable deductions;</w:t>
      </w:r>
    </w:p>
    <w:p>
      <w:pPr>
        <w:spacing w:after="0" w:line="237" w:lineRule="exact"/>
        <w:rPr>
          <w:sz w:val="20"/>
          <w:szCs w:val="20"/>
          <w:color w:val="auto"/>
        </w:rPr>
      </w:pPr>
    </w:p>
    <w:p>
      <w:pPr>
        <w:ind w:left="1424"/>
        <w:spacing w:after="0"/>
        <w:rPr>
          <w:sz w:val="20"/>
          <w:szCs w:val="20"/>
          <w:color w:val="auto"/>
        </w:rPr>
      </w:pPr>
      <w:r>
        <w:rPr>
          <w:rFonts w:ascii="Arial" w:cs="Arial" w:eastAsia="Arial" w:hAnsi="Arial"/>
          <w:sz w:val="18"/>
          <w:szCs w:val="18"/>
          <w:b w:val="1"/>
          <w:bCs w:val="1"/>
          <w:color w:val="auto"/>
        </w:rPr>
        <w:t xml:space="preserve">5.1.1.4. </w:t>
      </w:r>
      <w:r>
        <w:rPr>
          <w:rFonts w:ascii="Arial" w:cs="Arial" w:eastAsia="Arial" w:hAnsi="Arial"/>
          <w:sz w:val="18"/>
          <w:szCs w:val="18"/>
          <w:color w:val="auto"/>
        </w:rPr>
        <w:t>a detailed accounting of all Non-Royalty Income received during the applicable calendar quarter;</w:t>
      </w:r>
    </w:p>
    <w:p>
      <w:pPr>
        <w:spacing w:after="0" w:line="16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3" w:right="459" w:bottom="1440" w:gutter="0" w:footer="0" w:header="0"/>
        </w:sectPr>
      </w:pPr>
    </w:p>
    <w:bookmarkStart w:id="513" w:name="page514"/>
    <w:bookmarkEnd w:id="513"/>
    <w:p>
      <w:pPr>
        <w:ind w:right="480" w:firstLine="143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5.1.1.5. </w:t>
      </w:r>
      <w:r>
        <w:rPr>
          <w:rFonts w:ascii="Arial" w:cs="Arial" w:eastAsia="Arial" w:hAnsi="Arial"/>
          <w:sz w:val="18"/>
          <w:szCs w:val="18"/>
          <w:color w:val="auto"/>
        </w:rPr>
        <w:t>the total amount payable to Harvard in U.S. Dollars on Net Sales and Non-Royalty Income for the applicable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together with the exchange rates used for conversion;</w:t>
      </w:r>
    </w:p>
    <w:p>
      <w:pPr>
        <w:spacing w:after="0" w:line="16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5.1.1.6. </w:t>
      </w:r>
      <w:r>
        <w:rPr>
          <w:rFonts w:ascii="Arial" w:cs="Arial" w:eastAsia="Arial" w:hAnsi="Arial"/>
          <w:sz w:val="18"/>
          <w:szCs w:val="18"/>
          <w:color w:val="auto"/>
        </w:rPr>
        <w:t>[***]; and</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5.1.1.7. </w:t>
      </w:r>
      <w:r>
        <w:rPr>
          <w:rFonts w:ascii="Arial" w:cs="Arial" w:eastAsia="Arial" w:hAnsi="Arial"/>
          <w:sz w:val="18"/>
          <w:szCs w:val="18"/>
          <w:color w:val="auto"/>
        </w:rPr>
        <w:t>a list of Licensed Products incorporating or using the Software.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Each such report shall be certified on behalf of Syllable as true, correct and complete in all material respects. If no amounts are due to Harvard for a particular calendar quarter, the report shall so state.</w:t>
      </w:r>
    </w:p>
    <w:p>
      <w:pPr>
        <w:spacing w:after="0" w:line="166" w:lineRule="exact"/>
        <w:rPr>
          <w:sz w:val="20"/>
          <w:szCs w:val="20"/>
          <w:color w:val="auto"/>
        </w:rPr>
      </w:pPr>
    </w:p>
    <w:p>
      <w:pPr>
        <w:ind w:right="40" w:firstLine="1432"/>
        <w:spacing w:after="0" w:line="282" w:lineRule="auto"/>
        <w:rPr>
          <w:sz w:val="20"/>
          <w:szCs w:val="20"/>
          <w:color w:val="auto"/>
        </w:rPr>
      </w:pPr>
      <w:r>
        <w:rPr>
          <w:rFonts w:ascii="Arial" w:cs="Arial" w:eastAsia="Arial" w:hAnsi="Arial"/>
          <w:sz w:val="18"/>
          <w:szCs w:val="18"/>
          <w:b w:val="1"/>
          <w:bCs w:val="1"/>
          <w:color w:val="auto"/>
        </w:rPr>
        <w:t>5.1.2. Payment</w:t>
      </w:r>
      <w:r>
        <w:rPr>
          <w:rFonts w:ascii="Arial" w:cs="Arial" w:eastAsia="Arial" w:hAnsi="Arial"/>
          <w:sz w:val="18"/>
          <w:szCs w:val="18"/>
          <w:color w:val="auto"/>
        </w:rPr>
        <w:t>. Within [***] days after the end of each calendar quarter, Syllable shall pay Harvard all amounts due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Net Sales and Non-Royalty Income for the applicable calendar quarter.</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5.2. Payment Currency</w:t>
      </w:r>
      <w:r>
        <w:rPr>
          <w:rFonts w:ascii="Arial" w:cs="Arial" w:eastAsia="Arial" w:hAnsi="Arial"/>
          <w:sz w:val="18"/>
          <w:szCs w:val="18"/>
          <w:color w:val="auto"/>
        </w:rPr>
        <w:t>. All payments due under this Agreement will be paid in U.S. Dollars. Conversion of foreign currency to U.S. Dollars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made at the conversion rate existing in the United States (as reported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on the last working day of the applicable calendar quarter. Such payments will be without deduction of exchange, collection or other charges.</w:t>
      </w:r>
    </w:p>
    <w:p>
      <w:pPr>
        <w:spacing w:after="0" w:line="176"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b w:val="1"/>
          <w:bCs w:val="1"/>
          <w:color w:val="auto"/>
        </w:rPr>
        <w:t>5.3. Records</w:t>
      </w:r>
      <w:r>
        <w:rPr>
          <w:rFonts w:ascii="Arial" w:cs="Arial" w:eastAsia="Arial" w:hAnsi="Arial"/>
          <w:sz w:val="16"/>
          <w:szCs w:val="16"/>
          <w:color w:val="auto"/>
        </w:rPr>
        <w:t>. Syllable shall maintain, and shall cause its Subsidiaries and Sublicensees to maintain, complete and accurate records of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that are made, used, sold, leased or transferred under this Agreement, any amounts payable to Harvard in relation to such Licensed Products, and all Non-Royalty Income received by Syllable and its Subsidiaries, which records shall contain sufficient information to permit Harvard to confirm the accuracy of any reports or notifications delivered to Harvard under Section 5.1. Syllable, its Subsidiaries and/or its Sublicensees, as applicable, shall retain such records relating to a given calendar quarter for at least [***] years after the conclusion of that calendar quarter, during which time Harvard will have the right, at its expense, to cause an independent, certified public accountant (or, in the event of a non-financial audit, other appropriate auditor) to inspect such records during normal business hours for the purposes of verifying the accuracy of any reports and payments delivered under this Agreement and Syllable’s compliance with the terms hereof. Such accountant or other auditor, as applicable, shall not disclose to Harvard any information other than information relating to the accuracy of reports and payments delivered under this Agreement. The parties shall reconcile any underpayment or overpayment within [***] days after the accountant delivers the results of the audit. If any audit performed under this Section 5.3 reveals an underpayment in excess of [***] in any calendar year, Syllable shall reimburse Harvard for all amounts incurred in connection with such audit. Harvard may exercise its rights under this Section 5.3 only [***] every year per audited entity and only with reasonable prior notice to the audited entity. All such records shall be held and treated as confidential by Harvard and used by Harvard solely for the purpose of monitoring Syllable’s and Sublicensees’ compliance with their obligations hereunder and enforcing Harvard’s rights under this Agreement.</w:t>
      </w:r>
    </w:p>
    <w:p>
      <w:pPr>
        <w:spacing w:after="0" w:line="171"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5.4. Late Payments</w:t>
      </w:r>
      <w:r>
        <w:rPr>
          <w:rFonts w:ascii="Arial" w:cs="Arial" w:eastAsia="Arial" w:hAnsi="Arial"/>
          <w:sz w:val="18"/>
          <w:szCs w:val="18"/>
          <w:color w:val="auto"/>
        </w:rPr>
        <w:t>. Any payments by Syllable that are not paid on or before the date such payments are due under this Agreement will bear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at the lower of (a) [***] and (b)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69" w:right="459" w:bottom="1440" w:gutter="0" w:footer="0" w:header="0"/>
        </w:sectPr>
      </w:pPr>
    </w:p>
    <w:bookmarkStart w:id="514" w:name="page515"/>
    <w:bookmarkEnd w:id="514"/>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maximum rate allowed by law. Interest will accrue beginning on the first day following the due date for payment and will be compounded quarterly. Payment of such interest by Syllable shall not limit, in any way, Harvard’s right to exercise any other remedies Harvard may have as a consequence of the lateness of any payment.</w:t>
      </w:r>
    </w:p>
    <w:p>
      <w:pPr>
        <w:spacing w:after="0" w:line="180" w:lineRule="exact"/>
        <w:rPr>
          <w:sz w:val="20"/>
          <w:szCs w:val="20"/>
          <w:color w:val="auto"/>
        </w:rPr>
      </w:pPr>
    </w:p>
    <w:p>
      <w:pPr>
        <w:jc w:val="both"/>
        <w:ind w:left="4" w:right="100" w:firstLine="440"/>
        <w:spacing w:after="0" w:line="347" w:lineRule="auto"/>
        <w:rPr>
          <w:sz w:val="20"/>
          <w:szCs w:val="20"/>
          <w:color w:val="auto"/>
        </w:rPr>
      </w:pPr>
      <w:r>
        <w:rPr>
          <w:rFonts w:ascii="Arial" w:cs="Arial" w:eastAsia="Arial" w:hAnsi="Arial"/>
          <w:sz w:val="16"/>
          <w:szCs w:val="16"/>
          <w:b w:val="1"/>
          <w:bCs w:val="1"/>
          <w:color w:val="auto"/>
        </w:rPr>
        <w:t>5.5. Payment Method</w:t>
      </w:r>
      <w:r>
        <w:rPr>
          <w:rFonts w:ascii="Arial" w:cs="Arial" w:eastAsia="Arial" w:hAnsi="Arial"/>
          <w:sz w:val="16"/>
          <w:szCs w:val="16"/>
          <w:color w:val="auto"/>
        </w:rPr>
        <w:t>. Each payment due to Harvard under this Agreement shall be paid by check or wire transfer of funds to Harvard’s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written instructions provided by Harvard. If made by wire transfer, such payments shall be marked so as to refer to this Agreement.</w:t>
      </w:r>
    </w:p>
    <w:p>
      <w:pPr>
        <w:spacing w:after="0" w:line="116" w:lineRule="exact"/>
        <w:rPr>
          <w:sz w:val="20"/>
          <w:szCs w:val="20"/>
          <w:color w:val="auto"/>
        </w:rPr>
      </w:pPr>
    </w:p>
    <w:p>
      <w:pPr>
        <w:ind w:left="4" w:right="260" w:firstLine="440"/>
        <w:spacing w:after="0" w:line="266" w:lineRule="auto"/>
        <w:rPr>
          <w:sz w:val="20"/>
          <w:szCs w:val="20"/>
          <w:color w:val="auto"/>
        </w:rPr>
      </w:pPr>
      <w:r>
        <w:rPr>
          <w:rFonts w:ascii="Arial" w:cs="Arial" w:eastAsia="Arial" w:hAnsi="Arial"/>
          <w:sz w:val="18"/>
          <w:szCs w:val="18"/>
          <w:b w:val="1"/>
          <w:bCs w:val="1"/>
          <w:color w:val="auto"/>
        </w:rPr>
        <w:t>5.6. Withholding and Similar Taxes</w:t>
      </w:r>
      <w:r>
        <w:rPr>
          <w:rFonts w:ascii="Arial" w:cs="Arial" w:eastAsia="Arial" w:hAnsi="Arial"/>
          <w:sz w:val="18"/>
          <w:szCs w:val="18"/>
          <w:color w:val="auto"/>
        </w:rPr>
        <w:t>. All amounts to be paid to Harvard pursuant to this Agreement shall be without deduction of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or other charges, and, specifically, without deduction of withholding or similar taxes or other government imposed fees or taxes, except as permitted in the definition of Net Sales.</w:t>
      </w:r>
    </w:p>
    <w:p>
      <w:pPr>
        <w:spacing w:after="0" w:line="176" w:lineRule="exact"/>
        <w:rPr>
          <w:sz w:val="20"/>
          <w:szCs w:val="20"/>
          <w:color w:val="auto"/>
        </w:rPr>
      </w:pPr>
    </w:p>
    <w:p>
      <w:pPr>
        <w:ind w:left="4" w:right="140" w:firstLine="440"/>
        <w:spacing w:after="0" w:line="282" w:lineRule="auto"/>
        <w:rPr>
          <w:sz w:val="20"/>
          <w:szCs w:val="20"/>
          <w:color w:val="auto"/>
        </w:rPr>
      </w:pPr>
      <w:r>
        <w:rPr>
          <w:rFonts w:ascii="Arial" w:cs="Arial" w:eastAsia="Arial" w:hAnsi="Arial"/>
          <w:sz w:val="18"/>
          <w:szCs w:val="18"/>
          <w:b w:val="1"/>
          <w:bCs w:val="1"/>
          <w:color w:val="auto"/>
        </w:rPr>
        <w:t>5.7. [</w:t>
      </w:r>
      <w:r>
        <w:rPr>
          <w:rFonts w:ascii="Arial" w:cs="Arial" w:eastAsia="Arial" w:hAnsi="Arial"/>
          <w:sz w:val="18"/>
          <w:szCs w:val="18"/>
          <w:color w:val="auto"/>
        </w:rPr>
        <w:t>***</w:t>
      </w:r>
      <w:r>
        <w:rPr>
          <w:rFonts w:ascii="Arial" w:cs="Arial" w:eastAsia="Arial" w:hAnsi="Arial"/>
          <w:sz w:val="18"/>
          <w:szCs w:val="18"/>
          <w:b w:val="1"/>
          <w:bCs w:val="1"/>
          <w:color w:val="auto"/>
        </w:rPr>
        <w:t>] Certificate</w:t>
      </w:r>
      <w:r>
        <w:rPr>
          <w:rFonts w:ascii="Arial" w:cs="Arial" w:eastAsia="Arial" w:hAnsi="Arial"/>
          <w:sz w:val="18"/>
          <w:szCs w:val="18"/>
          <w:color w:val="auto"/>
        </w:rPr>
        <w:t>. Upon written request by Harvard, made no more frequently than [***] per calendar year, an authorized officer of Syllable</w:t>
      </w:r>
      <w:r>
        <w:rPr>
          <w:rFonts w:ascii="Arial" w:cs="Arial" w:eastAsia="Arial" w:hAnsi="Arial"/>
          <w:sz w:val="18"/>
          <w:szCs w:val="18"/>
          <w:b w:val="1"/>
          <w:bCs w:val="1"/>
          <w:color w:val="auto"/>
        </w:rPr>
        <w:t xml:space="preserve"> </w:t>
      </w:r>
      <w:r>
        <w:rPr>
          <w:rFonts w:ascii="Arial" w:cs="Arial" w:eastAsia="Arial" w:hAnsi="Arial"/>
          <w:sz w:val="18"/>
          <w:szCs w:val="18"/>
          <w:color w:val="auto"/>
        </w:rPr>
        <w:t>shall deliver to Harvard, a certificate certifying that as of the date of delivery, Syllable [***].</w:t>
      </w:r>
    </w:p>
    <w:p>
      <w:pPr>
        <w:spacing w:after="0" w:line="162"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5.8. Material Transactions</w:t>
      </w:r>
      <w:r>
        <w:rPr>
          <w:rFonts w:ascii="Arial" w:cs="Arial" w:eastAsia="Arial" w:hAnsi="Arial"/>
          <w:sz w:val="18"/>
          <w:szCs w:val="18"/>
          <w:color w:val="auto"/>
        </w:rPr>
        <w:t>. In addition to and apart from Syllable’s separate obligations under Section 5.7 above, Syllable shall report to Harvard</w:t>
      </w:r>
      <w:r>
        <w:rPr>
          <w:rFonts w:ascii="Arial" w:cs="Arial" w:eastAsia="Arial" w:hAnsi="Arial"/>
          <w:sz w:val="18"/>
          <w:szCs w:val="18"/>
          <w:b w:val="1"/>
          <w:bCs w:val="1"/>
          <w:color w:val="auto"/>
        </w:rPr>
        <w:t xml:space="preserve"> </w:t>
      </w:r>
      <w:r>
        <w:rPr>
          <w:rFonts w:ascii="Arial" w:cs="Arial" w:eastAsia="Arial" w:hAnsi="Arial"/>
          <w:sz w:val="18"/>
          <w:szCs w:val="18"/>
          <w:color w:val="auto"/>
        </w:rPr>
        <w:t>within [***] days following any sale of capital stock of Syllable which represents [***] or more of Syllable’s outstanding stock on a Fully Diluted Basis, which report shall contain the type and aggregate amount of securities sold and the identity of the investors. Syllable shall report to Harvard any Change of Control within [***] days of the closing of such transaction.</w:t>
      </w:r>
    </w:p>
    <w:p>
      <w:pPr>
        <w:spacing w:after="0" w:line="328" w:lineRule="exact"/>
        <w:rPr>
          <w:sz w:val="20"/>
          <w:szCs w:val="20"/>
          <w:color w:val="auto"/>
        </w:rPr>
      </w:pPr>
    </w:p>
    <w:p>
      <w:pPr>
        <w:ind w:left="424" w:hanging="424"/>
        <w:spacing w:after="0"/>
        <w:tabs>
          <w:tab w:leader="none" w:pos="424"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Patent Filing, Prosecution and Maintenance</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b w:val="1"/>
          <w:bCs w:val="1"/>
          <w:color w:val="auto"/>
        </w:rPr>
        <w:t>6.1. Control</w:t>
      </w:r>
      <w:r>
        <w:rPr>
          <w:rFonts w:ascii="Arial" w:cs="Arial" w:eastAsia="Arial" w:hAnsi="Arial"/>
          <w:sz w:val="16"/>
          <w:szCs w:val="16"/>
          <w:color w:val="auto"/>
        </w:rPr>
        <w:t>. Harvard shall be responsible for the preparation, filing, prosecution, protection, defense and maintenance of all Patent Rights, using</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patent counsel reasonably acceptable to Syllable. Harvard shall: (a) instruct such patent counsel to furnish Syllable with copies of all correspondence relating to the Existing Patent Rights and Harvard Improvement Patent Rights from the United States Patent and Trademark Office (USPTO) and any other patent office, as well as copies of all proposed responses to such correspondence in time for Syllable to review and comment on such response; (b) give Syllable an opportunity to review the text of each patent application before filing; (c) consult with Syllable with respect thereto;</w:t>
      </w:r>
    </w:p>
    <w:p>
      <w:pPr>
        <w:spacing w:after="0" w:line="2" w:lineRule="exact"/>
        <w:rPr>
          <w:sz w:val="20"/>
          <w:szCs w:val="20"/>
          <w:color w:val="auto"/>
        </w:rPr>
      </w:pPr>
    </w:p>
    <w:p>
      <w:pPr>
        <w:ind w:left="4" w:right="160" w:hanging="4"/>
        <w:spacing w:after="0" w:line="253" w:lineRule="auto"/>
        <w:tabs>
          <w:tab w:leader="none" w:pos="259" w:val="left"/>
        </w:tabs>
        <w:numPr>
          <w:ilvl w:val="0"/>
          <w:numId w:val="310"/>
        </w:numPr>
        <w:rPr>
          <w:rFonts w:ascii="Arial" w:cs="Arial" w:eastAsia="Arial" w:hAnsi="Arial"/>
          <w:sz w:val="18"/>
          <w:szCs w:val="18"/>
          <w:color w:val="auto"/>
        </w:rPr>
      </w:pPr>
      <w:r>
        <w:rPr>
          <w:rFonts w:ascii="Arial" w:cs="Arial" w:eastAsia="Arial" w:hAnsi="Arial"/>
          <w:sz w:val="18"/>
          <w:szCs w:val="18"/>
          <w:color w:val="auto"/>
        </w:rPr>
        <w:t>supply Syllable with a copy of the application as filed, together with notice of its filing date and serial number; and (e) keep Syllable advised of the status of actual and prospective patent filings. Harvard shall give Syllable the opportunity to provide comments on and make requests of Harvard concerning the preparation, filing, prosecution, protection, defense and maintenance of the Patent Rights, and shall seriously consider such comments and requests; [***].</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6.2. Expenses</w:t>
      </w:r>
      <w:r>
        <w:rPr>
          <w:rFonts w:ascii="Arial" w:cs="Arial" w:eastAsia="Arial" w:hAnsi="Arial"/>
          <w:sz w:val="18"/>
          <w:szCs w:val="18"/>
          <w:color w:val="auto"/>
        </w:rPr>
        <w:t>.</w:t>
      </w:r>
    </w:p>
    <w:p>
      <w:pPr>
        <w:spacing w:after="0" w:line="225" w:lineRule="exact"/>
        <w:rPr>
          <w:sz w:val="20"/>
          <w:szCs w:val="20"/>
          <w:color w:val="auto"/>
        </w:rPr>
      </w:pPr>
    </w:p>
    <w:p>
      <w:pPr>
        <w:ind w:left="4" w:right="80" w:firstLine="991"/>
        <w:spacing w:after="0" w:line="258" w:lineRule="auto"/>
        <w:rPr>
          <w:sz w:val="20"/>
          <w:szCs w:val="20"/>
          <w:color w:val="auto"/>
        </w:rPr>
      </w:pPr>
      <w:r>
        <w:rPr>
          <w:rFonts w:ascii="Arial" w:cs="Arial" w:eastAsia="Arial" w:hAnsi="Arial"/>
          <w:sz w:val="18"/>
          <w:szCs w:val="18"/>
          <w:b w:val="1"/>
          <w:bCs w:val="1"/>
          <w:color w:val="auto"/>
        </w:rPr>
        <w:t>6.2.1. Existing Patent Rights</w:t>
      </w:r>
      <w:r>
        <w:rPr>
          <w:rFonts w:ascii="Arial" w:cs="Arial" w:eastAsia="Arial" w:hAnsi="Arial"/>
          <w:sz w:val="18"/>
          <w:szCs w:val="18"/>
          <w:color w:val="auto"/>
        </w:rPr>
        <w:t>. With respect to the Existing Patent Rights and subject to Section 6.3 below, Syllable shall reimburse</w:t>
      </w:r>
      <w:r>
        <w:rPr>
          <w:rFonts w:ascii="Arial" w:cs="Arial" w:eastAsia="Arial" w:hAnsi="Arial"/>
          <w:sz w:val="18"/>
          <w:szCs w:val="18"/>
          <w:b w:val="1"/>
          <w:bCs w:val="1"/>
          <w:color w:val="auto"/>
        </w:rPr>
        <w:t xml:space="preserve"> </w:t>
      </w:r>
      <w:r>
        <w:rPr>
          <w:rFonts w:ascii="Arial" w:cs="Arial" w:eastAsia="Arial" w:hAnsi="Arial"/>
          <w:sz w:val="18"/>
          <w:szCs w:val="18"/>
          <w:color w:val="auto"/>
        </w:rPr>
        <w:t>Harvard for all documented, out-of-pocket expenses incurred by Harvard pursuant to this Article 6 within [***] days after the date of each invoice from Harvard for such expenses. In addition, Syllable shall reimburse Harvard according to the schedule provided below as Exhibit 6.2.1 for all documented, out-of-pocket expenses incurred by Harvard prior to the Effective Date with respect to the preparation, filing, prosecution, protection and maintenance of the Existing Patent Rights.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3" w:right="459" w:bottom="1440" w:gutter="0" w:footer="0" w:header="0"/>
        </w:sectPr>
      </w:pPr>
    </w:p>
    <w:bookmarkStart w:id="515" w:name="page516"/>
    <w:bookmarkEnd w:id="515"/>
    <w:p>
      <w:pPr>
        <w:ind w:left="4" w:right="180" w:firstLine="991"/>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6.2.2. Harvard Improvement Patent Rights</w:t>
      </w:r>
      <w:r>
        <w:rPr>
          <w:rFonts w:ascii="Arial" w:cs="Arial" w:eastAsia="Arial" w:hAnsi="Arial"/>
          <w:sz w:val="16"/>
          <w:szCs w:val="16"/>
          <w:color w:val="auto"/>
        </w:rPr>
        <w:t>. If Syllable exercises a Harvard Improvement Option in accordance with Section 2.6.2</w:t>
      </w:r>
      <w:r>
        <w:rPr>
          <w:rFonts w:ascii="Arial" w:cs="Arial" w:eastAsia="Arial" w:hAnsi="Arial"/>
          <w:sz w:val="16"/>
          <w:szCs w:val="16"/>
          <w:b w:val="1"/>
          <w:bCs w:val="1"/>
          <w:color w:val="auto"/>
        </w:rPr>
        <w:t xml:space="preserve"> </w:t>
      </w:r>
      <w:r>
        <w:rPr>
          <w:rFonts w:ascii="Arial" w:cs="Arial" w:eastAsia="Arial" w:hAnsi="Arial"/>
          <w:sz w:val="16"/>
          <w:szCs w:val="16"/>
          <w:color w:val="auto"/>
        </w:rPr>
        <w:t>above, Syllable shall reimburse Harvard for all documented out-of-pocket expenses incurred by Harvard prior to and during the Improvement Negotiation Period in the preparation, filing, prosecution, protection, defense and maintenance of the applicable Harvard Improvement Patent Rights. Harvard shall submit periodic invoices and Syllable shall make payment within [***] days after the date of each such invoice.</w:t>
      </w:r>
    </w:p>
    <w:p>
      <w:pPr>
        <w:spacing w:after="0" w:line="151" w:lineRule="exact"/>
        <w:rPr>
          <w:sz w:val="20"/>
          <w:szCs w:val="20"/>
          <w:color w:val="auto"/>
        </w:rPr>
      </w:pPr>
    </w:p>
    <w:p>
      <w:pPr>
        <w:ind w:left="4" w:right="60" w:firstLine="440"/>
        <w:spacing w:after="0" w:line="292" w:lineRule="auto"/>
        <w:rPr>
          <w:sz w:val="20"/>
          <w:szCs w:val="20"/>
          <w:color w:val="auto"/>
        </w:rPr>
      </w:pPr>
      <w:r>
        <w:rPr>
          <w:rFonts w:ascii="Arial" w:cs="Arial" w:eastAsia="Arial" w:hAnsi="Arial"/>
          <w:sz w:val="16"/>
          <w:szCs w:val="16"/>
          <w:b w:val="1"/>
          <w:bCs w:val="1"/>
          <w:color w:val="auto"/>
        </w:rPr>
        <w:t>6.3. Termination of Certain Patent Rights</w:t>
      </w:r>
      <w:r>
        <w:rPr>
          <w:rFonts w:ascii="Arial" w:cs="Arial" w:eastAsia="Arial" w:hAnsi="Arial"/>
          <w:sz w:val="16"/>
          <w:szCs w:val="16"/>
          <w:color w:val="auto"/>
        </w:rPr>
        <w:t>. If Syllable decides that it does not wish to pay for the preparation, filing, prosecution, protection or</w:t>
      </w:r>
      <w:r>
        <w:rPr>
          <w:rFonts w:ascii="Arial" w:cs="Arial" w:eastAsia="Arial" w:hAnsi="Arial"/>
          <w:sz w:val="16"/>
          <w:szCs w:val="16"/>
          <w:b w:val="1"/>
          <w:bCs w:val="1"/>
          <w:color w:val="auto"/>
        </w:rPr>
        <w:t xml:space="preserve"> </w:t>
      </w:r>
      <w:r>
        <w:rPr>
          <w:rFonts w:ascii="Arial" w:cs="Arial" w:eastAsia="Arial" w:hAnsi="Arial"/>
          <w:sz w:val="16"/>
          <w:szCs w:val="16"/>
          <w:color w:val="auto"/>
        </w:rPr>
        <w:t>maintenance of any Patent Rights in a particular country (“Terminated Patent Rights”), Syllable shall provide Harvard with prompt written notice of such election. Upon receipt of such notice by Harvard, Syllable shall be released from its obligation to reimburse Harvard for the expenses incurred thereafter as to such Terminated Patent Rights; provided, however, that expenses authorized prior to the receipt by Harvard of such notice shall be deemed incurred prior to the notice. In the event of Syllable’s abandonment of any Patent Rights, any license granted by Harvard to Syllable hereunder with respect to such Terminated Patent Rights will terminate, and Syllable will have no rights whatsoever to exploit such Terminated Patent Rights. Harvard will then be free, without further notice or obligation to Syllable, to grant rights in and to such Terminated Patent Rights to third parties.</w:t>
      </w:r>
    </w:p>
    <w:p>
      <w:pPr>
        <w:spacing w:after="0" w:line="161" w:lineRule="exact"/>
        <w:rPr>
          <w:sz w:val="20"/>
          <w:szCs w:val="20"/>
          <w:color w:val="auto"/>
        </w:rPr>
      </w:pPr>
    </w:p>
    <w:p>
      <w:pPr>
        <w:ind w:left="4" w:right="40" w:firstLine="440"/>
        <w:spacing w:after="0" w:line="261" w:lineRule="auto"/>
        <w:rPr>
          <w:sz w:val="20"/>
          <w:szCs w:val="20"/>
          <w:color w:val="auto"/>
        </w:rPr>
      </w:pPr>
      <w:r>
        <w:rPr>
          <w:rFonts w:ascii="Arial" w:cs="Arial" w:eastAsia="Arial" w:hAnsi="Arial"/>
          <w:sz w:val="18"/>
          <w:szCs w:val="18"/>
          <w:b w:val="1"/>
          <w:bCs w:val="1"/>
          <w:color w:val="auto"/>
        </w:rPr>
        <w:t>6.4. Small Entity Designation</w:t>
      </w:r>
      <w:r>
        <w:rPr>
          <w:rFonts w:ascii="Arial" w:cs="Arial" w:eastAsia="Arial" w:hAnsi="Arial"/>
          <w:sz w:val="18"/>
          <w:szCs w:val="18"/>
          <w:color w:val="auto"/>
        </w:rPr>
        <w:t>. If Syllable, its Subsidiaries, any Sublicensee and/or any holder of an option to obtain a Sublicense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qualify, or at any point during the Term ceases to qualify, as an entity entitled to pay lesser fees as provided by the USPTO (i.e., a “small entity”) or the patent office of any other country, Syllable shall so notify Harvard immediately, in order to enable Harvard to comply with regulations regarding payment of fees with respect to Patent Rights.</w:t>
      </w:r>
    </w:p>
    <w:p>
      <w:pPr>
        <w:spacing w:after="0" w:line="180"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b w:val="1"/>
          <w:bCs w:val="1"/>
          <w:color w:val="auto"/>
        </w:rPr>
        <w:t>6.5. Marking</w:t>
      </w:r>
      <w:r>
        <w:rPr>
          <w:rFonts w:ascii="Arial" w:cs="Arial" w:eastAsia="Arial" w:hAnsi="Arial"/>
          <w:sz w:val="18"/>
          <w:szCs w:val="18"/>
          <w:color w:val="auto"/>
        </w:rPr>
        <w:t>. Syllable shall, and shall cause its Subsidiaries and Sublicensees to, mark all Licensed Products sold or otherwise disposed of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a manner as to conform with the patent laws and practice of the country to which such products are shipped or in which such products are sold for purposes of ensuring maximum enforceability of Patent Rights in such country.</w:t>
      </w:r>
    </w:p>
    <w:p>
      <w:pPr>
        <w:spacing w:after="0" w:line="324" w:lineRule="exact"/>
        <w:rPr>
          <w:sz w:val="20"/>
          <w:szCs w:val="20"/>
          <w:color w:val="auto"/>
        </w:rPr>
      </w:pPr>
    </w:p>
    <w:p>
      <w:pPr>
        <w:ind w:left="424" w:hanging="424"/>
        <w:spacing w:after="0"/>
        <w:tabs>
          <w:tab w:leader="none" w:pos="424"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of Existing Patent Rights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347" w:lineRule="auto"/>
        <w:rPr>
          <w:sz w:val="20"/>
          <w:szCs w:val="20"/>
          <w:color w:val="auto"/>
        </w:rPr>
      </w:pPr>
      <w:r>
        <w:rPr>
          <w:rFonts w:ascii="Arial" w:cs="Arial" w:eastAsia="Arial" w:hAnsi="Arial"/>
          <w:sz w:val="16"/>
          <w:szCs w:val="16"/>
          <w:b w:val="1"/>
          <w:bCs w:val="1"/>
          <w:color w:val="auto"/>
        </w:rPr>
        <w:t>7.1. Notice</w:t>
      </w:r>
      <w:r>
        <w:rPr>
          <w:rFonts w:ascii="Arial" w:cs="Arial" w:eastAsia="Arial" w:hAnsi="Arial"/>
          <w:sz w:val="16"/>
          <w:szCs w:val="16"/>
          <w:color w:val="auto"/>
        </w:rPr>
        <w:t>. In the event either party becomes aware of any possible or actual infringement of any Existing Patent Rights with respect to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in the Field (an “Infringement”), that party shall promptly notify the other party and provide it with details regarding such Infringement.</w:t>
      </w:r>
    </w:p>
    <w:p>
      <w:pPr>
        <w:spacing w:after="0" w:line="116" w:lineRule="exact"/>
        <w:rPr>
          <w:sz w:val="20"/>
          <w:szCs w:val="20"/>
          <w:color w:val="auto"/>
        </w:rPr>
      </w:pPr>
    </w:p>
    <w:p>
      <w:pPr>
        <w:ind w:left="4" w:right="40" w:firstLine="440"/>
        <w:spacing w:after="0" w:line="261" w:lineRule="auto"/>
        <w:rPr>
          <w:sz w:val="20"/>
          <w:szCs w:val="20"/>
          <w:color w:val="auto"/>
        </w:rPr>
      </w:pPr>
      <w:r>
        <w:rPr>
          <w:rFonts w:ascii="Arial" w:cs="Arial" w:eastAsia="Arial" w:hAnsi="Arial"/>
          <w:sz w:val="18"/>
          <w:szCs w:val="18"/>
          <w:b w:val="1"/>
          <w:bCs w:val="1"/>
          <w:color w:val="auto"/>
        </w:rPr>
        <w:t>7.2. Suit by Syllable</w:t>
      </w:r>
      <w:r>
        <w:rPr>
          <w:rFonts w:ascii="Arial" w:cs="Arial" w:eastAsia="Arial" w:hAnsi="Arial"/>
          <w:sz w:val="18"/>
          <w:szCs w:val="18"/>
          <w:color w:val="auto"/>
        </w:rPr>
        <w:t>. Syllable shall have the first right, but not the obligation, to take action in the prosecution, prevention, or termination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Before Syllable commences an action with respect to any Infringement, Syllable shall consider in good faith the views of Harvard and potential effects on the public interest in making its decision whether to sue. Should Syllable elect to bring suit against an infringer, Syllable shall keep Harvard reasonably</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4"/>
          </w:cols>
          <w:pgMar w:left="436" w:top="269" w:right="539" w:bottom="1440" w:gutter="0" w:footer="0" w:header="0"/>
        </w:sectPr>
      </w:pPr>
    </w:p>
    <w:bookmarkStart w:id="516" w:name="page517"/>
    <w:bookmarkEnd w:id="51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informed of the progress of the action and shall give Harvard a reasonable opportunity in advance to consult with Syllable and offer its views about major decisions affecting the litigation. Syllable shall give careful consideration to those views, but shall have the right to control the action; provided, however, that if Syllable fails to defend in good faith the validity and/or enforceability of the Patent Rights in the action or, or if Syllable’s license to a Valid Claim in the suit terminates, Harvard may elect to take control of the action pursuant to Section 7.3. In all cases, Syllable shall hold Harvard free, clear and harmless from and against any and all expenses, including reasonable attorneys’ fees, incurred by Harvard with respect to the prosecution, adjudication and/or settlement of such Infringement suit, including any related appeals (“</w:t>
      </w:r>
      <w:r>
        <w:rPr>
          <w:rFonts w:ascii="Arial" w:cs="Arial" w:eastAsia="Arial" w:hAnsi="Arial"/>
          <w:sz w:val="16"/>
          <w:szCs w:val="16"/>
          <w:b w:val="1"/>
          <w:bCs w:val="1"/>
          <w:color w:val="auto"/>
        </w:rPr>
        <w:t>Litigation Expenses</w:t>
      </w:r>
      <w:r>
        <w:rPr>
          <w:rFonts w:ascii="Arial" w:cs="Arial" w:eastAsia="Arial" w:hAnsi="Arial"/>
          <w:sz w:val="16"/>
          <w:szCs w:val="16"/>
          <w:color w:val="auto"/>
        </w:rPr>
        <w:t>”). Syllable shall reimburse any and all such Litigation Expenses incurred by Harvard within [***] days after receiving an invoice (including a copy of detailed time and expense entries from attorneys) from Harvard for the same. Syllable shall not compromise or settle such litigation without the prior written consent of Harvard, which consent shall not be unreasonably withheld or delayed. In the event Syllable exercises its right to sue pursuant to this Section 7.2, it shall first reimburse itself out of any sums recovered in such suit or in settlement thereof for all costs and expenses of every kind and character, including reasonable attorneys’ fees, necessarily incurred in the prosecution of any such suit. If, after such reimbursement, any funds shall remain from said recovery, then [***].</w:t>
      </w:r>
    </w:p>
    <w:p>
      <w:pPr>
        <w:spacing w:after="0" w:line="168"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b w:val="1"/>
          <w:bCs w:val="1"/>
          <w:color w:val="auto"/>
        </w:rPr>
        <w:t>7.3. Suit by Harvard</w:t>
      </w:r>
      <w:r>
        <w:rPr>
          <w:rFonts w:ascii="Arial" w:cs="Arial" w:eastAsia="Arial" w:hAnsi="Arial"/>
          <w:sz w:val="17"/>
          <w:szCs w:val="17"/>
          <w:color w:val="auto"/>
        </w:rPr>
        <w:t>. If Syllable does not take action in the prosecution, prevention, or termination of any Infringement pursuant to Section 7.2</w:t>
      </w:r>
      <w:r>
        <w:rPr>
          <w:rFonts w:ascii="Arial" w:cs="Arial" w:eastAsia="Arial" w:hAnsi="Arial"/>
          <w:sz w:val="17"/>
          <w:szCs w:val="17"/>
          <w:b w:val="1"/>
          <w:bCs w:val="1"/>
          <w:color w:val="auto"/>
        </w:rPr>
        <w:t xml:space="preserve"> </w:t>
      </w:r>
      <w:r>
        <w:rPr>
          <w:rFonts w:ascii="Arial" w:cs="Arial" w:eastAsia="Arial" w:hAnsi="Arial"/>
          <w:sz w:val="17"/>
          <w:szCs w:val="17"/>
          <w:color w:val="auto"/>
        </w:rPr>
        <w:t>above, and has not commenced negotiations with the infringer for the discontinuance of said Infringement, within [***] days after receipt of notice to Syllable by Harvard of the existence of an Infringement, Harvard may elect to do so. Should Harvard elect to bring suit against an infringer and Syllable is joined as party plaintiff in any such suit, Syllable shall have the right to approve the counsel selected by Harvard to represent Harvard and Syllable, such approval not to be unreasonably withheld. Any and all expenses, including reasonable attorneys’ fees, incurred by Syllable with respect to the prosecution, adjudication and/or settlement of such suit, including any related appeals, shall be paid for entirely by Harvard and Harvard shall hold Syllable free, clear and harmless from and against any and all such expenses. Harvard shall not compromise or settle such litigation without the prior written consent of Syllable, which consent shall not be unreasonably withheld or delayed. In the event Harvard exercises its right to sue pursuant to this Section 7.3, it shall first reimburse itself out of any sums recovered in such suit or in settlement thereof for all costs and expenses of every kind and character, including reasonable attorneys’ fees, necessarily incurred in the prosecution of any such suit. If, after such reimbursement, any funds shall remain from said recovery, then [***].</w:t>
      </w:r>
    </w:p>
    <w:p>
      <w:pPr>
        <w:spacing w:after="0" w:line="18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7.4. Own Counsel</w:t>
      </w:r>
      <w:r>
        <w:rPr>
          <w:rFonts w:ascii="Arial" w:cs="Arial" w:eastAsia="Arial" w:hAnsi="Arial"/>
          <w:sz w:val="18"/>
          <w:szCs w:val="18"/>
          <w:color w:val="auto"/>
        </w:rPr>
        <w:t>. Each party shall always have the right to be represented by counsel of its own selection and at its own expense in any suit</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instituted under this Article 7 by the other party for Infringement.</w:t>
      </w:r>
    </w:p>
    <w:p>
      <w:pPr>
        <w:spacing w:after="0" w:line="16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7.5. Cooperation</w:t>
      </w:r>
      <w:r>
        <w:rPr>
          <w:rFonts w:ascii="Arial" w:cs="Arial" w:eastAsia="Arial" w:hAnsi="Arial"/>
          <w:sz w:val="18"/>
          <w:szCs w:val="18"/>
          <w:color w:val="auto"/>
        </w:rPr>
        <w:t>. Each party agrees to cooperate fully in any action under this Article 7 that is controlled by the other party, provided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party reimburses the cooperating party promptly for any costs and expenses incurred by the cooperating party in connection with providing such assistance.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3" w:right="459" w:bottom="1440" w:gutter="0" w:footer="0" w:header="0"/>
        </w:sectPr>
      </w:pPr>
    </w:p>
    <w:bookmarkStart w:id="517" w:name="page518"/>
    <w:bookmarkEnd w:id="517"/>
    <w:p>
      <w:pPr>
        <w:ind w:left="4" w:right="20"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7.6. Declaratory Judgment</w:t>
      </w:r>
      <w:r>
        <w:rPr>
          <w:rFonts w:ascii="Arial" w:cs="Arial" w:eastAsia="Arial" w:hAnsi="Arial"/>
          <w:sz w:val="17"/>
          <w:szCs w:val="17"/>
          <w:color w:val="auto"/>
        </w:rPr>
        <w:t>. If a declaratory judgment action is brought naming Syllable and/or any of its Subsidiaries or Sublicensees as a</w:t>
      </w:r>
      <w:r>
        <w:rPr>
          <w:rFonts w:ascii="Arial" w:cs="Arial" w:eastAsia="Arial" w:hAnsi="Arial"/>
          <w:sz w:val="17"/>
          <w:szCs w:val="17"/>
          <w:b w:val="1"/>
          <w:bCs w:val="1"/>
          <w:color w:val="auto"/>
        </w:rPr>
        <w:t xml:space="preserve"> </w:t>
      </w:r>
      <w:r>
        <w:rPr>
          <w:rFonts w:ascii="Arial" w:cs="Arial" w:eastAsia="Arial" w:hAnsi="Arial"/>
          <w:sz w:val="17"/>
          <w:szCs w:val="17"/>
          <w:color w:val="auto"/>
        </w:rPr>
        <w:t>defendant and alleging invalidity or unenforceability of any claims within the Patent Rights, Syllable shall promptly notify Harvard in writing and Harvard may elect, upon written notice to Syllable within [***] days after Harvard receives notice of the commencement of such action, to take over the sole defense of the invalidity and/or unenforceability aspect of the action at its own expense.</w:t>
      </w:r>
    </w:p>
    <w:p>
      <w:pPr>
        <w:spacing w:after="0" w:line="313" w:lineRule="exact"/>
        <w:rPr>
          <w:sz w:val="20"/>
          <w:szCs w:val="20"/>
          <w:color w:val="auto"/>
        </w:rPr>
      </w:pPr>
    </w:p>
    <w:p>
      <w:pPr>
        <w:ind w:left="424" w:hanging="424"/>
        <w:spacing w:after="0"/>
        <w:tabs>
          <w:tab w:leader="none" w:pos="424"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Limitation of Liability.</w:t>
      </w:r>
    </w:p>
    <w:p>
      <w:pPr>
        <w:spacing w:after="0" w:line="117"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8.1. Compliance with Law</w:t>
      </w:r>
      <w:r>
        <w:rPr>
          <w:rFonts w:ascii="Arial" w:cs="Arial" w:eastAsia="Arial" w:hAnsi="Arial"/>
          <w:sz w:val="16"/>
          <w:szCs w:val="16"/>
          <w:color w:val="auto"/>
        </w:rPr>
        <w:t>. Syllable represents and warrants that it will comply, and will ensure that its Subsidiaries and Sublicensees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all local, state, federal and international laws and regulations relating to the development, manufacture, use, sale and importation of Licensed Products. Without limiting the foregoing, Syllable represents and warrants, on behalf of itself and its Subsidiaries and Sublicensees, that it shall comply with all United States laws and regulations controlling the export of certain commodities and technical data, including without limitation all Export Administration Regulations of the United States Department of Commerce. Among other things, these laws and regulations prohibit or require a license for the export of certain types of commodities and technical data to specified countries. Syllable hereby gives written assurance that it will comply with, and will cause its Subsidiaries to comply with (and will contractually obligate its Sublicensees to comply with), all United States export control laws and regulations, that it bears sole responsibility for any violation of such laws and regulations by itself or its Subsidiaries or Sublicensees, and that it will indemnify, defend, and hold Harvard harmless (in accordance with Section 9.1) for the consequences of any such violation.</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8.2. No Warranty</w:t>
      </w:r>
      <w:r>
        <w:rPr>
          <w:rFonts w:ascii="Arial" w:cs="Arial" w:eastAsia="Arial" w:hAnsi="Arial"/>
          <w:sz w:val="18"/>
          <w:szCs w:val="18"/>
          <w:color w:val="auto"/>
        </w:rPr>
        <w:t>.</w:t>
      </w:r>
    </w:p>
    <w:p>
      <w:pPr>
        <w:spacing w:after="0" w:line="225" w:lineRule="exact"/>
        <w:rPr>
          <w:sz w:val="20"/>
          <w:szCs w:val="20"/>
          <w:color w:val="auto"/>
        </w:rPr>
      </w:pPr>
    </w:p>
    <w:p>
      <w:pPr>
        <w:jc w:val="both"/>
        <w:ind w:left="4" w:right="60" w:firstLine="991"/>
        <w:spacing w:after="0" w:line="266" w:lineRule="auto"/>
        <w:rPr>
          <w:sz w:val="20"/>
          <w:szCs w:val="20"/>
          <w:color w:val="auto"/>
        </w:rPr>
      </w:pPr>
      <w:r>
        <w:rPr>
          <w:rFonts w:ascii="Arial" w:cs="Arial" w:eastAsia="Arial" w:hAnsi="Arial"/>
          <w:sz w:val="18"/>
          <w:szCs w:val="18"/>
          <w:b w:val="1"/>
          <w:bCs w:val="1"/>
          <w:color w:val="auto"/>
        </w:rPr>
        <w:t xml:space="preserve">8.2.1. </w:t>
      </w:r>
      <w:r>
        <w:rPr>
          <w:rFonts w:ascii="Arial" w:cs="Arial" w:eastAsia="Arial" w:hAnsi="Arial"/>
          <w:sz w:val="18"/>
          <w:szCs w:val="18"/>
          <w:color w:val="auto"/>
        </w:rPr>
        <w:t>NOTHING CONTAINED HEREIN SHALL BE DEEMED TO BE A WARRANTY BY HARVARD THAT IT CAN OR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ABLE TO OBTAIN PATENTS ON PATENT APPLICATIONS INCLUDED IN THE PATENT RIGHTS, OR THAT ANY OF THE PATENT RIGHTS WILL AFFORD ADEQUATE OR COMMERCIALLY WORTHWHILE PROTECTION.</w:t>
      </w:r>
    </w:p>
    <w:p>
      <w:pPr>
        <w:spacing w:after="0" w:line="176" w:lineRule="exact"/>
        <w:rPr>
          <w:sz w:val="20"/>
          <w:szCs w:val="20"/>
          <w:color w:val="auto"/>
        </w:rPr>
      </w:pPr>
    </w:p>
    <w:p>
      <w:pPr>
        <w:ind w:left="4" w:right="40" w:firstLine="991"/>
        <w:spacing w:after="0" w:line="261" w:lineRule="auto"/>
        <w:rPr>
          <w:sz w:val="20"/>
          <w:szCs w:val="20"/>
          <w:color w:val="auto"/>
        </w:rPr>
      </w:pPr>
      <w:r>
        <w:rPr>
          <w:rFonts w:ascii="Arial" w:cs="Arial" w:eastAsia="Arial" w:hAnsi="Arial"/>
          <w:sz w:val="18"/>
          <w:szCs w:val="18"/>
          <w:b w:val="1"/>
          <w:bCs w:val="1"/>
          <w:color w:val="auto"/>
        </w:rPr>
        <w:t xml:space="preserve">8.2.2. </w:t>
      </w:r>
      <w:r>
        <w:rPr>
          <w:rFonts w:ascii="Arial" w:cs="Arial" w:eastAsia="Arial" w:hAnsi="Arial"/>
          <w:sz w:val="18"/>
          <w:szCs w:val="18"/>
          <w:color w:val="auto"/>
        </w:rPr>
        <w:t>HARVARD MAKES NO WARRANTIES WHATSOEVER AS TO THE COMMERCIAL OR SCIENTIFIC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PATENT RIGHTS OR SOFTWARE. HARVARD MAKES NO REPRESENTATION THAT THE PRACTICE OF THE PATENT RIGHTS OR USE OF THE SOFTWARE OR THE DEVELOPMENT, MANUFACTURE, USE, SALE OR IMPORTATION OF ANY LICENSED PRODUCT, OR ANY ELEMENT THEREOF, WILL NOT INFRINGE ANY PATENT OR PROPRIETARY RIGHTS.</w:t>
      </w:r>
    </w:p>
    <w:p>
      <w:pPr>
        <w:spacing w:after="0" w:line="180" w:lineRule="exact"/>
        <w:rPr>
          <w:sz w:val="20"/>
          <w:szCs w:val="20"/>
          <w:color w:val="auto"/>
        </w:rPr>
      </w:pPr>
    </w:p>
    <w:p>
      <w:pPr>
        <w:ind w:left="4" w:right="80" w:firstLine="991"/>
        <w:spacing w:after="0" w:line="261" w:lineRule="auto"/>
        <w:rPr>
          <w:sz w:val="20"/>
          <w:szCs w:val="20"/>
          <w:color w:val="auto"/>
        </w:rPr>
      </w:pPr>
      <w:r>
        <w:rPr>
          <w:rFonts w:ascii="Arial" w:cs="Arial" w:eastAsia="Arial" w:hAnsi="Arial"/>
          <w:sz w:val="18"/>
          <w:szCs w:val="18"/>
          <w:b w:val="1"/>
          <w:bCs w:val="1"/>
          <w:color w:val="auto"/>
        </w:rPr>
        <w:t xml:space="preserve">8.2.3. </w:t>
      </w:r>
      <w:r>
        <w:rPr>
          <w:rFonts w:ascii="Arial" w:cs="Arial" w:eastAsia="Arial" w:hAnsi="Arial"/>
          <w:sz w:val="18"/>
          <w:szCs w:val="18"/>
          <w:color w:val="auto"/>
        </w:rPr>
        <w:t>EXCEPT AS OTHERWISE EXPRESSLY PROVIDED IN THIS AGREEMENT, NEITHER PARTY MAKES ANY WARRANTY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TECHNOLOGY, PATENTS, SOFTWARE, GOODS, SERVICES, RIGHTS OR OTHER SUBJECT MATTER OF THIS AGREEMENT AND EACH PARTY HEREBY DISCLAIMS WARRANTIES OF MERCHANTABILITY, FITNESS FOR A PARTICULAR PURPOSE AND NONINFRINGEMENT WITH RESPECT TO ANY AND ALL OF THE FOREGOING.</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69" w:right="459" w:bottom="1440" w:gutter="0" w:footer="0" w:header="0"/>
        </w:sectPr>
      </w:pPr>
    </w:p>
    <w:bookmarkStart w:id="518" w:name="page519"/>
    <w:bookmarkEnd w:id="518"/>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8.3. Limitation of Liability</w:t>
      </w:r>
      <w:r>
        <w:rPr>
          <w:rFonts w:ascii="Arial" w:cs="Arial" w:eastAsia="Arial" w:hAnsi="Arial"/>
          <w:sz w:val="18"/>
          <w:szCs w:val="18"/>
          <w:color w:val="auto"/>
        </w:rPr>
        <w:t>.</w:t>
      </w:r>
    </w:p>
    <w:p>
      <w:pPr>
        <w:spacing w:after="0" w:line="225" w:lineRule="exact"/>
        <w:rPr>
          <w:sz w:val="20"/>
          <w:szCs w:val="20"/>
          <w:color w:val="auto"/>
        </w:rPr>
      </w:pPr>
    </w:p>
    <w:p>
      <w:pPr>
        <w:ind w:left="4" w:right="40" w:firstLine="991"/>
        <w:spacing w:after="0" w:line="314" w:lineRule="auto"/>
        <w:rPr>
          <w:sz w:val="20"/>
          <w:szCs w:val="20"/>
          <w:color w:val="auto"/>
        </w:rPr>
      </w:pPr>
      <w:r>
        <w:rPr>
          <w:rFonts w:ascii="Arial" w:cs="Arial" w:eastAsia="Arial" w:hAnsi="Arial"/>
          <w:sz w:val="16"/>
          <w:szCs w:val="16"/>
          <w:b w:val="1"/>
          <w:bCs w:val="1"/>
          <w:color w:val="auto"/>
        </w:rPr>
        <w:t xml:space="preserve">8.3.1. </w:t>
      </w:r>
      <w:r>
        <w:rPr>
          <w:rFonts w:ascii="Arial" w:cs="Arial" w:eastAsia="Arial" w:hAnsi="Arial"/>
          <w:sz w:val="16"/>
          <w:szCs w:val="16"/>
          <w:color w:val="auto"/>
        </w:rPr>
        <w:t>Except with respect to matters for which Syllable is obligated to indemnify Harvard under Article 9, neither party will be liable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other with respect to any subject matter of this Agreement under any contract, negligence, strict liability or other legal or equitable theory for (a) any indirect, incidental, consequential or punitive damages or lost profits or (b) cost of procurement of substitute goods, technology or services.</w:t>
      </w:r>
    </w:p>
    <w:p>
      <w:pPr>
        <w:spacing w:after="0" w:line="142" w:lineRule="exact"/>
        <w:rPr>
          <w:sz w:val="20"/>
          <w:szCs w:val="20"/>
          <w:color w:val="auto"/>
        </w:rPr>
      </w:pPr>
    </w:p>
    <w:p>
      <w:pPr>
        <w:ind w:left="4" w:right="120" w:firstLine="991"/>
        <w:spacing w:after="0" w:line="282" w:lineRule="auto"/>
        <w:rPr>
          <w:sz w:val="20"/>
          <w:szCs w:val="20"/>
          <w:color w:val="auto"/>
        </w:rPr>
      </w:pPr>
      <w:r>
        <w:rPr>
          <w:rFonts w:ascii="Arial" w:cs="Arial" w:eastAsia="Arial" w:hAnsi="Arial"/>
          <w:sz w:val="18"/>
          <w:szCs w:val="18"/>
          <w:b w:val="1"/>
          <w:bCs w:val="1"/>
          <w:color w:val="auto"/>
        </w:rPr>
        <w:t xml:space="preserve">8.3.2. </w:t>
      </w:r>
      <w:r>
        <w:rPr>
          <w:rFonts w:ascii="Arial" w:cs="Arial" w:eastAsia="Arial" w:hAnsi="Arial"/>
          <w:sz w:val="18"/>
          <w:szCs w:val="18"/>
          <w:color w:val="auto"/>
        </w:rPr>
        <w:t>Harvard’s aggregate liability for all damages of any kind arising out of or relating to this Agreement or its subject matter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negligence, strict liability or other legal or equitable theory shall not exceed [***].</w:t>
      </w:r>
    </w:p>
    <w:p>
      <w:pPr>
        <w:spacing w:after="0" w:line="310" w:lineRule="exact"/>
        <w:rPr>
          <w:sz w:val="20"/>
          <w:szCs w:val="20"/>
          <w:color w:val="auto"/>
        </w:rPr>
      </w:pPr>
    </w:p>
    <w:p>
      <w:pPr>
        <w:ind w:left="444" w:right="8140" w:hanging="444"/>
        <w:spacing w:after="0" w:line="407" w:lineRule="auto"/>
        <w:tabs>
          <w:tab w:leader="none" w:pos="436"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w:t>
      </w:r>
      <w:r>
        <w:rPr>
          <w:rFonts w:ascii="Arial" w:cs="Arial" w:eastAsia="Arial" w:hAnsi="Arial"/>
          <w:sz w:val="18"/>
          <w:szCs w:val="18"/>
          <w:color w:val="auto"/>
        </w:rPr>
        <w:t>.</w:t>
      </w:r>
      <w:r>
        <w:rPr>
          <w:rFonts w:ascii="Arial" w:cs="Arial" w:eastAsia="Arial" w:hAnsi="Arial"/>
          <w:sz w:val="18"/>
          <w:szCs w:val="18"/>
          <w:b w:val="1"/>
          <w:bCs w:val="1"/>
          <w:color w:val="auto"/>
        </w:rPr>
        <w:t xml:space="preserve"> 9.1. Indemnity</w:t>
      </w:r>
      <w:r>
        <w:rPr>
          <w:rFonts w:ascii="Arial" w:cs="Arial" w:eastAsia="Arial" w:hAnsi="Arial"/>
          <w:sz w:val="18"/>
          <w:szCs w:val="18"/>
          <w:color w:val="auto"/>
        </w:rPr>
        <w:t>.</w:t>
      </w:r>
    </w:p>
    <w:p>
      <w:pPr>
        <w:spacing w:after="0" w:line="54"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b w:val="1"/>
          <w:bCs w:val="1"/>
          <w:color w:val="auto"/>
        </w:rPr>
        <w:t xml:space="preserve">9.1.1. </w:t>
      </w:r>
      <w:r>
        <w:rPr>
          <w:rFonts w:ascii="Arial" w:cs="Arial" w:eastAsia="Arial" w:hAnsi="Arial"/>
          <w:sz w:val="17"/>
          <w:szCs w:val="17"/>
          <w:color w:val="auto"/>
        </w:rPr>
        <w:t>Syllable shall indemnify, defend and hold harmless Harvard and its current and former directors, governing board members, trustees,</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faculty, medical and professional staff, employees, students, and agents and their respective successors, heirs and assigns (collectively, the “Indemnitees”) from and against any claim, liability, cost, expense, damage, deficiency, loss or obligation of any kind or nature (including reasonable attorneys’ fees and other costs and expenses of litigation), based upon, arising out of, or otherwise relating to this Agreement or any Sublicense, including any cause of action relating to product liability concerning any product, process, or service made, used, sold or performed pursuant to any right or license granted under this Agreement (collectively, “Claims”). Neither Syllable nor Harvard shall settle any Claim without the prior written consent of the other, which consent shall not be unreasonably withheld.</w:t>
      </w:r>
    </w:p>
    <w:p>
      <w:pPr>
        <w:spacing w:after="0" w:line="172" w:lineRule="exact"/>
        <w:rPr>
          <w:sz w:val="20"/>
          <w:szCs w:val="20"/>
          <w:color w:val="auto"/>
        </w:rPr>
      </w:pPr>
    </w:p>
    <w:p>
      <w:pPr>
        <w:ind w:left="4" w:right="80" w:firstLine="991"/>
        <w:spacing w:after="0" w:line="347" w:lineRule="auto"/>
        <w:rPr>
          <w:sz w:val="20"/>
          <w:szCs w:val="20"/>
          <w:color w:val="auto"/>
        </w:rPr>
      </w:pPr>
      <w:r>
        <w:rPr>
          <w:rFonts w:ascii="Arial" w:cs="Arial" w:eastAsia="Arial" w:hAnsi="Arial"/>
          <w:sz w:val="16"/>
          <w:szCs w:val="16"/>
          <w:b w:val="1"/>
          <w:bCs w:val="1"/>
          <w:color w:val="auto"/>
        </w:rPr>
        <w:t xml:space="preserve">9.1.2. </w:t>
      </w:r>
      <w:r>
        <w:rPr>
          <w:rFonts w:ascii="Arial" w:cs="Arial" w:eastAsia="Arial" w:hAnsi="Arial"/>
          <w:sz w:val="16"/>
          <w:szCs w:val="16"/>
          <w:color w:val="auto"/>
        </w:rPr>
        <w:t>Syllable shall, at its own expense, provide attorneys reasonably acceptable to Harvard to defend against any actions brought or filed</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any Indemnitee hereunder with respect to the subject of indemnity contained herein, whether or not such actions are rightfully brought.</w:t>
      </w:r>
    </w:p>
    <w:p>
      <w:pPr>
        <w:spacing w:after="0" w:line="11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Insurance.</w:t>
      </w:r>
    </w:p>
    <w:p>
      <w:pPr>
        <w:spacing w:after="0" w:line="225" w:lineRule="exact"/>
        <w:rPr>
          <w:sz w:val="20"/>
          <w:szCs w:val="20"/>
          <w:color w:val="auto"/>
        </w:rPr>
      </w:pPr>
    </w:p>
    <w:p>
      <w:pPr>
        <w:ind w:left="4" w:right="80" w:firstLine="991"/>
        <w:spacing w:after="0" w:line="255" w:lineRule="auto"/>
        <w:rPr>
          <w:sz w:val="20"/>
          <w:szCs w:val="20"/>
          <w:color w:val="auto"/>
        </w:rPr>
      </w:pPr>
      <w:r>
        <w:rPr>
          <w:rFonts w:ascii="Arial" w:cs="Arial" w:eastAsia="Arial" w:hAnsi="Arial"/>
          <w:sz w:val="18"/>
          <w:szCs w:val="18"/>
          <w:b w:val="1"/>
          <w:bCs w:val="1"/>
          <w:color w:val="auto"/>
        </w:rPr>
        <w:t xml:space="preserve">9.2.1. </w:t>
      </w:r>
      <w:r>
        <w:rPr>
          <w:rFonts w:ascii="Arial" w:cs="Arial" w:eastAsia="Arial" w:hAnsi="Arial"/>
          <w:sz w:val="18"/>
          <w:szCs w:val="18"/>
          <w:color w:val="auto"/>
        </w:rPr>
        <w:t>Beginning at the time any Licensed Product is being commercially distributed or sold (other than for the purpose of obtaining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approvals) by Syllable, or by a Subsidiary, Sublicensee or agent of Syllable, Syllable shall, at its sole cost and expense, procure and maintain commercial general liability insurance in amounts not less than [***] per incident and [***] annual aggregate and naming the Indemnitees as additional insureds. During clinical trials of any such Licensed Product, Syllable shall, at its sole cost and expense, procure and maintain commercial general liability insurance in such equal or lesser amount as Harvard shall require, naming the Indemnitees as additional insureds. Such commercial general liability insurance shall provide: (a) product liability coverage and (b) broad form contractual liability coverage for Syllable’s indemnification obligations under this Agreement.</w:t>
      </w:r>
    </w:p>
    <w:p>
      <w:pPr>
        <w:spacing w:after="0" w:line="189" w:lineRule="exact"/>
        <w:rPr>
          <w:sz w:val="20"/>
          <w:szCs w:val="20"/>
          <w:color w:val="auto"/>
        </w:rPr>
      </w:pPr>
    </w:p>
    <w:p>
      <w:pPr>
        <w:ind w:left="4" w:right="60" w:firstLine="991"/>
        <w:spacing w:after="0" w:line="261" w:lineRule="auto"/>
        <w:rPr>
          <w:sz w:val="20"/>
          <w:szCs w:val="20"/>
          <w:color w:val="auto"/>
        </w:rPr>
      </w:pPr>
      <w:r>
        <w:rPr>
          <w:rFonts w:ascii="Arial" w:cs="Arial" w:eastAsia="Arial" w:hAnsi="Arial"/>
          <w:sz w:val="18"/>
          <w:szCs w:val="18"/>
          <w:b w:val="1"/>
          <w:bCs w:val="1"/>
          <w:color w:val="auto"/>
        </w:rPr>
        <w:t xml:space="preserve">9.2.2. </w:t>
      </w:r>
      <w:r>
        <w:rPr>
          <w:rFonts w:ascii="Arial" w:cs="Arial" w:eastAsia="Arial" w:hAnsi="Arial"/>
          <w:sz w:val="18"/>
          <w:szCs w:val="18"/>
          <w:color w:val="auto"/>
        </w:rPr>
        <w:t>If Syllable elects to self-insure all or part of the limits described above in Section 10.2.1 (including deductibles or retentions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in excess of [***] annual aggregate) such self-insurance program must be acceptable to Harvard and CRICO/RMF (Harvard’s insurer) in their sole discretion. The minimum amounts of insurance coverage required shall not be construed to create a limit of Syllable’s liability with respect to its indemnification obligations under this Agreement.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69" w:right="459" w:bottom="1440" w:gutter="0" w:footer="0" w:header="0"/>
        </w:sectPr>
      </w:pPr>
    </w:p>
    <w:bookmarkStart w:id="519" w:name="page520"/>
    <w:bookmarkEnd w:id="519"/>
    <w:p>
      <w:pPr>
        <w:ind w:left="4" w:firstLine="99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9.2.3. </w:t>
      </w:r>
      <w:r>
        <w:rPr>
          <w:rFonts w:ascii="Arial" w:cs="Arial" w:eastAsia="Arial" w:hAnsi="Arial"/>
          <w:sz w:val="18"/>
          <w:szCs w:val="18"/>
          <w:color w:val="auto"/>
        </w:rPr>
        <w:t>Syllable shall provide Harvard with written evidence of such insurance upon request of Harvard. Syllable shall provide Harvard with</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at least [***] days prior to the cancellation, non-renewal or material change in such insurance. If Syllable does not obtain replacement insurance providing comparable coverage within such [***] day period, Harvard shall have the right to terminate this Agreement effective at the end of such [***] day period without notice or any additional waiting periods.</w:t>
      </w:r>
    </w:p>
    <w:p>
      <w:pPr>
        <w:spacing w:after="0" w:line="180"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9.2.4. </w:t>
      </w:r>
      <w:r>
        <w:rPr>
          <w:rFonts w:ascii="Arial" w:cs="Arial" w:eastAsia="Arial" w:hAnsi="Arial"/>
          <w:sz w:val="16"/>
          <w:szCs w:val="16"/>
          <w:color w:val="auto"/>
        </w:rPr>
        <w:t>Syllable shall maintain such commercial general liability insurance beyond the expiration or termination of this Agreement during:</w:t>
      </w:r>
    </w:p>
    <w:p>
      <w:pPr>
        <w:spacing w:after="0" w:line="50" w:lineRule="exact"/>
        <w:rPr>
          <w:sz w:val="20"/>
          <w:szCs w:val="20"/>
          <w:color w:val="auto"/>
        </w:rPr>
      </w:pPr>
    </w:p>
    <w:p>
      <w:pPr>
        <w:ind w:left="244" w:hanging="244"/>
        <w:spacing w:after="0"/>
        <w:tabs>
          <w:tab w:leader="none" w:pos="24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period that any Licensed Product is being commercially distributed or sold by Syllable, or a Subsidiary, Sublicensee or agent of Syllable; and</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 reasonable period after the period referred to in (a) above which in no event shall be less than [***] years.</w:t>
      </w:r>
    </w:p>
    <w:p>
      <w:pPr>
        <w:spacing w:after="0" w:line="355" w:lineRule="exact"/>
        <w:rPr>
          <w:sz w:val="20"/>
          <w:szCs w:val="20"/>
          <w:color w:val="auto"/>
        </w:rPr>
      </w:pPr>
    </w:p>
    <w:p>
      <w:pPr>
        <w:ind w:left="424" w:hanging="424"/>
        <w:spacing w:after="0"/>
        <w:tabs>
          <w:tab w:leader="none" w:pos="424"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r>
        <w:rPr>
          <w:rFonts w:ascii="Arial" w:cs="Arial" w:eastAsia="Arial" w:hAnsi="Arial"/>
          <w:sz w:val="18"/>
          <w:szCs w:val="18"/>
          <w:color w:val="auto"/>
        </w:rPr>
        <w:t>.</w:t>
      </w:r>
    </w:p>
    <w:p>
      <w:pPr>
        <w:spacing w:after="0" w:line="117" w:lineRule="exact"/>
        <w:rPr>
          <w:sz w:val="20"/>
          <w:szCs w:val="20"/>
          <w:color w:val="auto"/>
        </w:rPr>
      </w:pPr>
    </w:p>
    <w:p>
      <w:pPr>
        <w:ind w:left="4" w:right="160" w:firstLine="440"/>
        <w:spacing w:after="0" w:line="266" w:lineRule="auto"/>
        <w:rPr>
          <w:sz w:val="20"/>
          <w:szCs w:val="20"/>
          <w:color w:val="auto"/>
        </w:rPr>
      </w:pPr>
      <w:r>
        <w:rPr>
          <w:rFonts w:ascii="Arial" w:cs="Arial" w:eastAsia="Arial" w:hAnsi="Arial"/>
          <w:sz w:val="18"/>
          <w:szCs w:val="18"/>
          <w:b w:val="1"/>
          <w:bCs w:val="1"/>
          <w:color w:val="auto"/>
        </w:rPr>
        <w:t>10.1. Term</w:t>
      </w:r>
      <w:r>
        <w:rPr>
          <w:rFonts w:ascii="Arial" w:cs="Arial" w:eastAsia="Arial" w:hAnsi="Arial"/>
          <w:sz w:val="18"/>
          <w:szCs w:val="18"/>
          <w:color w:val="auto"/>
        </w:rPr>
        <w:t>. The term of this Agreement shall commence on the Effective Date and, unless earlier terminated as provided in this Article 10,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full force and effect until the later of (i) the expiration of the last to expire Valid Claim; and (ii) fifteen (15) years following the First Commercial Sale of the last Licensed Product offered for sale (the “Term”).</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10.2. Termination</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10.2.1. Termination Without Cause</w:t>
      </w:r>
      <w:r>
        <w:rPr>
          <w:rFonts w:ascii="Arial" w:cs="Arial" w:eastAsia="Arial" w:hAnsi="Arial"/>
          <w:sz w:val="16"/>
          <w:szCs w:val="16"/>
          <w:color w:val="auto"/>
        </w:rPr>
        <w:t>. Syllable may terminate this Agreement upon one hundred twenty (120) days prior written notice to</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Harvard.</w:t>
      </w:r>
    </w:p>
    <w:p>
      <w:pPr>
        <w:spacing w:after="0" w:line="207" w:lineRule="exact"/>
        <w:rPr>
          <w:sz w:val="20"/>
          <w:szCs w:val="20"/>
          <w:color w:val="auto"/>
        </w:rPr>
      </w:pPr>
    </w:p>
    <w:p>
      <w:pPr>
        <w:ind w:left="4" w:right="600" w:firstLine="991"/>
        <w:spacing w:after="0" w:line="281" w:lineRule="auto"/>
        <w:rPr>
          <w:sz w:val="20"/>
          <w:szCs w:val="20"/>
          <w:color w:val="auto"/>
        </w:rPr>
      </w:pPr>
      <w:r>
        <w:rPr>
          <w:rFonts w:ascii="Arial" w:cs="Arial" w:eastAsia="Arial" w:hAnsi="Arial"/>
          <w:sz w:val="17"/>
          <w:szCs w:val="17"/>
          <w:b w:val="1"/>
          <w:bCs w:val="1"/>
          <w:color w:val="auto"/>
        </w:rPr>
        <w:t>10.2.2. Termination for Lack of Threshold Funds</w:t>
      </w:r>
      <w:r>
        <w:rPr>
          <w:rFonts w:ascii="Arial" w:cs="Arial" w:eastAsia="Arial" w:hAnsi="Arial"/>
          <w:sz w:val="17"/>
          <w:szCs w:val="17"/>
          <w:color w:val="auto"/>
        </w:rPr>
        <w:t>. If Syllable fails to secure a Threshold Funding Amount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3.1.2, Harvard may terminate this Agreement, effective immediately upon Harvard’s written notice to Syllable. For clarity, Harvard may terminate upon Syllable’s failure to meet the first Threshold Funding Amount ([***]); however, it may decide, in its sole discretion, to defer its termination right in order to allow Syllable the opportunity to meet the second Threshold Funding Amount.</w:t>
      </w:r>
    </w:p>
    <w:p>
      <w:pPr>
        <w:spacing w:after="0" w:line="16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10.2.3. Termination for Default</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1432"/>
        <w:spacing w:after="0" w:line="266" w:lineRule="auto"/>
        <w:rPr>
          <w:sz w:val="20"/>
          <w:szCs w:val="20"/>
          <w:color w:val="auto"/>
        </w:rPr>
      </w:pPr>
      <w:r>
        <w:rPr>
          <w:rFonts w:ascii="Arial" w:cs="Arial" w:eastAsia="Arial" w:hAnsi="Arial"/>
          <w:sz w:val="18"/>
          <w:szCs w:val="18"/>
          <w:b w:val="1"/>
          <w:bCs w:val="1"/>
          <w:color w:val="auto"/>
        </w:rPr>
        <w:t xml:space="preserve">10.2.3.1. </w:t>
      </w:r>
      <w:r>
        <w:rPr>
          <w:rFonts w:ascii="Arial" w:cs="Arial" w:eastAsia="Arial" w:hAnsi="Arial"/>
          <w:sz w:val="18"/>
          <w:szCs w:val="18"/>
          <w:color w:val="auto"/>
        </w:rPr>
        <w:t>In the event that either party commits a material breach of its obligations under this Agreement and fails to cure that breach</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thirty (30) days after receiving written notice thereof, the other party may terminate this Agreement immediately upon written notice to the party in breach.</w:t>
      </w:r>
    </w:p>
    <w:p>
      <w:pPr>
        <w:spacing w:after="0" w:line="176" w:lineRule="exact"/>
        <w:rPr>
          <w:sz w:val="20"/>
          <w:szCs w:val="20"/>
          <w:color w:val="auto"/>
        </w:rPr>
      </w:pPr>
    </w:p>
    <w:p>
      <w:pPr>
        <w:jc w:val="both"/>
        <w:ind w:left="4" w:right="200" w:firstLine="1432"/>
        <w:spacing w:after="0" w:line="266" w:lineRule="auto"/>
        <w:rPr>
          <w:sz w:val="20"/>
          <w:szCs w:val="20"/>
          <w:color w:val="auto"/>
        </w:rPr>
      </w:pPr>
      <w:r>
        <w:rPr>
          <w:rFonts w:ascii="Arial" w:cs="Arial" w:eastAsia="Arial" w:hAnsi="Arial"/>
          <w:sz w:val="18"/>
          <w:szCs w:val="18"/>
          <w:b w:val="1"/>
          <w:bCs w:val="1"/>
          <w:color w:val="auto"/>
        </w:rPr>
        <w:t xml:space="preserve">10.2.3.2. </w:t>
      </w:r>
      <w:r>
        <w:rPr>
          <w:rFonts w:ascii="Arial" w:cs="Arial" w:eastAsia="Arial" w:hAnsi="Arial"/>
          <w:sz w:val="18"/>
          <w:szCs w:val="18"/>
          <w:color w:val="auto"/>
        </w:rPr>
        <w:t>If Syllable defaults in its obligations under Section 9.2 to procure and maintain insurance or, if Syllable has in any event</w:t>
      </w:r>
      <w:r>
        <w:rPr>
          <w:rFonts w:ascii="Arial" w:cs="Arial" w:eastAsia="Arial" w:hAnsi="Arial"/>
          <w:sz w:val="18"/>
          <w:szCs w:val="18"/>
          <w:b w:val="1"/>
          <w:bCs w:val="1"/>
          <w:color w:val="auto"/>
        </w:rPr>
        <w:t xml:space="preserve"> </w:t>
      </w:r>
      <w:r>
        <w:rPr>
          <w:rFonts w:ascii="Arial" w:cs="Arial" w:eastAsia="Arial" w:hAnsi="Arial"/>
          <w:sz w:val="18"/>
          <w:szCs w:val="18"/>
          <w:color w:val="auto"/>
        </w:rPr>
        <w:t>failed to comply with the notice requirements contained therein, then Harvard may terminate this Agreement immediately without notice or additional waiting period.</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69" w:right="459" w:bottom="1440" w:gutter="0" w:footer="0" w:header="0"/>
        </w:sectPr>
      </w:pPr>
    </w:p>
    <w:bookmarkStart w:id="520" w:name="page521"/>
    <w:bookmarkEnd w:id="520"/>
    <w:p>
      <w:pPr>
        <w:ind w:left="14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10.2.3.3. </w:t>
      </w:r>
      <w:r>
        <w:rPr>
          <w:rFonts w:ascii="Arial" w:cs="Arial" w:eastAsia="Arial" w:hAnsi="Arial"/>
          <w:sz w:val="16"/>
          <w:szCs w:val="16"/>
          <w:color w:val="auto"/>
        </w:rPr>
        <w:t>Harvard shall be entitled to terminate this Agreement in accordance with the provisions of Section 3.4 and Section 11.12.</w:t>
      </w:r>
    </w:p>
    <w:p>
      <w:pPr>
        <w:spacing w:after="0" w:line="248"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b w:val="1"/>
          <w:bCs w:val="1"/>
          <w:color w:val="auto"/>
        </w:rPr>
        <w:t>10.2.4. Bankruptcy</w:t>
      </w:r>
      <w:r>
        <w:rPr>
          <w:rFonts w:ascii="Arial" w:cs="Arial" w:eastAsia="Arial" w:hAnsi="Arial"/>
          <w:sz w:val="18"/>
          <w:szCs w:val="18"/>
          <w:color w:val="auto"/>
        </w:rPr>
        <w:t>. Harvard may terminate this Agreement upon notice to Syllable if Syllable becomes insolvent, is adjudged bankrupt,</w:t>
      </w:r>
      <w:r>
        <w:rPr>
          <w:rFonts w:ascii="Arial" w:cs="Arial" w:eastAsia="Arial" w:hAnsi="Arial"/>
          <w:sz w:val="18"/>
          <w:szCs w:val="18"/>
          <w:b w:val="1"/>
          <w:bCs w:val="1"/>
          <w:color w:val="auto"/>
        </w:rPr>
        <w:t xml:space="preserve"> </w:t>
      </w:r>
      <w:r>
        <w:rPr>
          <w:rFonts w:ascii="Arial" w:cs="Arial" w:eastAsia="Arial" w:hAnsi="Arial"/>
          <w:sz w:val="18"/>
          <w:szCs w:val="18"/>
          <w:color w:val="auto"/>
        </w:rPr>
        <w:t>applies for judicial 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Syllable and not dismissed within ninety (90) days, or if Syllable becomes the subject of liquidation or dissolution proceedings or otherwise discontinues business.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10.3. Effect of Termination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10.3.1. Termination of Rights</w:t>
      </w:r>
      <w:r>
        <w:rPr>
          <w:rFonts w:ascii="Arial" w:cs="Arial" w:eastAsia="Arial" w:hAnsi="Arial"/>
          <w:sz w:val="17"/>
          <w:szCs w:val="17"/>
          <w:color w:val="auto"/>
        </w:rPr>
        <w:t>. Upon expiration or termination of this Agreement by either party pursuant to any of the provisions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Section 10.2: (a) the rights and licenses granted to Syllable under Article 2 shall terminate, all rights in and to and under the Patent Rights, the Software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Derivative Works will revert to Harvard and neither Syllable nor its Subsidiaries may make any further use or exploitation of the Patent Rights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Software; and (b) any existing agreements that contain a Sublicense to the Patent Rights or Software shall terminate to the extent of such Sublicense;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provided, however, that, for each such Sublicense, upon termination of such Sublicense, if the Sublicensee is not then in breach of its Sublicense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Syllable such that Syllable would have the right to terminate such Sublicense, such Sublicensee shall have the right to seek a direct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license from Harvard. Harvard agrees to negotiate such licenses in good faith under reasonable terms and conditions, which shall not impose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representations, warranties, obligations or liabilities on Harvard that are not included in this Agreement.</w:t>
      </w:r>
    </w:p>
    <w:p>
      <w:pPr>
        <w:spacing w:after="0" w:line="207"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b w:val="1"/>
          <w:bCs w:val="1"/>
          <w:color w:val="auto"/>
        </w:rPr>
        <w:t>10.3.2. Accruing Obligations</w:t>
      </w:r>
      <w:r>
        <w:rPr>
          <w:rFonts w:ascii="Arial" w:cs="Arial" w:eastAsia="Arial" w:hAnsi="Arial"/>
          <w:sz w:val="17"/>
          <w:szCs w:val="17"/>
          <w:color w:val="auto"/>
        </w:rPr>
        <w:t>. Termination or expiration of this Agreement shall not relieve the parties of obligations accruing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such termination or expiration, including obligations to pay amounts accruing hereunder up to the date of termination or expiration. After the date of termination or expiration (except in the case of termination by Harvard pursuant to Section 11.2), Syllable, its Subsidiaries and Sublicensees (a) may sell Licensed Products then in stock and (b) may complete the production of Licensed Products then in the process of production and sell the same; provided that, in the case of both (a) and (b), Syllable shall pay the applicable royalties and payments to Harvard in accordance with Article 4, provide reports and audit rights to Harvard pursuant to Article 5 and maintain insurance in accordance with the requirement. The parties agree that the obligations in Section 4.1 (License Issuance Fee) and Section 4.6 (Equity) will accrue immediately upon execution of this Agreement by both parties, regardless of the events, invoice and payment timing details set forth therein.</w:t>
      </w:r>
    </w:p>
    <w:p>
      <w:pPr>
        <w:spacing w:after="0" w:line="172" w:lineRule="exact"/>
        <w:rPr>
          <w:sz w:val="20"/>
          <w:szCs w:val="20"/>
          <w:color w:val="auto"/>
        </w:rPr>
      </w:pPr>
    </w:p>
    <w:p>
      <w:pPr>
        <w:jc w:val="both"/>
        <w:ind w:right="40" w:firstLine="991"/>
        <w:spacing w:after="0" w:line="281" w:lineRule="auto"/>
        <w:rPr>
          <w:sz w:val="20"/>
          <w:szCs w:val="20"/>
          <w:color w:val="auto"/>
        </w:rPr>
      </w:pPr>
      <w:r>
        <w:rPr>
          <w:rFonts w:ascii="Arial" w:cs="Arial" w:eastAsia="Arial" w:hAnsi="Arial"/>
          <w:sz w:val="17"/>
          <w:szCs w:val="17"/>
          <w:b w:val="1"/>
          <w:bCs w:val="1"/>
          <w:color w:val="auto"/>
        </w:rPr>
        <w:t>10.3.3. Survival</w:t>
      </w:r>
      <w:r>
        <w:rPr>
          <w:rFonts w:ascii="Arial" w:cs="Arial" w:eastAsia="Arial" w:hAnsi="Arial"/>
          <w:sz w:val="17"/>
          <w:szCs w:val="17"/>
          <w:color w:val="auto"/>
        </w:rPr>
        <w:t>. The parties’ respective rights, obligations and duties under Articles 5, 9, 10 and 11 and Sections 4.6, 8.2 and 8.3, as well</w:t>
      </w:r>
      <w:r>
        <w:rPr>
          <w:rFonts w:ascii="Arial" w:cs="Arial" w:eastAsia="Arial" w:hAnsi="Arial"/>
          <w:sz w:val="17"/>
          <w:szCs w:val="17"/>
          <w:b w:val="1"/>
          <w:bCs w:val="1"/>
          <w:color w:val="auto"/>
        </w:rPr>
        <w:t xml:space="preserve"> </w:t>
      </w:r>
      <w:r>
        <w:rPr>
          <w:rFonts w:ascii="Arial" w:cs="Arial" w:eastAsia="Arial" w:hAnsi="Arial"/>
          <w:sz w:val="17"/>
          <w:szCs w:val="17"/>
          <w:color w:val="auto"/>
        </w:rPr>
        <w:t>as any rights, obligations and duties which by their nature extend beyond the expiration or termination of this Agreement, shall survive any expiration or termination of this Agreement. In addition, Syllable’s obligations under Section 4.5 with respect to Sublicenses granted or Strategic Partnerships entered into prior to expiration or termination of the Agreement shall survive such expiration or termination.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69" w:right="439" w:bottom="1440" w:gutter="0" w:footer="0" w:header="0"/>
        </w:sectPr>
      </w:pPr>
    </w:p>
    <w:bookmarkStart w:id="521" w:name="page522"/>
    <w:bookmarkEnd w:id="521"/>
    <w:p>
      <w:pPr>
        <w:ind w:left="424" w:hanging="424"/>
        <w:spacing w:after="0"/>
        <w:tabs>
          <w:tab w:leader="none" w:pos="424"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b w:val="1"/>
          <w:bCs w:val="1"/>
          <w:color w:val="auto"/>
        </w:rPr>
        <w:t>11.1. Preference for United States Industry</w:t>
      </w:r>
      <w:r>
        <w:rPr>
          <w:rFonts w:ascii="Arial" w:cs="Arial" w:eastAsia="Arial" w:hAnsi="Arial"/>
          <w:sz w:val="18"/>
          <w:szCs w:val="18"/>
          <w:color w:val="auto"/>
        </w:rPr>
        <w:t>. During the period of exclusivity of this license in the United States, Syllable shall comply with 37</w:t>
      </w:r>
      <w:r>
        <w:rPr>
          <w:rFonts w:ascii="Arial" w:cs="Arial" w:eastAsia="Arial" w:hAnsi="Arial"/>
          <w:sz w:val="18"/>
          <w:szCs w:val="18"/>
          <w:b w:val="1"/>
          <w:bCs w:val="1"/>
          <w:color w:val="auto"/>
        </w:rPr>
        <w:t xml:space="preserve"> </w:t>
      </w:r>
      <w:r>
        <w:rPr>
          <w:rFonts w:ascii="Arial" w:cs="Arial" w:eastAsia="Arial" w:hAnsi="Arial"/>
          <w:sz w:val="18"/>
          <w:szCs w:val="18"/>
          <w:color w:val="auto"/>
        </w:rPr>
        <w:t>C.F.R. § 401.14 (i) or any successor rule or regulation.</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11.2. [</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Syllable shall not enter into any agreement under which [***].</w:t>
      </w:r>
    </w:p>
    <w:p>
      <w:pPr>
        <w:spacing w:after="0" w:line="225" w:lineRule="exact"/>
        <w:rPr>
          <w:sz w:val="20"/>
          <w:szCs w:val="20"/>
          <w:color w:val="auto"/>
        </w:rPr>
      </w:pPr>
    </w:p>
    <w:p>
      <w:pPr>
        <w:ind w:left="4" w:right="140" w:firstLine="440"/>
        <w:spacing w:after="0" w:line="274" w:lineRule="auto"/>
        <w:rPr>
          <w:sz w:val="20"/>
          <w:szCs w:val="20"/>
          <w:color w:val="auto"/>
        </w:rPr>
      </w:pPr>
      <w:r>
        <w:rPr>
          <w:rFonts w:ascii="Arial" w:cs="Arial" w:eastAsia="Arial" w:hAnsi="Arial"/>
          <w:sz w:val="17"/>
          <w:szCs w:val="17"/>
          <w:b w:val="1"/>
          <w:bCs w:val="1"/>
          <w:color w:val="auto"/>
        </w:rPr>
        <w:t>11.3. Use of Name</w:t>
      </w:r>
      <w:r>
        <w:rPr>
          <w:rFonts w:ascii="Arial" w:cs="Arial" w:eastAsia="Arial" w:hAnsi="Arial"/>
          <w:sz w:val="17"/>
          <w:szCs w:val="17"/>
          <w:color w:val="auto"/>
        </w:rPr>
        <w:t>. Except as provided below, Syllable shall not, and shall ensure that its Subsidiaries and Sublicensees shall not, use or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“Harvard” (alone or as part of another name) or any logos, seals, insignia or other words, names, symbols or devices that identify Harvard or any Harvard school, unit, division or affiliate (“Harvard Names”) for any purpose except with the prior written approval of, and in accordance with restrictions required by, Harvard. Without limiting the foregoing, Syllable shall, and shall ensure that its Subsidiaries and Sublicensees shall, cease all use of Harvard Names on the termination or expiration of this Agreement except as otherwise approved by Harvard. This restriction shall not apply to any information required by law to be disclosed to any governmental entity.</w:t>
      </w:r>
    </w:p>
    <w:p>
      <w:pPr>
        <w:spacing w:after="0" w:line="173"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b w:val="1"/>
          <w:bCs w:val="1"/>
          <w:color w:val="auto"/>
        </w:rPr>
        <w:t>11.4. Entire Agreement</w:t>
      </w:r>
      <w:r>
        <w:rPr>
          <w:rFonts w:ascii="Arial" w:cs="Arial" w:eastAsia="Arial" w:hAnsi="Arial"/>
          <w:sz w:val="18"/>
          <w:szCs w:val="18"/>
          <w:color w:val="auto"/>
        </w:rPr>
        <w:t>. This Agreement is the sole agreement with respect to the subject matter hereof and except as expressly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other agreements and understandings between the parties with respect to the same.</w:t>
      </w:r>
    </w:p>
    <w:p>
      <w:pPr>
        <w:spacing w:after="0" w:line="162"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11.5. Notices</w:t>
      </w:r>
      <w:r>
        <w:rPr>
          <w:rFonts w:ascii="Arial" w:cs="Arial" w:eastAsia="Arial" w:hAnsi="Arial"/>
          <w:sz w:val="18"/>
          <w:szCs w:val="18"/>
          <w:color w:val="auto"/>
        </w:rPr>
        <w:t>. Unless otherwise specifically provided, all notices required or permitted by this Agreement shall be in writing and may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may be sent by email, expedited delivery or certified mail, return receipt requested, to the following addresses, unless the parties are subsequently notified of any change of address in accordance with this Section 11.5:</w:t>
      </w:r>
    </w:p>
    <w:p>
      <w:pPr>
        <w:sectPr>
          <w:pgSz w:w="11900" w:h="16838" w:orient="portrait"/>
          <w:cols w:equalWidth="0" w:num="1">
            <w:col w:w="10984"/>
          </w:cols>
          <w:pgMar w:left="436" w:top="269" w:right="479" w:bottom="1440" w:gutter="0" w:footer="0" w:header="0"/>
        </w:sectPr>
      </w:pPr>
    </w:p>
    <w:p>
      <w:pPr>
        <w:spacing w:after="0" w:line="207" w:lineRule="exact"/>
        <w:rPr>
          <w:sz w:val="20"/>
          <w:szCs w:val="20"/>
          <w:color w:val="auto"/>
        </w:rPr>
      </w:pPr>
    </w:p>
    <w:p>
      <w:pPr>
        <w:ind w:left="364"/>
        <w:spacing w:after="0"/>
        <w:rPr>
          <w:sz w:val="20"/>
          <w:szCs w:val="20"/>
          <w:color w:val="auto"/>
        </w:rPr>
      </w:pPr>
      <w:r>
        <w:rPr>
          <w:rFonts w:ascii="Arial" w:cs="Arial" w:eastAsia="Arial" w:hAnsi="Arial"/>
          <w:sz w:val="16"/>
          <w:szCs w:val="16"/>
          <w:color w:val="auto"/>
        </w:rPr>
        <w:t>If to Syllable (other than invoices):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4"/>
        <w:spacing w:after="0"/>
        <w:rPr>
          <w:sz w:val="20"/>
          <w:szCs w:val="20"/>
          <w:color w:val="auto"/>
        </w:rPr>
      </w:pPr>
      <w:r>
        <w:rPr>
          <w:rFonts w:ascii="Arial" w:cs="Arial" w:eastAsia="Arial" w:hAnsi="Arial"/>
          <w:sz w:val="18"/>
          <w:szCs w:val="18"/>
          <w:color w:val="auto"/>
        </w:rPr>
        <w:t>If to Syllable (invoices only):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Syllable Life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Cambridge Innovation Center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Broadway, 14th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Syllable Life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Cambridge Innovation Center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Broadway, 14th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t>
      </w:r>
    </w:p>
    <w:p>
      <w:pPr>
        <w:spacing w:after="0" w:line="103" w:lineRule="exact"/>
        <w:rPr>
          <w:sz w:val="20"/>
          <w:szCs w:val="20"/>
          <w:color w:val="auto"/>
        </w:rPr>
      </w:pPr>
    </w:p>
    <w:p>
      <w:pPr>
        <w:sectPr>
          <w:pgSz w:w="11900" w:h="16838" w:orient="portrait"/>
          <w:cols w:equalWidth="0" w:num="2">
            <w:col w:w="2924" w:space="720"/>
            <w:col w:w="7340"/>
          </w:cols>
          <w:pgMar w:left="436" w:top="269" w:right="479" w:bottom="1440" w:gutter="0" w:footer="0" w:header="0"/>
          <w:type w:val="continuous"/>
        </w:sectPr>
      </w:pPr>
    </w:p>
    <w:p>
      <w:pPr>
        <w:ind w:left="364"/>
        <w:spacing w:after="0"/>
        <w:tabs>
          <w:tab w:leader="none" w:pos="3624" w:val="left"/>
        </w:tabs>
        <w:rPr>
          <w:sz w:val="20"/>
          <w:szCs w:val="20"/>
          <w:color w:val="auto"/>
        </w:rPr>
      </w:pPr>
      <w:r>
        <w:rPr>
          <w:rFonts w:ascii="Arial" w:cs="Arial" w:eastAsia="Arial" w:hAnsi="Arial"/>
          <w:sz w:val="18"/>
          <w:szCs w:val="18"/>
          <w:color w:val="auto"/>
        </w:rPr>
        <w:t>If to Harvard:</w:t>
      </w:r>
      <w:r>
        <w:rPr>
          <w:sz w:val="20"/>
          <w:szCs w:val="20"/>
          <w:color w:val="auto"/>
        </w:rPr>
        <w:tab/>
      </w:r>
      <w:r>
        <w:rPr>
          <w:rFonts w:ascii="Arial" w:cs="Arial" w:eastAsia="Arial" w:hAnsi="Arial"/>
          <w:sz w:val="16"/>
          <w:szCs w:val="16"/>
          <w:color w:val="auto"/>
        </w:rPr>
        <w:t>Office of Technology Development</w:t>
      </w:r>
    </w:p>
    <w:p>
      <w:pPr>
        <w:spacing w:after="0" w:line="23"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Harvard University</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6"/>
          <w:szCs w:val="16"/>
          <w:color w:val="auto"/>
        </w:rPr>
        <w:t>Richard A. and Susan F. Smith Campus Center, Suite 727E</w:t>
      </w:r>
    </w:p>
    <w:p>
      <w:pPr>
        <w:spacing w:after="0" w:line="32"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1350 Massachusetts Avenue</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Cambridge, Massachusetts 02138</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Attn.: Chief Technology Development Officer</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69" w:right="479" w:bottom="1440" w:gutter="0" w:footer="0" w:header="0"/>
          <w:type w:val="continuous"/>
        </w:sectPr>
      </w:pPr>
    </w:p>
    <w:bookmarkStart w:id="522" w:name="page523"/>
    <w:bookmarkEnd w:id="522"/>
    <w:p>
      <w:pPr>
        <w:ind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shall be deemed to have been received as follows: (a) by personal delivery or expedited delivery, or email, upon receipt; or (b) by certified mail, as evidenced by the return receipt.</w:t>
      </w:r>
    </w:p>
    <w:p>
      <w:pPr>
        <w:spacing w:after="0" w:line="16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11.6. Governing Law and Jurisdiction</w:t>
      </w:r>
      <w:r>
        <w:rPr>
          <w:rFonts w:ascii="Arial" w:cs="Arial" w:eastAsia="Arial" w:hAnsi="Arial"/>
          <w:sz w:val="18"/>
          <w:szCs w:val="18"/>
          <w:color w:val="auto"/>
        </w:rPr>
        <w:t>. This Agreement will be governed by, and construed in accordance with, the substantive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without giving effect to any choice or conflict of law provision, except that questions affecting the construction and effect of any patent shall be determined by the law of the country in which the patent shall have been granted. Any action, suit or other proceeding arising under or relating to this Agreement (a “Suit”) shall be brought in a court of competent jurisdiction in the Commonwealth of Massachusetts, and the parties hereby consent to the sole jurisdiction of the state and federal courts sitting in the Commonwealth of Massachusetts. Each party agrees not to raise any objection at any time to the laying or maintaining of the venue of any Suit in any of the specified courts, irrevocably waives any claim that Suit has been brought in any inconvenient forum and further irrevocably waives the right to object, with respect to any Suit, that such court does not have any jurisdiction over such party.</w:t>
      </w:r>
    </w:p>
    <w:p>
      <w:pPr>
        <w:spacing w:after="0" w:line="192"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11.7. Binding Effect</w:t>
      </w:r>
      <w:r>
        <w:rPr>
          <w:rFonts w:ascii="Arial" w:cs="Arial" w:eastAsia="Arial" w:hAnsi="Arial"/>
          <w:sz w:val="18"/>
          <w:szCs w:val="18"/>
          <w:color w:val="auto"/>
        </w:rPr>
        <w:t>. This Agreement shall be binding upon and inure to the benefit of the parties and their respective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permitted assigns.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11.8. Headings</w:t>
      </w:r>
      <w:r>
        <w:rPr>
          <w:rFonts w:ascii="Arial" w:cs="Arial" w:eastAsia="Arial" w:hAnsi="Arial"/>
          <w:sz w:val="17"/>
          <w:szCs w:val="17"/>
          <w:color w:val="auto"/>
        </w:rPr>
        <w:t>. Section and subsection headings are inserted for convenience of reference only and do not form a part of this Agreement.</w:t>
      </w:r>
    </w:p>
    <w:p>
      <w:pPr>
        <w:spacing w:after="0" w:line="237"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11.9. Counterparts</w:t>
      </w:r>
      <w:r>
        <w:rPr>
          <w:rFonts w:ascii="Arial" w:cs="Arial" w:eastAsia="Arial" w:hAnsi="Arial"/>
          <w:sz w:val="18"/>
          <w:szCs w:val="18"/>
          <w:color w:val="auto"/>
        </w:rPr>
        <w:t>. The parties may execute this Agreement in two or more counterparts, each of which shall be deemed an original, but both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and the same instrument. Transmission by facsimile or electronic mail of an executed counterpart of this Agreement shall be deemed to constitute due and sufficient delivery of such counterpart. If by electronic mail, the executed Agreement must be delivered in a.pdf format.</w:t>
      </w:r>
    </w:p>
    <w:p>
      <w:pPr>
        <w:spacing w:after="0" w:line="180"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11.10. Amendment; Waiver</w:t>
      </w:r>
      <w:r>
        <w:rPr>
          <w:rFonts w:ascii="Arial" w:cs="Arial" w:eastAsia="Arial" w:hAnsi="Arial"/>
          <w:sz w:val="16"/>
          <w:szCs w:val="16"/>
          <w:color w:val="auto"/>
        </w:rPr>
        <w:t>. This Agreement may be amended, modified, superseded or canceled, and any of the terms may be waived, only by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instrument executed by each party or, in the case of waiver, by the party waiving compliance. The delay or failure of either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54"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b w:val="1"/>
          <w:bCs w:val="1"/>
          <w:color w:val="auto"/>
        </w:rPr>
        <w:t>11.11. No Agency or Partnership</w:t>
      </w:r>
      <w:r>
        <w:rPr>
          <w:rFonts w:ascii="Arial" w:cs="Arial" w:eastAsia="Arial" w:hAnsi="Arial"/>
          <w:sz w:val="18"/>
          <w:szCs w:val="18"/>
          <w:color w:val="auto"/>
        </w:rPr>
        <w:t>. Nothing contained in this Agreement shall give either party the right to bind the other, or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either party as agent for or partner of the other or any third party.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3" w:right="459" w:bottom="1440" w:gutter="0" w:footer="0" w:header="0"/>
        </w:sectPr>
      </w:pPr>
    </w:p>
    <w:bookmarkStart w:id="523" w:name="page524"/>
    <w:bookmarkEnd w:id="523"/>
    <w:p>
      <w:pPr>
        <w:ind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11.12. Assignment and Successors</w:t>
      </w:r>
      <w:r>
        <w:rPr>
          <w:rFonts w:ascii="Arial" w:cs="Arial" w:eastAsia="Arial" w:hAnsi="Arial"/>
          <w:sz w:val="16"/>
          <w:szCs w:val="16"/>
          <w:color w:val="auto"/>
        </w:rPr>
        <w:t>. This Agreement may not be assigned by either party without the consent of the other, which consent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be unreasonably withheld, except that each party may, without such consent, assign this Agreement, in its entirety, and the rights, obligations and interests of a successor party in connection with a Change of Control, following payment of the Change of Control milestone set forth in Section 4.3 (in the case of a Change of Control of Syllable); and provided that the assignee agrees in writing to be bound by the terms of this Agreement. Any assignment purported or attempted to be made in violation of the terms of this Section 11.12 shall be null and void and of no legal effect.</w:t>
      </w:r>
    </w:p>
    <w:p>
      <w:pPr>
        <w:spacing w:after="0" w:line="154"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b w:val="1"/>
          <w:bCs w:val="1"/>
          <w:color w:val="auto"/>
        </w:rPr>
        <w:t>11.13. Force Majeure</w:t>
      </w:r>
      <w:r>
        <w:rPr>
          <w:rFonts w:ascii="Arial" w:cs="Arial" w:eastAsia="Arial" w:hAnsi="Arial"/>
          <w:sz w:val="18"/>
          <w:szCs w:val="18"/>
          <w:color w:val="auto"/>
        </w:rPr>
        <w:t>. Except for monetary obligations hereunder, neither party will be responsible for delays resulting from causes beyond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control of such party, including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80"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11.14. Interpretation</w:t>
      </w:r>
      <w:r>
        <w:rPr>
          <w:rFonts w:ascii="Arial" w:cs="Arial" w:eastAsia="Arial" w:hAnsi="Arial"/>
          <w:sz w:val="17"/>
          <w:szCs w:val="17"/>
          <w:color w:val="auto"/>
        </w:rPr>
        <w:t>. Each party hereto acknowledges and agrees that: (a) it and/or its counsel reviewed and negotiated the terms and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and has contributed to its revision; (b) the rule of construction to the effect that any ambiguities are resolved against the drafting party shall not be employed in the interpretation of this Agreement; (c) the terms and provisions of this Agreement shall be construed fairly as to both parties hereto and not in favor of or against either party, regardless of which party was generally responsible for the preparation of this Agreement; and (d) the use of “include,” “includes,” or “including” herein shall not be limiting and “or” shall not be exclusive.</w:t>
      </w:r>
    </w:p>
    <w:p>
      <w:pPr>
        <w:spacing w:after="0" w:line="168"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b w:val="1"/>
          <w:bCs w:val="1"/>
          <w:color w:val="auto"/>
        </w:rPr>
        <w:t>11.15. Severability</w:t>
      </w:r>
      <w:r>
        <w:rPr>
          <w:rFonts w:ascii="Arial" w:cs="Arial" w:eastAsia="Arial" w:hAnsi="Arial"/>
          <w:sz w:val="18"/>
          <w:szCs w:val="18"/>
          <w:color w:val="auto"/>
        </w:rPr>
        <w:t>. If any provision of this Agreement is or becomes invalid or is ruled invalid by any court of competent jurisdiction or is</w:t>
      </w:r>
      <w:r>
        <w:rPr>
          <w:rFonts w:ascii="Arial" w:cs="Arial" w:eastAsia="Arial" w:hAnsi="Arial"/>
          <w:sz w:val="18"/>
          <w:szCs w:val="18"/>
          <w:b w:val="1"/>
          <w:bCs w:val="1"/>
          <w:color w:val="auto"/>
        </w:rPr>
        <w:t xml:space="preserve"> </w:t>
      </w:r>
      <w:r>
        <w:rPr>
          <w:rFonts w:ascii="Arial" w:cs="Arial" w:eastAsia="Arial" w:hAnsi="Arial"/>
          <w:sz w:val="18"/>
          <w:szCs w:val="18"/>
          <w:color w:val="auto"/>
        </w:rPr>
        <w:t>deemed unenforceable, it is the intention of the parties that the remainder of this Agreement shall not be affected.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69" w:right="479" w:bottom="1440" w:gutter="0" w:footer="0" w:header="0"/>
        </w:sectPr>
      </w:pPr>
    </w:p>
    <w:bookmarkStart w:id="524" w:name="page525"/>
    <w:bookmarkEnd w:id="524"/>
    <w:p>
      <w:pPr>
        <w:ind w:right="2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caused this Agreement to be executed by their duly authorized representatives as of the date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President and Fellows of Harvard College</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Syllable Life Sciences,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Isaac T. Kohlberg</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Chan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Isaac T. Kohlberg</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John Chan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Technology Development Officer</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69" w:right="439" w:bottom="1440" w:gutter="0" w:footer="0" w:header="0"/>
        </w:sectPr>
      </w:pPr>
    </w:p>
    <w:bookmarkStart w:id="525" w:name="page526"/>
    <w:bookmarkEnd w:id="5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Development Milestones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019"/>
          </w:cols>
          <w:pgMar w:left="1440" w:top="269" w:right="1440" w:bottom="1440" w:gutter="0" w:footer="0" w:header="0"/>
        </w:sectPr>
      </w:pPr>
    </w:p>
    <w:bookmarkStart w:id="526" w:name="page527"/>
    <w:bookmarkEnd w:id="5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Development Plan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019"/>
          </w:cols>
          <w:pgMar w:left="1440" w:top="269" w:right="1440" w:bottom="1440" w:gutter="0" w:footer="0" w:header="0"/>
        </w:sectPr>
      </w:pPr>
    </w:p>
    <w:bookmarkStart w:id="527" w:name="page528"/>
    <w:bookmarkEnd w:id="5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Existing Patent Rights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sectPr>
      </w:pPr>
    </w:p>
    <w:bookmarkStart w:id="528" w:name="page529"/>
    <w:bookmarkEnd w:id="5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Original Software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69" w:right="1440" w:bottom="1440" w:gutter="0" w:footer="0" w:header="0"/>
        </w:sectPr>
      </w:pPr>
    </w:p>
    <w:bookmarkStart w:id="529" w:name="page530"/>
    <w:bookmarkEnd w:id="5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6.2.1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Back Patent Costs Payment Schedule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019"/>
          </w:cols>
          <w:pgMar w:left="1440" w:top="269" w:right="1440" w:bottom="1440" w:gutter="0" w:footer="0" w:header="0"/>
        </w:sectPr>
      </w:pPr>
    </w:p>
    <w:bookmarkStart w:id="530" w:name="page531"/>
    <w:bookmarkEnd w:id="5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5.1.1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Financial Reports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019"/>
          </w:cols>
          <w:pgMar w:left="1440" w:top="269" w:right="1440" w:bottom="1440" w:gutter="0" w:footer="0" w:header="0"/>
        </w:sectPr>
      </w:pPr>
    </w:p>
    <w:bookmarkStart w:id="531" w:name="page532"/>
    <w:bookmarkEnd w:id="531"/>
    <w:p>
      <w:pPr>
        <w:jc w:val="right"/>
        <w:spacing w:after="0"/>
        <w:rPr>
          <w:sz w:val="20"/>
          <w:szCs w:val="20"/>
          <w:color w:val="auto"/>
        </w:rPr>
      </w:pPr>
      <w:r>
        <w:rPr>
          <w:rFonts w:ascii="Arial" w:cs="Arial" w:eastAsia="Arial" w:hAnsi="Arial"/>
          <w:sz w:val="18"/>
          <w:szCs w:val="18"/>
          <w:b w:val="1"/>
          <w:bCs w:val="1"/>
          <w:color w:val="auto"/>
        </w:rPr>
        <w:t>Exhibit 10.6(b)</w:t>
      </w:r>
    </w:p>
    <w:p>
      <w:pPr>
        <w:spacing w:after="0" w:line="225" w:lineRule="exact"/>
        <w:rPr>
          <w:sz w:val="20"/>
          <w:szCs w:val="20"/>
          <w:color w:val="auto"/>
        </w:rPr>
      </w:pPr>
    </w:p>
    <w:p>
      <w:pPr>
        <w:ind w:left="4" w:right="200" w:hanging="4"/>
        <w:spacing w:after="0" w:line="282" w:lineRule="auto"/>
        <w:tabs>
          <w:tab w:leader="none" w:pos="439"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is treated by the Registrant as private or confidential.</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 1 TO LICENSE AGREEMENT</w:t>
      </w:r>
    </w:p>
    <w:p>
      <w:pPr>
        <w:spacing w:after="0" w:line="225"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7"/>
          <w:szCs w:val="17"/>
          <w:color w:val="auto"/>
        </w:rPr>
        <w:t>This AMENDMENT NO. 1 TO LICENSE AGREEMENT (“</w:t>
      </w:r>
      <w:r>
        <w:rPr>
          <w:rFonts w:ascii="Arial" w:cs="Arial" w:eastAsia="Arial" w:hAnsi="Arial"/>
          <w:sz w:val="17"/>
          <w:szCs w:val="17"/>
          <w:b w:val="1"/>
          <w:bCs w:val="1"/>
          <w:color w:val="auto"/>
        </w:rPr>
        <w:t>Amendment No. 1</w:t>
      </w:r>
      <w:r>
        <w:rPr>
          <w:rFonts w:ascii="Arial" w:cs="Arial" w:eastAsia="Arial" w:hAnsi="Arial"/>
          <w:sz w:val="17"/>
          <w:szCs w:val="17"/>
          <w:color w:val="auto"/>
        </w:rPr>
        <w:t>”) is effective March 31, 2021 (the “</w:t>
      </w:r>
      <w:r>
        <w:rPr>
          <w:rFonts w:ascii="Arial" w:cs="Arial" w:eastAsia="Arial" w:hAnsi="Arial"/>
          <w:sz w:val="17"/>
          <w:szCs w:val="17"/>
          <w:b w:val="1"/>
          <w:bCs w:val="1"/>
          <w:color w:val="auto"/>
        </w:rPr>
        <w:t>Amendment No. 1 Effective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and is made by and between Syllable Life Sciences, Inc. (“</w:t>
      </w:r>
      <w:r>
        <w:rPr>
          <w:rFonts w:ascii="Arial" w:cs="Arial" w:eastAsia="Arial" w:hAnsi="Arial"/>
          <w:sz w:val="17"/>
          <w:szCs w:val="17"/>
          <w:b w:val="1"/>
          <w:bCs w:val="1"/>
          <w:color w:val="auto"/>
        </w:rPr>
        <w:t>Syllable</w:t>
      </w:r>
      <w:r>
        <w:rPr>
          <w:rFonts w:ascii="Arial" w:cs="Arial" w:eastAsia="Arial" w:hAnsi="Arial"/>
          <w:sz w:val="17"/>
          <w:szCs w:val="17"/>
          <w:color w:val="auto"/>
        </w:rPr>
        <w:t>”), and the President and Fellows of Harvard College, (“</w:t>
      </w:r>
      <w:r>
        <w:rPr>
          <w:rFonts w:ascii="Arial" w:cs="Arial" w:eastAsia="Arial" w:hAnsi="Arial"/>
          <w:sz w:val="17"/>
          <w:szCs w:val="17"/>
          <w:b w:val="1"/>
          <w:bCs w:val="1"/>
          <w:color w:val="auto"/>
        </w:rPr>
        <w:t>Harvard</w:t>
      </w:r>
      <w:r>
        <w:rPr>
          <w:rFonts w:ascii="Arial" w:cs="Arial" w:eastAsia="Arial" w:hAnsi="Arial"/>
          <w:sz w:val="17"/>
          <w:szCs w:val="17"/>
          <w:color w:val="auto"/>
        </w:rPr>
        <w:t>”). This</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No. 1 shall serve as an amendment to that certain License Agreement dated June 15, 2020 by and between the parties (the “</w:t>
      </w:r>
      <w:r>
        <w:rPr>
          <w:rFonts w:ascii="Arial" w:cs="Arial" w:eastAsia="Arial" w:hAnsi="Arial"/>
          <w:sz w:val="17"/>
          <w:szCs w:val="17"/>
          <w:b w:val="1"/>
          <w:bCs w:val="1"/>
          <w:color w:val="auto"/>
        </w:rPr>
        <w:t>Agreement</w:t>
      </w:r>
      <w:r>
        <w:rPr>
          <w:rFonts w:ascii="Arial" w:cs="Arial" w:eastAsia="Arial" w:hAnsi="Arial"/>
          <w:sz w:val="17"/>
          <w:szCs w:val="17"/>
          <w:color w:val="auto"/>
        </w:rPr>
        <w:t>”). Except as expressly modified hereby, the Agreement shall continue in full force according to its terms. Capitalized terms used in this Amendment No. 1 and not otherwise defined herein shall have the same meaning as set forth in the Agreement.</w:t>
      </w:r>
    </w:p>
    <w:p>
      <w:pPr>
        <w:spacing w:after="0" w:line="17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WHEREAS, the parties wish to acknowledge that the Threshold Funding Amounts have been achieved and make certain amendments to the Development Milestones.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AGREEMENT</w:t>
      </w:r>
    </w:p>
    <w:p>
      <w:pPr>
        <w:spacing w:after="0" w:line="248" w:lineRule="exact"/>
        <w:rPr>
          <w:sz w:val="20"/>
          <w:szCs w:val="20"/>
          <w:color w:val="auto"/>
        </w:rPr>
      </w:pPr>
    </w:p>
    <w:p>
      <w:pPr>
        <w:ind w:left="424" w:right="980" w:hanging="424"/>
        <w:spacing w:after="0" w:line="282" w:lineRule="auto"/>
        <w:tabs>
          <w:tab w:leader="none" w:pos="424"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Threshold Funding Amounts</w:t>
      </w:r>
      <w:r>
        <w:rPr>
          <w:rFonts w:ascii="Arial" w:cs="Arial" w:eastAsia="Arial" w:hAnsi="Arial"/>
          <w:sz w:val="18"/>
          <w:szCs w:val="18"/>
          <w:color w:val="auto"/>
        </w:rPr>
        <w:t>. Harvard hereby acknowledges and agrees that the Threshold Funding Amount obligations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3.1.2 of the Agreement have been achieved in full.</w:t>
      </w:r>
    </w:p>
    <w:p>
      <w:pPr>
        <w:spacing w:after="0" w:line="67" w:lineRule="exact"/>
        <w:rPr>
          <w:rFonts w:ascii="Arial" w:cs="Arial" w:eastAsia="Arial" w:hAnsi="Arial"/>
          <w:sz w:val="18"/>
          <w:szCs w:val="18"/>
          <w:color w:val="auto"/>
        </w:rPr>
      </w:pPr>
    </w:p>
    <w:p>
      <w:pPr>
        <w:ind w:left="424" w:hanging="424"/>
        <w:spacing w:after="0"/>
        <w:tabs>
          <w:tab w:leader="none" w:pos="424" w:val="left"/>
        </w:tabs>
        <w:numPr>
          <w:ilvl w:val="0"/>
          <w:numId w:val="318"/>
        </w:numPr>
        <w:rPr>
          <w:rFonts w:ascii="Arial" w:cs="Arial" w:eastAsia="Arial" w:hAnsi="Arial"/>
          <w:sz w:val="17"/>
          <w:szCs w:val="17"/>
          <w:color w:val="auto"/>
        </w:rPr>
      </w:pPr>
      <w:r>
        <w:rPr>
          <w:rFonts w:ascii="Arial" w:cs="Arial" w:eastAsia="Arial" w:hAnsi="Arial"/>
          <w:sz w:val="17"/>
          <w:szCs w:val="17"/>
          <w:b w:val="1"/>
          <w:bCs w:val="1"/>
          <w:color w:val="auto"/>
        </w:rPr>
        <w:t>Development Milestones</w:t>
      </w:r>
      <w:r>
        <w:rPr>
          <w:rFonts w:ascii="Arial" w:cs="Arial" w:eastAsia="Arial" w:hAnsi="Arial"/>
          <w:sz w:val="17"/>
          <w:szCs w:val="17"/>
          <w:color w:val="auto"/>
        </w:rPr>
        <w:t>. Exhibit 1.4 of the Agreement is hereby amended and replaced in its entirety with Exhibit 1.4 attached hereto.</w:t>
      </w:r>
    </w:p>
    <w:p>
      <w:pPr>
        <w:spacing w:after="0" w:line="142" w:lineRule="exact"/>
        <w:rPr>
          <w:rFonts w:ascii="Arial" w:cs="Arial" w:eastAsia="Arial" w:hAnsi="Arial"/>
          <w:sz w:val="17"/>
          <w:szCs w:val="17"/>
          <w:color w:val="auto"/>
        </w:rPr>
      </w:pPr>
    </w:p>
    <w:p>
      <w:pPr>
        <w:jc w:val="both"/>
        <w:ind w:left="424" w:right="180" w:hanging="424"/>
        <w:spacing w:after="0" w:line="266" w:lineRule="auto"/>
        <w:tabs>
          <w:tab w:leader="none" w:pos="424"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Amendment No. 1 shall be binding upon and shall inure to the benefit of the respective permitted successors and assigns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Parties hereto (if any). This Amendment No. 1 may be executed in one or more counterparts (including by .pdf), each of which shall constitute an original and all of which, when taken together, shall constitute one agreement.</w:t>
      </w:r>
    </w:p>
    <w:p>
      <w:pPr>
        <w:spacing w:after="0" w:line="180"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 xml:space="preserve">IN WITNESS WHEREOF, the Parties hereto, intending to be legally bound hereby, have caused this Amendment No. 1 to be executed and delivered by their proper and duly authorized officers effective as of the Amendment No. </w:t>
      </w:r>
      <w:r>
        <w:rPr>
          <w:rFonts w:ascii="Arial" w:cs="Arial" w:eastAsia="Arial" w:hAnsi="Arial"/>
          <w:sz w:val="18"/>
          <w:szCs w:val="18"/>
          <w:b w:val="1"/>
          <w:bCs w:val="1"/>
          <w:color w:val="auto"/>
        </w:rPr>
        <w:t>1</w:t>
      </w:r>
      <w:r>
        <w:rPr>
          <w:rFonts w:ascii="Arial" w:cs="Arial" w:eastAsia="Arial" w:hAnsi="Arial"/>
          <w:sz w:val="18"/>
          <w:szCs w:val="18"/>
          <w:color w:val="auto"/>
        </w:rPr>
        <w:t xml:space="preserve"> Effective Date.</w:t>
      </w:r>
    </w:p>
    <w:p>
      <w:pPr>
        <w:sectPr>
          <w:pgSz w:w="11900" w:h="16838" w:orient="portrait"/>
          <w:cols w:equalWidth="0" w:num="1">
            <w:col w:w="11024"/>
          </w:cols>
          <w:pgMar w:left="436" w:top="121" w:right="439" w:bottom="1440" w:gutter="0" w:footer="0" w:header="0"/>
        </w:sectPr>
      </w:pP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RESIDENT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ELLOWS OF</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ARVARD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OLLEGE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YLLABLE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CIENCES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5024" w:space="720"/>
            <w:col w:w="5280"/>
          </w:cols>
          <w:pgMar w:left="436" w:top="121" w:right="439" w:bottom="1440" w:gutter="0" w:footer="0" w:header="0"/>
          <w:type w:val="continuous"/>
        </w:sectPr>
      </w:pPr>
    </w:p>
    <w:p>
      <w:pPr>
        <w:spacing w:after="0" w:line="29" w:lineRule="exact"/>
        <w:rPr>
          <w:sz w:val="20"/>
          <w:szCs w:val="20"/>
          <w:color w:val="auto"/>
        </w:rPr>
      </w:pPr>
    </w:p>
    <w:p>
      <w:pPr>
        <w:ind w:left="4"/>
        <w:spacing w:after="0"/>
        <w:rPr>
          <w:sz w:val="20"/>
          <w:szCs w:val="20"/>
          <w:color w:val="auto"/>
        </w:rPr>
      </w:pPr>
      <w:r>
        <w:rPr>
          <w:rFonts w:ascii="Arial" w:cs="Arial" w:eastAsia="Arial" w:hAnsi="Arial"/>
          <w:sz w:val="16"/>
          <w:szCs w:val="16"/>
          <w:color w:val="auto"/>
        </w:rPr>
        <w:t>B</w:t>
      </w:r>
      <w:r>
        <w:rPr>
          <w:rFonts w:ascii="Arial" w:cs="Arial" w:eastAsia="Arial" w:hAnsi="Arial"/>
          <w:sz w:val="12"/>
          <w:szCs w:val="12"/>
          <w:color w:val="auto"/>
        </w:rPr>
        <w:t>Y</w:t>
      </w:r>
      <w:r>
        <w:rPr>
          <w:rFonts w:ascii="Arial" w:cs="Arial" w:eastAsia="Arial" w:hAnsi="Arial"/>
          <w:sz w:val="16"/>
          <w:szCs w:val="16"/>
          <w:color w:val="auto"/>
        </w:rPr>
        <w:t>: /s/ Isaac T. Kohlberg</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TS</w:t>
      </w:r>
      <w:r>
        <w:rPr>
          <w:rFonts w:ascii="Arial" w:cs="Arial" w:eastAsia="Arial" w:hAnsi="Arial"/>
          <w:sz w:val="18"/>
          <w:szCs w:val="18"/>
          <w:color w:val="auto"/>
        </w:rPr>
        <w:t>: Isaac T. Kohlberg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w:t>
      </w:r>
      <w:r>
        <w:rPr>
          <w:rFonts w:ascii="Arial" w:cs="Arial" w:eastAsia="Arial" w:hAnsi="Arial"/>
          <w:sz w:val="18"/>
          <w:szCs w:val="18"/>
          <w:color w:val="auto"/>
        </w:rPr>
        <w:t>: M</w:t>
      </w:r>
      <w:r>
        <w:rPr>
          <w:rFonts w:ascii="Arial" w:cs="Arial" w:eastAsia="Arial" w:hAnsi="Arial"/>
          <w:sz w:val="14"/>
          <w:szCs w:val="14"/>
          <w:color w:val="auto"/>
        </w:rPr>
        <w:t>AY</w:t>
      </w:r>
      <w:r>
        <w:rPr>
          <w:rFonts w:ascii="Arial" w:cs="Arial" w:eastAsia="Arial" w:hAnsi="Arial"/>
          <w:sz w:val="18"/>
          <w:szCs w:val="18"/>
          <w:color w:val="auto"/>
        </w:rPr>
        <w:t xml:space="preserve"> 27, 2021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w:t>
      </w:r>
      <w:r>
        <w:rPr>
          <w:rFonts w:ascii="Arial" w:cs="Arial" w:eastAsia="Arial" w:hAnsi="Arial"/>
          <w:sz w:val="12"/>
          <w:szCs w:val="12"/>
          <w:color w:val="auto"/>
        </w:rPr>
        <w:t>Y</w:t>
      </w:r>
      <w:r>
        <w:rPr>
          <w:rFonts w:ascii="Arial" w:cs="Arial" w:eastAsia="Arial" w:hAnsi="Arial"/>
          <w:sz w:val="16"/>
          <w:szCs w:val="16"/>
          <w:color w:val="auto"/>
        </w:rPr>
        <w:t>: /s/ Paul Berns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TS</w:t>
      </w:r>
      <w:r>
        <w:rPr>
          <w:rFonts w:ascii="Arial" w:cs="Arial" w:eastAsia="Arial" w:hAnsi="Arial"/>
          <w:sz w:val="18"/>
          <w:szCs w:val="18"/>
          <w:color w:val="auto"/>
        </w:rPr>
        <w:t>: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w:t>
      </w:r>
      <w:r>
        <w:rPr>
          <w:rFonts w:ascii="Arial" w:cs="Arial" w:eastAsia="Arial" w:hAnsi="Arial"/>
          <w:sz w:val="18"/>
          <w:szCs w:val="18"/>
          <w:color w:val="auto"/>
        </w:rPr>
        <w:t>: 5/25/2021</w:t>
      </w:r>
    </w:p>
    <w:p>
      <w:pPr>
        <w:sectPr>
          <w:pgSz w:w="11900" w:h="16838" w:orient="portrait"/>
          <w:cols w:equalWidth="0" w:num="2">
            <w:col w:w="5024" w:space="720"/>
            <w:col w:w="5280"/>
          </w:cols>
          <w:pgMar w:left="436" w:top="121" w:right="439" w:bottom="1440" w:gutter="0" w:footer="0" w:header="0"/>
          <w:type w:val="continuous"/>
        </w:sectPr>
      </w:pPr>
    </w:p>
    <w:bookmarkStart w:id="532" w:name="page533"/>
    <w:bookmarkEnd w:id="5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Development Milestones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9019"/>
      </w:cols>
      <w:pgMar w:left="1440" w:top="2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32AB86"/>
    <w:multiLevelType w:val="hybridMultilevel"/>
    <w:lvl w:ilvl="0">
      <w:lvlJc w:val="left"/>
      <w:lvlText w:val="(%1)"/>
      <w:numFmt w:val="decimal"/>
      <w:start w:val="1"/>
    </w:lvl>
  </w:abstractNum>
  <w:abstractNum w:abstractNumId="1">
    <w:nsid w:val="3F07ACC3"/>
    <w:multiLevelType w:val="hybridMultilevel"/>
    <w:lvl w:ilvl="0">
      <w:lvlJc w:val="left"/>
      <w:lvlText w:val="(%1)"/>
      <w:numFmt w:val="decimal"/>
      <w:start w:val="1"/>
    </w:lvl>
  </w:abstractNum>
  <w:abstractNum w:abstractNumId="2">
    <w:nsid w:val="6B47F63E"/>
    <w:multiLevelType w:val="hybridMultilevel"/>
    <w:lvl w:ilvl="0">
      <w:lvlJc w:val="left"/>
      <w:lvlText w:val="•"/>
      <w:numFmt w:val="bullet"/>
      <w:start w:val="1"/>
    </w:lvl>
  </w:abstractNum>
  <w:abstractNum w:abstractNumId="3">
    <w:nsid w:val="5CB44A05"/>
    <w:multiLevelType w:val="hybridMultilevel"/>
    <w:lvl w:ilvl="0">
      <w:lvlJc w:val="left"/>
      <w:lvlText w:val="•"/>
      <w:numFmt w:val="bullet"/>
      <w:start w:val="1"/>
    </w:lvl>
  </w:abstractNum>
  <w:abstractNum w:abstractNumId="4">
    <w:nsid w:val="16CF80F1"/>
    <w:multiLevelType w:val="hybridMultilevel"/>
    <w:lvl w:ilvl="0">
      <w:lvlJc w:val="left"/>
      <w:lvlText w:val="•"/>
      <w:numFmt w:val="bullet"/>
      <w:start w:val="1"/>
    </w:lvl>
  </w:abstractNum>
  <w:abstractNum w:abstractNumId="5">
    <w:nsid w:val="1C695DEC"/>
    <w:multiLevelType w:val="hybridMultilevel"/>
    <w:lvl w:ilvl="0">
      <w:lvlJc w:val="left"/>
      <w:lvlText w:val="•"/>
      <w:numFmt w:val="bullet"/>
      <w:start w:val="1"/>
    </w:lvl>
  </w:abstractNum>
  <w:abstractNum w:abstractNumId="6">
    <w:nsid w:val="3FCFAED9"/>
    <w:multiLevelType w:val="hybridMultilevel"/>
    <w:lvl w:ilvl="0">
      <w:lvlJc w:val="left"/>
      <w:lvlText w:val="•"/>
      <w:numFmt w:val="bullet"/>
      <w:start w:val="1"/>
    </w:lvl>
  </w:abstractNum>
  <w:abstractNum w:abstractNumId="7">
    <w:nsid w:val="F856867"/>
    <w:multiLevelType w:val="hybridMultilevel"/>
    <w:lvl w:ilvl="0">
      <w:lvlJc w:val="left"/>
      <w:lvlText w:val="•"/>
      <w:numFmt w:val="bullet"/>
      <w:start w:val="1"/>
    </w:lvl>
  </w:abstractNum>
  <w:abstractNum w:abstractNumId="8">
    <w:nsid w:val="11B1CC33"/>
    <w:multiLevelType w:val="hybridMultilevel"/>
    <w:lvl w:ilvl="0">
      <w:lvlJc w:val="left"/>
      <w:lvlText w:val="•"/>
      <w:numFmt w:val="bullet"/>
      <w:start w:val="1"/>
    </w:lvl>
  </w:abstractNum>
  <w:abstractNum w:abstractNumId="9">
    <w:nsid w:val="2E22FBB7"/>
    <w:multiLevelType w:val="hybridMultilevel"/>
    <w:lvl w:ilvl="0">
      <w:lvlJc w:val="left"/>
      <w:lvlText w:val="•"/>
      <w:numFmt w:val="bullet"/>
      <w:start w:val="1"/>
    </w:lvl>
  </w:abstractNum>
  <w:abstractNum w:abstractNumId="10">
    <w:nsid w:val="29934699"/>
    <w:multiLevelType w:val="hybridMultilevel"/>
    <w:lvl w:ilvl="0">
      <w:lvlJc w:val="left"/>
      <w:lvlText w:val="•"/>
      <w:numFmt w:val="bullet"/>
      <w:start w:val="1"/>
    </w:lvl>
  </w:abstractNum>
  <w:abstractNum w:abstractNumId="11">
    <w:nsid w:val="77485850"/>
    <w:multiLevelType w:val="hybridMultilevel"/>
    <w:lvl w:ilvl="0">
      <w:lvlJc w:val="left"/>
      <w:lvlText w:val="•"/>
      <w:numFmt w:val="bullet"/>
      <w:start w:val="1"/>
    </w:lvl>
  </w:abstractNum>
  <w:abstractNum w:abstractNumId="12">
    <w:nsid w:val="744939A3"/>
    <w:multiLevelType w:val="hybridMultilevel"/>
    <w:lvl w:ilvl="0">
      <w:lvlJc w:val="left"/>
      <w:lvlText w:val="•"/>
      <w:numFmt w:val="bullet"/>
      <w:start w:val="1"/>
    </w:lvl>
  </w:abstractNum>
  <w:abstractNum w:abstractNumId="13">
    <w:nsid w:val="4FA0D2E3"/>
    <w:multiLevelType w:val="hybridMultilevel"/>
    <w:lvl w:ilvl="0">
      <w:lvlJc w:val="left"/>
      <w:lvlText w:val="•"/>
      <w:numFmt w:val="bullet"/>
      <w:start w:val="1"/>
    </w:lvl>
  </w:abstractNum>
  <w:abstractNum w:abstractNumId="14">
    <w:nsid w:val="6B1D2C14"/>
    <w:multiLevelType w:val="hybridMultilevel"/>
    <w:lvl w:ilvl="0">
      <w:lvlJc w:val="left"/>
      <w:lvlText w:val="•"/>
      <w:numFmt w:val="bullet"/>
      <w:start w:val="1"/>
    </w:lvl>
  </w:abstractNum>
  <w:abstractNum w:abstractNumId="15">
    <w:nsid w:val="68B867D3"/>
    <w:multiLevelType w:val="hybridMultilevel"/>
    <w:lvl w:ilvl="0">
      <w:lvlJc w:val="left"/>
      <w:lvlText w:val="(%1)"/>
      <w:numFmt w:val="decimal"/>
      <w:start w:val="1"/>
    </w:lvl>
  </w:abstractNum>
  <w:abstractNum w:abstractNumId="16">
    <w:nsid w:val="3F7F5DD9"/>
    <w:multiLevelType w:val="hybridMultilevel"/>
    <w:lvl w:ilvl="0">
      <w:lvlJc w:val="left"/>
      <w:lvlText w:val="(%1)"/>
      <w:numFmt w:val="decimal"/>
      <w:start w:val="1"/>
    </w:lvl>
  </w:abstractNum>
  <w:abstractNum w:abstractNumId="17">
    <w:nsid w:val="2AE05A34"/>
    <w:multiLevelType w:val="hybridMultilevel"/>
    <w:lvl w:ilvl="0">
      <w:lvlJc w:val="left"/>
      <w:lvlText w:val="(%1)"/>
      <w:numFmt w:val="decimal"/>
      <w:start w:val="2"/>
    </w:lvl>
  </w:abstractNum>
  <w:abstractNum w:abstractNumId="18">
    <w:nsid w:val="32794FF7"/>
    <w:multiLevelType w:val="hybridMultilevel"/>
    <w:lvl w:ilvl="0">
      <w:lvlJc w:val="left"/>
      <w:lvlText w:val="(%1)"/>
      <w:numFmt w:val="decimal"/>
      <w:start w:val="4"/>
    </w:lvl>
  </w:abstractNum>
  <w:abstractNum w:abstractNumId="19">
    <w:nsid w:val="5454945E"/>
    <w:multiLevelType w:val="hybridMultilevel"/>
    <w:lvl w:ilvl="0">
      <w:lvlJc w:val="left"/>
      <w:lvlText w:val="•"/>
      <w:numFmt w:val="bullet"/>
      <w:start w:val="1"/>
    </w:lvl>
  </w:abstractNum>
  <w:abstractNum w:abstractNumId="20">
    <w:nsid w:val="4DEFDFA0"/>
    <w:multiLevelType w:val="hybridMultilevel"/>
    <w:lvl w:ilvl="0">
      <w:lvlJc w:val="left"/>
      <w:lvlText w:val="•"/>
      <w:numFmt w:val="bullet"/>
      <w:start w:val="1"/>
    </w:lvl>
  </w:abstractNum>
  <w:abstractNum w:abstractNumId="21">
    <w:nsid w:val="2123D5F2"/>
    <w:multiLevelType w:val="hybridMultilevel"/>
    <w:lvl w:ilvl="0">
      <w:lvlJc w:val="left"/>
      <w:lvlText w:val="•"/>
      <w:numFmt w:val="bullet"/>
      <w:start w:val="1"/>
    </w:lvl>
  </w:abstractNum>
  <w:abstractNum w:abstractNumId="22">
    <w:nsid w:val="135B8110"/>
    <w:multiLevelType w:val="hybridMultilevel"/>
    <w:lvl w:ilvl="0">
      <w:lvlJc w:val="left"/>
      <w:lvlText w:val="•"/>
      <w:numFmt w:val="bullet"/>
      <w:start w:val="1"/>
    </w:lvl>
  </w:abstractNum>
  <w:abstractNum w:abstractNumId="23">
    <w:nsid w:val="94927A8"/>
    <w:multiLevelType w:val="hybridMultilevel"/>
    <w:lvl w:ilvl="0">
      <w:lvlJc w:val="left"/>
      <w:lvlText w:val="•"/>
      <w:numFmt w:val="bullet"/>
      <w:start w:val="1"/>
    </w:lvl>
  </w:abstractNum>
  <w:abstractNum w:abstractNumId="24">
    <w:nsid w:val="DCDF8F6"/>
    <w:multiLevelType w:val="hybridMultilevel"/>
    <w:lvl w:ilvl="0">
      <w:lvlJc w:val="left"/>
      <w:lvlText w:val="•"/>
      <w:numFmt w:val="bullet"/>
      <w:start w:val="1"/>
    </w:lvl>
  </w:abstractNum>
  <w:abstractNum w:abstractNumId="25">
    <w:nsid w:val="52D7B105"/>
    <w:multiLevelType w:val="hybridMultilevel"/>
    <w:lvl w:ilvl="0">
      <w:lvlJc w:val="left"/>
      <w:lvlText w:val="•"/>
      <w:numFmt w:val="bullet"/>
      <w:start w:val="1"/>
    </w:lvl>
  </w:abstractNum>
  <w:abstractNum w:abstractNumId="26">
    <w:nsid w:val="2E8A6394"/>
    <w:multiLevelType w:val="hybridMultilevel"/>
    <w:lvl w:ilvl="0">
      <w:lvlJc w:val="left"/>
      <w:lvlText w:val="•"/>
      <w:numFmt w:val="bullet"/>
      <w:start w:val="1"/>
    </w:lvl>
  </w:abstractNum>
  <w:abstractNum w:abstractNumId="27">
    <w:nsid w:val="24E60401"/>
    <w:multiLevelType w:val="hybridMultilevel"/>
    <w:lvl w:ilvl="0">
      <w:lvlJc w:val="left"/>
      <w:lvlText w:val="•"/>
      <w:numFmt w:val="bullet"/>
      <w:start w:val="1"/>
    </w:lvl>
  </w:abstractNum>
  <w:abstractNum w:abstractNumId="28">
    <w:nsid w:val="2A6AD9BE"/>
    <w:multiLevelType w:val="hybridMultilevel"/>
    <w:lvl w:ilvl="0">
      <w:lvlJc w:val="left"/>
      <w:lvlText w:val="•"/>
      <w:numFmt w:val="bullet"/>
      <w:start w:val="1"/>
    </w:lvl>
  </w:abstractNum>
  <w:abstractNum w:abstractNumId="29">
    <w:nsid w:val="BAAC1B4"/>
    <w:multiLevelType w:val="hybridMultilevel"/>
    <w:lvl w:ilvl="0">
      <w:lvlJc w:val="left"/>
      <w:lvlText w:val="•"/>
      <w:numFmt w:val="bullet"/>
      <w:start w:val="1"/>
    </w:lvl>
  </w:abstractNum>
  <w:abstractNum w:abstractNumId="30">
    <w:nsid w:val="36B2ACBC"/>
    <w:multiLevelType w:val="hybridMultilevel"/>
    <w:lvl w:ilvl="0">
      <w:lvlJc w:val="left"/>
      <w:lvlText w:val="•"/>
      <w:numFmt w:val="bullet"/>
      <w:start w:val="1"/>
    </w:lvl>
  </w:abstractNum>
  <w:abstractNum w:abstractNumId="31">
    <w:nsid w:val="779D8544"/>
    <w:multiLevelType w:val="hybridMultilevel"/>
    <w:lvl w:ilvl="0">
      <w:lvlJc w:val="left"/>
      <w:lvlText w:val="•"/>
      <w:numFmt w:val="bullet"/>
      <w:start w:val="1"/>
    </w:lvl>
  </w:abstractNum>
  <w:abstractNum w:abstractNumId="32">
    <w:nsid w:val="4AB26E78"/>
    <w:multiLevelType w:val="hybridMultilevel"/>
    <w:lvl w:ilvl="0">
      <w:lvlJc w:val="left"/>
      <w:lvlText w:val="•"/>
      <w:numFmt w:val="bullet"/>
      <w:start w:val="1"/>
    </w:lvl>
  </w:abstractNum>
  <w:abstractNum w:abstractNumId="33">
    <w:nsid w:val="21FAA2FA"/>
    <w:multiLevelType w:val="hybridMultilevel"/>
    <w:lvl w:ilvl="0">
      <w:lvlJc w:val="left"/>
      <w:lvlText w:val="•"/>
      <w:numFmt w:val="bullet"/>
      <w:start w:val="1"/>
    </w:lvl>
  </w:abstractNum>
  <w:abstractNum w:abstractNumId="34">
    <w:nsid w:val="5451CF49"/>
    <w:multiLevelType w:val="hybridMultilevel"/>
    <w:lvl w:ilvl="0">
      <w:lvlJc w:val="left"/>
      <w:lvlText w:val="•"/>
      <w:numFmt w:val="bullet"/>
      <w:start w:val="1"/>
    </w:lvl>
  </w:abstractNum>
  <w:abstractNum w:abstractNumId="35">
    <w:nsid w:val="6181EF69"/>
    <w:multiLevelType w:val="hybridMultilevel"/>
    <w:lvl w:ilvl="0">
      <w:lvlJc w:val="left"/>
      <w:lvlText w:val="•"/>
      <w:numFmt w:val="bullet"/>
      <w:start w:val="1"/>
    </w:lvl>
  </w:abstractNum>
  <w:abstractNum w:abstractNumId="36">
    <w:nsid w:val="3E6400E6"/>
    <w:multiLevelType w:val="hybridMultilevel"/>
    <w:lvl w:ilvl="0">
      <w:lvlJc w:val="left"/>
      <w:lvlText w:val="•"/>
      <w:numFmt w:val="bullet"/>
      <w:start w:val="1"/>
    </w:lvl>
  </w:abstractNum>
  <w:abstractNum w:abstractNumId="37">
    <w:nsid w:val="14217E23"/>
    <w:multiLevelType w:val="hybridMultilevel"/>
    <w:lvl w:ilvl="0">
      <w:lvlJc w:val="left"/>
      <w:lvlText w:val="•"/>
      <w:numFmt w:val="bullet"/>
      <w:start w:val="1"/>
    </w:lvl>
  </w:abstractNum>
  <w:abstractNum w:abstractNumId="38">
    <w:nsid w:val="710757D0"/>
    <w:multiLevelType w:val="hybridMultilevel"/>
    <w:lvl w:ilvl="0">
      <w:lvlJc w:val="left"/>
      <w:lvlText w:val="•"/>
      <w:numFmt w:val="bullet"/>
      <w:start w:val="1"/>
    </w:lvl>
  </w:abstractNum>
  <w:abstractNum w:abstractNumId="39">
    <w:nsid w:val="5015CD1A"/>
    <w:multiLevelType w:val="hybridMultilevel"/>
    <w:lvl w:ilvl="0">
      <w:lvlJc w:val="left"/>
      <w:lvlText w:val="•"/>
      <w:numFmt w:val="bullet"/>
      <w:start w:val="1"/>
    </w:lvl>
  </w:abstractNum>
  <w:abstractNum w:abstractNumId="40">
    <w:nsid w:val="424479DA"/>
    <w:multiLevelType w:val="hybridMultilevel"/>
    <w:lvl w:ilvl="0">
      <w:lvlJc w:val="left"/>
      <w:lvlText w:val="•"/>
      <w:numFmt w:val="bullet"/>
      <w:start w:val="1"/>
    </w:lvl>
  </w:abstractNum>
  <w:abstractNum w:abstractNumId="41">
    <w:nsid w:val="1A9A9E69"/>
    <w:multiLevelType w:val="hybridMultilevel"/>
    <w:lvl w:ilvl="0">
      <w:lvlJc w:val="left"/>
      <w:lvlText w:val="•"/>
      <w:numFmt w:val="bullet"/>
      <w:start w:val="1"/>
    </w:lvl>
  </w:abstractNum>
  <w:abstractNum w:abstractNumId="42">
    <w:nsid w:val="475E256A"/>
    <w:multiLevelType w:val="hybridMultilevel"/>
    <w:lvl w:ilvl="0">
      <w:lvlJc w:val="left"/>
      <w:lvlText w:val="•"/>
      <w:numFmt w:val="bullet"/>
      <w:start w:val="1"/>
    </w:lvl>
  </w:abstractNum>
  <w:abstractNum w:abstractNumId="43">
    <w:nsid w:val="368DB37E"/>
    <w:multiLevelType w:val="hybridMultilevel"/>
    <w:lvl w:ilvl="0">
      <w:lvlJc w:val="left"/>
      <w:lvlText w:val="•"/>
      <w:numFmt w:val="bullet"/>
      <w:start w:val="1"/>
    </w:lvl>
  </w:abstractNum>
  <w:abstractNum w:abstractNumId="44">
    <w:nsid w:val="6A3B714C"/>
    <w:multiLevelType w:val="hybridMultilevel"/>
    <w:lvl w:ilvl="0">
      <w:lvlJc w:val="left"/>
      <w:lvlText w:val="•"/>
      <w:numFmt w:val="bullet"/>
      <w:start w:val="1"/>
    </w:lvl>
  </w:abstractNum>
  <w:abstractNum w:abstractNumId="45">
    <w:nsid w:val="327B517E"/>
    <w:multiLevelType w:val="hybridMultilevel"/>
    <w:lvl w:ilvl="0">
      <w:lvlJc w:val="left"/>
      <w:lvlText w:val="•"/>
      <w:numFmt w:val="bullet"/>
      <w:start w:val="1"/>
    </w:lvl>
  </w:abstractNum>
  <w:abstractNum w:abstractNumId="46">
    <w:nsid w:val="1F461B51"/>
    <w:multiLevelType w:val="hybridMultilevel"/>
    <w:lvl w:ilvl="0">
      <w:lvlJc w:val="left"/>
      <w:lvlText w:val="•"/>
      <w:numFmt w:val="bullet"/>
      <w:start w:val="1"/>
    </w:lvl>
  </w:abstractNum>
  <w:abstractNum w:abstractNumId="47">
    <w:nsid w:val="29BACF25"/>
    <w:multiLevelType w:val="hybridMultilevel"/>
    <w:lvl w:ilvl="0">
      <w:lvlJc w:val="left"/>
      <w:lvlText w:val="•"/>
      <w:numFmt w:val="bullet"/>
      <w:start w:val="1"/>
    </w:lvl>
  </w:abstractNum>
  <w:abstractNum w:abstractNumId="48">
    <w:nsid w:val="5D5BABB3"/>
    <w:multiLevelType w:val="hybridMultilevel"/>
    <w:lvl w:ilvl="0">
      <w:lvlJc w:val="left"/>
      <w:lvlText w:val="•"/>
      <w:numFmt w:val="bullet"/>
      <w:start w:val="1"/>
    </w:lvl>
  </w:abstractNum>
  <w:abstractNum w:abstractNumId="49">
    <w:nsid w:val="51BF6B48"/>
    <w:multiLevelType w:val="hybridMultilevel"/>
    <w:lvl w:ilvl="0">
      <w:lvlJc w:val="left"/>
      <w:lvlText w:val="•"/>
      <w:numFmt w:val="bullet"/>
      <w:start w:val="1"/>
    </w:lvl>
  </w:abstractNum>
  <w:abstractNum w:abstractNumId="50">
    <w:nsid w:val="7E0F6384"/>
    <w:multiLevelType w:val="hybridMultilevel"/>
    <w:lvl w:ilvl="0">
      <w:lvlJc w:val="left"/>
      <w:lvlText w:val="•"/>
      <w:numFmt w:val="bullet"/>
      <w:start w:val="1"/>
    </w:lvl>
  </w:abstractNum>
  <w:abstractNum w:abstractNumId="51">
    <w:nsid w:val="2B4B8B53"/>
    <w:multiLevelType w:val="hybridMultilevel"/>
    <w:lvl w:ilvl="0">
      <w:lvlJc w:val="left"/>
      <w:lvlText w:val="•"/>
      <w:numFmt w:val="bullet"/>
      <w:start w:val="1"/>
    </w:lvl>
  </w:abstractNum>
  <w:abstractNum w:abstractNumId="52">
    <w:nsid w:val="72E3413A"/>
    <w:multiLevelType w:val="hybridMultilevel"/>
    <w:lvl w:ilvl="0">
      <w:lvlJc w:val="left"/>
      <w:lvlText w:val="•"/>
      <w:numFmt w:val="bullet"/>
      <w:start w:val="1"/>
    </w:lvl>
  </w:abstractNum>
  <w:abstractNum w:abstractNumId="53">
    <w:nsid w:val="116AE494"/>
    <w:multiLevelType w:val="hybridMultilevel"/>
    <w:lvl w:ilvl="0">
      <w:lvlJc w:val="left"/>
      <w:lvlText w:val="•"/>
      <w:numFmt w:val="bullet"/>
      <w:start w:val="1"/>
    </w:lvl>
  </w:abstractNum>
  <w:abstractNum w:abstractNumId="54">
    <w:nsid w:val="3494B2FB"/>
    <w:multiLevelType w:val="hybridMultilevel"/>
    <w:lvl w:ilvl="0">
      <w:lvlJc w:val="left"/>
      <w:lvlText w:val="•"/>
      <w:numFmt w:val="bullet"/>
      <w:start w:val="1"/>
    </w:lvl>
  </w:abstractNum>
  <w:abstractNum w:abstractNumId="55">
    <w:nsid w:val="B13A31"/>
    <w:multiLevelType w:val="hybridMultilevel"/>
    <w:lvl w:ilvl="0">
      <w:lvlJc w:val="left"/>
      <w:lvlText w:val="•"/>
      <w:numFmt w:val="bullet"/>
      <w:start w:val="1"/>
    </w:lvl>
  </w:abstractNum>
  <w:abstractNum w:abstractNumId="56">
    <w:nsid w:val="64429599"/>
    <w:multiLevelType w:val="hybridMultilevel"/>
    <w:lvl w:ilvl="0">
      <w:lvlJc w:val="left"/>
      <w:lvlText w:val="•"/>
      <w:numFmt w:val="bullet"/>
      <w:start w:val="1"/>
    </w:lvl>
  </w:abstractNum>
  <w:abstractNum w:abstractNumId="57">
    <w:nsid w:val="631F1690"/>
    <w:multiLevelType w:val="hybridMultilevel"/>
    <w:lvl w:ilvl="0">
      <w:lvlJc w:val="left"/>
      <w:lvlText w:val="•"/>
      <w:numFmt w:val="bullet"/>
      <w:start w:val="1"/>
    </w:lvl>
  </w:abstractNum>
  <w:abstractNum w:abstractNumId="58">
    <w:nsid w:val="25973E32"/>
    <w:multiLevelType w:val="hybridMultilevel"/>
    <w:lvl w:ilvl="0">
      <w:lvlJc w:val="left"/>
      <w:lvlText w:val="(%1)"/>
      <w:numFmt w:val="decimal"/>
      <w:start w:val="1"/>
    </w:lvl>
  </w:abstractNum>
  <w:abstractNum w:abstractNumId="59">
    <w:nsid w:val="EAD6F57"/>
    <w:multiLevelType w:val="hybridMultilevel"/>
    <w:lvl w:ilvl="0">
      <w:lvlJc w:val="left"/>
      <w:lvlText w:val="•"/>
      <w:numFmt w:val="bullet"/>
      <w:start w:val="1"/>
    </w:lvl>
  </w:abstractNum>
  <w:abstractNum w:abstractNumId="60">
    <w:nsid w:val="6EC9D844"/>
    <w:multiLevelType w:val="hybridMultilevel"/>
    <w:lvl w:ilvl="0">
      <w:lvlJc w:val="left"/>
      <w:lvlText w:val="•"/>
      <w:numFmt w:val="bullet"/>
      <w:start w:val="1"/>
    </w:lvl>
  </w:abstractNum>
  <w:abstractNum w:abstractNumId="61">
    <w:nsid w:val="5C49EAEE"/>
    <w:multiLevelType w:val="hybridMultilevel"/>
    <w:lvl w:ilvl="0">
      <w:lvlJc w:val="left"/>
      <w:lvlText w:val="•"/>
      <w:numFmt w:val="bullet"/>
      <w:start w:val="1"/>
    </w:lvl>
  </w:abstractNum>
  <w:abstractNum w:abstractNumId="62">
    <w:nsid w:val="64AF49B"/>
    <w:multiLevelType w:val="hybridMultilevel"/>
    <w:lvl w:ilvl="0">
      <w:lvlJc w:val="left"/>
      <w:lvlText w:val="•"/>
      <w:numFmt w:val="bullet"/>
      <w:start w:val="1"/>
    </w:lvl>
  </w:abstractNum>
  <w:abstractNum w:abstractNumId="63">
    <w:nsid w:val="397C46BC"/>
    <w:multiLevelType w:val="hybridMultilevel"/>
    <w:lvl w:ilvl="0">
      <w:lvlJc w:val="left"/>
      <w:lvlText w:val="$"/>
      <w:numFmt w:val="bullet"/>
      <w:start w:val="1"/>
    </w:lvl>
  </w:abstractNum>
  <w:abstractNum w:abstractNumId="64">
    <w:nsid w:val="7E448DE9"/>
    <w:multiLevelType w:val="hybridMultilevel"/>
    <w:lvl w:ilvl="0">
      <w:lvlJc w:val="left"/>
      <w:lvlText w:val="•"/>
      <w:numFmt w:val="bullet"/>
      <w:start w:val="1"/>
    </w:lvl>
  </w:abstractNum>
  <w:abstractNum w:abstractNumId="65">
    <w:nsid w:val="5A9CC3E5"/>
    <w:multiLevelType w:val="hybridMultilevel"/>
    <w:lvl w:ilvl="0">
      <w:lvlJc w:val="left"/>
      <w:lvlText w:val="•"/>
      <w:numFmt w:val="bullet"/>
      <w:start w:val="1"/>
    </w:lvl>
  </w:abstractNum>
  <w:abstractNum w:abstractNumId="66">
    <w:nsid w:val="1AFE3625"/>
    <w:multiLevelType w:val="hybridMultilevel"/>
    <w:lvl w:ilvl="0">
      <w:lvlJc w:val="left"/>
      <w:lvlText w:val="•"/>
      <w:numFmt w:val="bullet"/>
      <w:start w:val="1"/>
    </w:lvl>
  </w:abstractNum>
  <w:abstractNum w:abstractNumId="67">
    <w:nsid w:val="3CA88ECF"/>
    <w:multiLevelType w:val="hybridMultilevel"/>
    <w:lvl w:ilvl="0">
      <w:lvlJc w:val="left"/>
      <w:lvlText w:val="•"/>
      <w:numFmt w:val="bullet"/>
      <w:start w:val="1"/>
    </w:lvl>
  </w:abstractNum>
  <w:abstractNum w:abstractNumId="68">
    <w:nsid w:val="6EBE4208"/>
    <w:multiLevelType w:val="hybridMultilevel"/>
    <w:lvl w:ilvl="0">
      <w:lvlJc w:val="left"/>
      <w:lvlText w:val="•"/>
      <w:numFmt w:val="bullet"/>
      <w:start w:val="1"/>
    </w:lvl>
  </w:abstractNum>
  <w:abstractNum w:abstractNumId="69">
    <w:nsid w:val="C058DF5"/>
    <w:multiLevelType w:val="hybridMultilevel"/>
    <w:lvl w:ilvl="0">
      <w:lvlJc w:val="left"/>
      <w:lvlText w:val="$"/>
      <w:numFmt w:val="bullet"/>
      <w:start w:val="1"/>
    </w:lvl>
  </w:abstractNum>
  <w:abstractNum w:abstractNumId="70">
    <w:nsid w:val="CBE5BE9"/>
    <w:multiLevelType w:val="hybridMultilevel"/>
    <w:lvl w:ilvl="0">
      <w:lvlJc w:val="left"/>
      <w:lvlText w:val="$"/>
      <w:numFmt w:val="bullet"/>
      <w:start w:val="1"/>
    </w:lvl>
  </w:abstractNum>
  <w:abstractNum w:abstractNumId="71">
    <w:nsid w:val="3102BBE2"/>
    <w:multiLevelType w:val="hybridMultilevel"/>
    <w:lvl w:ilvl="0">
      <w:lvlJc w:val="left"/>
      <w:lvlText w:val="•"/>
      <w:numFmt w:val="bullet"/>
      <w:start w:val="1"/>
    </w:lvl>
  </w:abstractNum>
  <w:abstractNum w:abstractNumId="72">
    <w:nsid w:val="26A02C5E"/>
    <w:multiLevelType w:val="hybridMultilevel"/>
    <w:lvl w:ilvl="0">
      <w:lvlJc w:val="left"/>
      <w:lvlText w:val="•"/>
      <w:numFmt w:val="bullet"/>
      <w:start w:val="1"/>
    </w:lvl>
  </w:abstractNum>
  <w:abstractNum w:abstractNumId="73">
    <w:nsid w:val="541C8153"/>
    <w:multiLevelType w:val="hybridMultilevel"/>
    <w:lvl w:ilvl="0">
      <w:lvlJc w:val="left"/>
      <w:lvlText w:val="•"/>
      <w:numFmt w:val="bullet"/>
      <w:start w:val="1"/>
    </w:lvl>
  </w:abstractNum>
  <w:abstractNum w:abstractNumId="74">
    <w:nsid w:val="67906F60"/>
    <w:multiLevelType w:val="hybridMultilevel"/>
    <w:lvl w:ilvl="0">
      <w:lvlJc w:val="left"/>
      <w:lvlText w:val="•"/>
      <w:numFmt w:val="bullet"/>
      <w:start w:val="1"/>
    </w:lvl>
  </w:abstractNum>
  <w:abstractNum w:abstractNumId="75">
    <w:nsid w:val="10DB9DAA"/>
    <w:multiLevelType w:val="hybridMultilevel"/>
    <w:lvl w:ilvl="0">
      <w:lvlJc w:val="left"/>
      <w:lvlText w:val="•"/>
      <w:numFmt w:val="bullet"/>
      <w:start w:val="1"/>
    </w:lvl>
  </w:abstractNum>
  <w:abstractNum w:abstractNumId="76">
    <w:nsid w:val="697D2D2"/>
    <w:multiLevelType w:val="hybridMultilevel"/>
    <w:lvl w:ilvl="0">
      <w:lvlJc w:val="left"/>
      <w:lvlText w:val="•"/>
      <w:numFmt w:val="bullet"/>
      <w:start w:val="1"/>
    </w:lvl>
  </w:abstractNum>
  <w:abstractNum w:abstractNumId="77">
    <w:nsid w:val="6D68AB2"/>
    <w:multiLevelType w:val="hybridMultilevel"/>
    <w:lvl w:ilvl="0">
      <w:lvlJc w:val="left"/>
      <w:lvlText w:val="•"/>
      <w:numFmt w:val="bullet"/>
      <w:start w:val="1"/>
    </w:lvl>
  </w:abstractNum>
  <w:abstractNum w:abstractNumId="78">
    <w:nsid w:val="3A966CD0"/>
    <w:multiLevelType w:val="hybridMultilevel"/>
    <w:lvl w:ilvl="0">
      <w:lvlJc w:val="left"/>
      <w:lvlText w:val="(%1)"/>
      <w:numFmt w:val="decimal"/>
      <w:start w:val="1"/>
    </w:lvl>
  </w:abstractNum>
  <w:abstractNum w:abstractNumId="79">
    <w:nsid w:val="63F37E85"/>
    <w:multiLevelType w:val="hybridMultilevel"/>
    <w:lvl w:ilvl="0">
      <w:lvlJc w:val="left"/>
      <w:lvlText w:val="•"/>
      <w:numFmt w:val="bullet"/>
      <w:start w:val="1"/>
    </w:lvl>
  </w:abstractNum>
  <w:abstractNum w:abstractNumId="80">
    <w:nsid w:val="5895F5FA"/>
    <w:multiLevelType w:val="hybridMultilevel"/>
    <w:lvl w:ilvl="0">
      <w:lvlJc w:val="left"/>
      <w:lvlText w:val="•"/>
      <w:numFmt w:val="bullet"/>
      <w:start w:val="1"/>
    </w:lvl>
  </w:abstractNum>
  <w:abstractNum w:abstractNumId="81">
    <w:nsid w:val="38A5D054"/>
    <w:multiLevelType w:val="hybridMultilevel"/>
    <w:lvl w:ilvl="0">
      <w:lvlJc w:val="left"/>
      <w:lvlText w:val="(%1)"/>
      <w:numFmt w:val="decimal"/>
      <w:start w:val="1"/>
    </w:lvl>
  </w:abstractNum>
  <w:abstractNum w:abstractNumId="82">
    <w:nsid w:val="F3F09D8"/>
    <w:multiLevelType w:val="hybridMultilevel"/>
    <w:lvl w:ilvl="0">
      <w:lvlJc w:val="left"/>
      <w:lvlText w:val="(%1)"/>
      <w:numFmt w:val="decimal"/>
      <w:start w:val="4"/>
    </w:lvl>
  </w:abstractNum>
  <w:abstractNum w:abstractNumId="83">
    <w:nsid w:val="4B793735"/>
    <w:multiLevelType w:val="hybridMultilevel"/>
    <w:lvl w:ilvl="0">
      <w:lvlJc w:val="left"/>
      <w:lvlText w:val="•"/>
      <w:numFmt w:val="bullet"/>
      <w:start w:val="1"/>
    </w:lvl>
  </w:abstractNum>
  <w:abstractNum w:abstractNumId="84">
    <w:nsid w:val="4A10B4E8"/>
    <w:multiLevelType w:val="hybridMultilevel"/>
    <w:lvl w:ilvl="0">
      <w:lvlJc w:val="left"/>
      <w:lvlText w:val="•"/>
      <w:numFmt w:val="bullet"/>
      <w:start w:val="1"/>
    </w:lvl>
  </w:abstractNum>
  <w:abstractNum w:abstractNumId="85">
    <w:nsid w:val="43D3BCD4"/>
    <w:multiLevelType w:val="hybridMultilevel"/>
    <w:lvl w:ilvl="0">
      <w:lvlJc w:val="left"/>
      <w:lvlText w:val="•"/>
      <w:numFmt w:val="bullet"/>
      <w:start w:val="1"/>
    </w:lvl>
  </w:abstractNum>
  <w:abstractNum w:abstractNumId="86">
    <w:nsid w:val="4C2A7166"/>
    <w:multiLevelType w:val="hybridMultilevel"/>
    <w:lvl w:ilvl="0">
      <w:lvlJc w:val="left"/>
      <w:lvlText w:val="•"/>
      <w:numFmt w:val="bullet"/>
      <w:start w:val="1"/>
    </w:lvl>
  </w:abstractNum>
  <w:abstractNum w:abstractNumId="87">
    <w:nsid w:val="2E534A82"/>
    <w:multiLevelType w:val="hybridMultilevel"/>
    <w:lvl w:ilvl="0">
      <w:lvlJc w:val="left"/>
      <w:lvlText w:val="•"/>
      <w:numFmt w:val="bullet"/>
      <w:start w:val="1"/>
    </w:lvl>
  </w:abstractNum>
  <w:abstractNum w:abstractNumId="88">
    <w:nsid w:val="26F2D364"/>
    <w:multiLevelType w:val="hybridMultilevel"/>
    <w:lvl w:ilvl="0">
      <w:lvlJc w:val="left"/>
      <w:lvlText w:val="•"/>
      <w:numFmt w:val="bullet"/>
      <w:start w:val="1"/>
    </w:lvl>
  </w:abstractNum>
  <w:abstractNum w:abstractNumId="89">
    <w:nsid w:val="71C1AF98"/>
    <w:multiLevelType w:val="hybridMultilevel"/>
    <w:lvl w:ilvl="0">
      <w:lvlJc w:val="left"/>
      <w:lvlText w:val="•"/>
      <w:numFmt w:val="bullet"/>
      <w:start w:val="1"/>
    </w:lvl>
  </w:abstractNum>
  <w:abstractNum w:abstractNumId="90">
    <w:nsid w:val="3D00B9D9"/>
    <w:multiLevelType w:val="hybridMultilevel"/>
    <w:lvl w:ilvl="0">
      <w:lvlJc w:val="left"/>
      <w:lvlText w:val="•"/>
      <w:numFmt w:val="bullet"/>
      <w:start w:val="1"/>
    </w:lvl>
  </w:abstractNum>
  <w:abstractNum w:abstractNumId="91">
    <w:nsid w:val="15BCABA8"/>
    <w:multiLevelType w:val="hybridMultilevel"/>
    <w:lvl w:ilvl="0">
      <w:lvlJc w:val="left"/>
      <w:lvlText w:val="•"/>
      <w:numFmt w:val="bullet"/>
      <w:start w:val="1"/>
    </w:lvl>
  </w:abstractNum>
  <w:abstractNum w:abstractNumId="92">
    <w:nsid w:val="4E0B9A87"/>
    <w:multiLevelType w:val="hybridMultilevel"/>
    <w:lvl w:ilvl="0">
      <w:lvlJc w:val="left"/>
      <w:lvlText w:val="•"/>
      <w:numFmt w:val="bullet"/>
      <w:start w:val="1"/>
    </w:lvl>
  </w:abstractNum>
  <w:abstractNum w:abstractNumId="93">
    <w:nsid w:val="434BAE75"/>
    <w:multiLevelType w:val="hybridMultilevel"/>
    <w:lvl w:ilvl="0">
      <w:lvlJc w:val="left"/>
      <w:lvlText w:val="•"/>
      <w:numFmt w:val="bullet"/>
      <w:start w:val="1"/>
    </w:lvl>
  </w:abstractNum>
  <w:abstractNum w:abstractNumId="94">
    <w:nsid w:val="4F38F265"/>
    <w:multiLevelType w:val="hybridMultilevel"/>
    <w:lvl w:ilvl="0">
      <w:lvlJc w:val="left"/>
      <w:lvlText w:val="•"/>
      <w:numFmt w:val="bullet"/>
      <w:start w:val="1"/>
    </w:lvl>
  </w:abstractNum>
  <w:abstractNum w:abstractNumId="95">
    <w:nsid w:val="4C502870"/>
    <w:multiLevelType w:val="hybridMultilevel"/>
    <w:lvl w:ilvl="0">
      <w:lvlJc w:val="left"/>
      <w:lvlText w:val="•"/>
      <w:numFmt w:val="bullet"/>
      <w:start w:val="1"/>
    </w:lvl>
  </w:abstractNum>
  <w:abstractNum w:abstractNumId="96">
    <w:nsid w:val="1DE8725A"/>
    <w:multiLevelType w:val="hybridMultilevel"/>
    <w:lvl w:ilvl="0">
      <w:lvlJc w:val="left"/>
      <w:lvlText w:val="•"/>
      <w:numFmt w:val="bullet"/>
      <w:start w:val="1"/>
    </w:lvl>
  </w:abstractNum>
  <w:abstractNum w:abstractNumId="97">
    <w:nsid w:val="6A37288A"/>
    <w:multiLevelType w:val="hybridMultilevel"/>
    <w:lvl w:ilvl="0">
      <w:lvlJc w:val="left"/>
      <w:lvlText w:val="•"/>
      <w:numFmt w:val="bullet"/>
      <w:start w:val="1"/>
    </w:lvl>
  </w:abstractNum>
  <w:abstractNum w:abstractNumId="98">
    <w:nsid w:val="8F8B73F"/>
    <w:multiLevelType w:val="hybridMultilevel"/>
    <w:lvl w:ilvl="0">
      <w:lvlJc w:val="left"/>
      <w:lvlText w:val="•"/>
      <w:numFmt w:val="bullet"/>
      <w:start w:val="1"/>
    </w:lvl>
  </w:abstractNum>
  <w:abstractNum w:abstractNumId="99">
    <w:nsid w:val="CA6B462"/>
    <w:multiLevelType w:val="hybridMultilevel"/>
    <w:lvl w:ilvl="0">
      <w:lvlJc w:val="left"/>
      <w:lvlText w:val="(%1)"/>
      <w:numFmt w:val="lowerRoman"/>
      <w:start w:val="2"/>
    </w:lvl>
  </w:abstractNum>
  <w:abstractNum w:abstractNumId="100">
    <w:nsid w:val="763CB680"/>
    <w:multiLevelType w:val="hybridMultilevel"/>
    <w:lvl w:ilvl="0">
      <w:lvlJc w:val="left"/>
      <w:lvlText w:val="•"/>
      <w:numFmt w:val="bullet"/>
      <w:start w:val="1"/>
    </w:lvl>
  </w:abstractNum>
  <w:abstractNum w:abstractNumId="101">
    <w:nsid w:val="15B71329"/>
    <w:multiLevelType w:val="hybridMultilevel"/>
    <w:lvl w:ilvl="0">
      <w:lvlJc w:val="left"/>
      <w:lvlText w:val="•"/>
      <w:numFmt w:val="bullet"/>
      <w:start w:val="1"/>
    </w:lvl>
  </w:abstractNum>
  <w:abstractNum w:abstractNumId="102">
    <w:nsid w:val="3DA97044"/>
    <w:multiLevelType w:val="hybridMultilevel"/>
    <w:lvl w:ilvl="0">
      <w:lvlJc w:val="left"/>
      <w:lvlText w:val="•"/>
      <w:numFmt w:val="bullet"/>
      <w:start w:val="1"/>
    </w:lvl>
  </w:abstractNum>
  <w:abstractNum w:abstractNumId="103">
    <w:nsid w:val="1CDCE2DE"/>
    <w:multiLevelType w:val="hybridMultilevel"/>
    <w:lvl w:ilvl="0">
      <w:lvlJc w:val="left"/>
      <w:lvlText w:val="(%1)"/>
      <w:numFmt w:val="decimal"/>
      <w:start w:val="1"/>
    </w:lvl>
  </w:abstractNum>
  <w:abstractNum w:abstractNumId="104">
    <w:nsid w:val="69D3947C"/>
    <w:multiLevelType w:val="hybridMultilevel"/>
    <w:lvl w:ilvl="0">
      <w:lvlJc w:val="left"/>
      <w:lvlText w:val="•"/>
      <w:numFmt w:val="bullet"/>
      <w:start w:val="1"/>
    </w:lvl>
  </w:abstractNum>
  <w:abstractNum w:abstractNumId="105">
    <w:nsid w:val="2539DFA5"/>
    <w:multiLevelType w:val="hybridMultilevel"/>
    <w:lvl w:ilvl="0">
      <w:lvlJc w:val="left"/>
      <w:lvlText w:val="•"/>
      <w:numFmt w:val="bullet"/>
      <w:start w:val="1"/>
    </w:lvl>
  </w:abstractNum>
  <w:abstractNum w:abstractNumId="106">
    <w:nsid w:val="2DB88089"/>
    <w:multiLevelType w:val="hybridMultilevel"/>
    <w:lvl w:ilvl="0">
      <w:lvlJc w:val="left"/>
      <w:lvlText w:val="•"/>
      <w:numFmt w:val="bullet"/>
      <w:start w:val="1"/>
    </w:lvl>
  </w:abstractNum>
  <w:abstractNum w:abstractNumId="107">
    <w:nsid w:val="706B674E"/>
    <w:multiLevelType w:val="hybridMultilevel"/>
    <w:lvl w:ilvl="0">
      <w:lvlJc w:val="left"/>
      <w:lvlText w:val="•"/>
      <w:numFmt w:val="bullet"/>
      <w:start w:val="1"/>
    </w:lvl>
  </w:abstractNum>
  <w:abstractNum w:abstractNumId="108">
    <w:nsid w:val="2C106A57"/>
    <w:multiLevelType w:val="hybridMultilevel"/>
    <w:lvl w:ilvl="0">
      <w:lvlJc w:val="left"/>
      <w:lvlText w:val="(%1)"/>
      <w:numFmt w:val="decimal"/>
      <w:start w:val="1"/>
    </w:lvl>
  </w:abstractNum>
  <w:abstractNum w:abstractNumId="109">
    <w:nsid w:val="684EED59"/>
    <w:multiLevelType w:val="hybridMultilevel"/>
    <w:lvl w:ilvl="0">
      <w:lvlJc w:val="left"/>
      <w:lvlText w:val="(%1)"/>
      <w:numFmt w:val="decimal"/>
      <w:start w:val="1"/>
    </w:lvl>
  </w:abstractNum>
  <w:abstractNum w:abstractNumId="110">
    <w:nsid w:val="545EE5D3"/>
    <w:multiLevelType w:val="hybridMultilevel"/>
    <w:lvl w:ilvl="0">
      <w:lvlJc w:val="left"/>
      <w:lvlText w:val="•"/>
      <w:numFmt w:val="bullet"/>
      <w:start w:val="1"/>
    </w:lvl>
  </w:abstractNum>
  <w:abstractNum w:abstractNumId="111">
    <w:nsid w:val="4A66051"/>
    <w:multiLevelType w:val="hybridMultilevel"/>
    <w:lvl w:ilvl="0">
      <w:lvlJc w:val="left"/>
      <w:lvlText w:val="(%1)"/>
      <w:numFmt w:val="decimal"/>
      <w:start w:val="1"/>
    </w:lvl>
  </w:abstractNum>
  <w:abstractNum w:abstractNumId="112">
    <w:nsid w:val="20F4BDAD"/>
    <w:multiLevelType w:val="hybridMultilevel"/>
    <w:lvl w:ilvl="0">
      <w:lvlJc w:val="left"/>
      <w:lvlText w:val="(%1)"/>
      <w:numFmt w:val="decimal"/>
      <w:start w:val="1"/>
    </w:lvl>
  </w:abstractNum>
  <w:abstractNum w:abstractNumId="113">
    <w:nsid w:val="639DEFAC"/>
    <w:multiLevelType w:val="hybridMultilevel"/>
    <w:lvl w:ilvl="0">
      <w:lvlJc w:val="left"/>
      <w:lvlText w:val="(%1)"/>
      <w:numFmt w:val="lowerRoman"/>
      <w:start w:val="1"/>
    </w:lvl>
  </w:abstractNum>
  <w:abstractNum w:abstractNumId="114">
    <w:nsid w:val="501F9786"/>
    <w:multiLevelType w:val="hybridMultilevel"/>
    <w:lvl w:ilvl="0">
      <w:lvlJc w:val="left"/>
      <w:lvlText w:val="•"/>
      <w:numFmt w:val="bullet"/>
      <w:start w:val="1"/>
    </w:lvl>
  </w:abstractNum>
  <w:abstractNum w:abstractNumId="115">
    <w:nsid w:val="6B057295"/>
    <w:multiLevelType w:val="hybridMultilevel"/>
    <w:lvl w:ilvl="0">
      <w:lvlJc w:val="left"/>
      <w:lvlText w:val="•"/>
      <w:numFmt w:val="bullet"/>
      <w:start w:val="1"/>
    </w:lvl>
  </w:abstractNum>
  <w:abstractNum w:abstractNumId="116">
    <w:nsid w:val="2771AC80"/>
    <w:multiLevelType w:val="hybridMultilevel"/>
    <w:lvl w:ilvl="0">
      <w:lvlJc w:val="left"/>
      <w:lvlText w:val="•"/>
      <w:numFmt w:val="bullet"/>
      <w:start w:val="1"/>
    </w:lvl>
  </w:abstractNum>
  <w:abstractNum w:abstractNumId="117">
    <w:nsid w:val="1C4A08EC"/>
    <w:multiLevelType w:val="hybridMultilevel"/>
    <w:lvl w:ilvl="0">
      <w:lvlJc w:val="left"/>
      <w:lvlText w:val="•"/>
      <w:numFmt w:val="bullet"/>
      <w:start w:val="1"/>
    </w:lvl>
  </w:abstractNum>
  <w:abstractNum w:abstractNumId="118">
    <w:nsid w:val="1958BD17"/>
    <w:multiLevelType w:val="hybridMultilevel"/>
    <w:lvl w:ilvl="0">
      <w:lvlJc w:val="left"/>
      <w:lvlText w:val="•"/>
      <w:numFmt w:val="bullet"/>
      <w:start w:val="1"/>
    </w:lvl>
  </w:abstractNum>
  <w:abstractNum w:abstractNumId="119">
    <w:nsid w:val="4E647FE4"/>
    <w:multiLevelType w:val="hybridMultilevel"/>
    <w:lvl w:ilvl="0">
      <w:lvlJc w:val="left"/>
      <w:lvlText w:val="•"/>
      <w:numFmt w:val="bullet"/>
      <w:start w:val="1"/>
    </w:lvl>
  </w:abstractNum>
  <w:abstractNum w:abstractNumId="120">
    <w:nsid w:val="E0BB885"/>
    <w:multiLevelType w:val="hybridMultilevel"/>
    <w:lvl w:ilvl="0">
      <w:lvlJc w:val="left"/>
      <w:lvlText w:val="(%1)"/>
      <w:numFmt w:val="lowerRoman"/>
      <w:start w:val="1"/>
    </w:lvl>
  </w:abstractNum>
  <w:abstractNum w:abstractNumId="121">
    <w:nsid w:val="565976F1"/>
    <w:multiLevelType w:val="hybridMultilevel"/>
    <w:lvl w:ilvl="0">
      <w:lvlJc w:val="left"/>
      <w:lvlText w:val="(%1)"/>
      <w:numFmt w:val="decimal"/>
      <w:start w:val="1"/>
    </w:lvl>
  </w:abstractNum>
  <w:abstractNum w:abstractNumId="122">
    <w:nsid w:val="64212B8C"/>
    <w:multiLevelType w:val="hybridMultilevel"/>
    <w:lvl w:ilvl="0">
      <w:lvlJc w:val="left"/>
      <w:lvlText w:val="•"/>
      <w:numFmt w:val="bullet"/>
      <w:start w:val="1"/>
    </w:lvl>
  </w:abstractNum>
  <w:abstractNum w:abstractNumId="123">
    <w:nsid w:val="5C17530C"/>
    <w:multiLevelType w:val="hybridMultilevel"/>
    <w:lvl w:ilvl="0">
      <w:lvlJc w:val="left"/>
      <w:lvlText w:val="*"/>
      <w:numFmt w:val="bullet"/>
      <w:start w:val="1"/>
    </w:lvl>
  </w:abstractNum>
  <w:abstractNum w:abstractNumId="124">
    <w:nsid w:val="19A52566"/>
    <w:multiLevelType w:val="hybridMultilevel"/>
    <w:lvl w:ilvl="0">
      <w:lvlJc w:val="left"/>
      <w:lvlText w:val="(%1)"/>
      <w:numFmt w:val="decimal"/>
      <w:start w:val="2"/>
    </w:lvl>
  </w:abstractNum>
  <w:abstractNum w:abstractNumId="125">
    <w:nsid w:val="335A1DF1"/>
    <w:multiLevelType w:val="hybridMultilevel"/>
    <w:lvl w:ilvl="0">
      <w:lvlJc w:val="left"/>
      <w:lvlText w:val="(%1)"/>
      <w:numFmt w:val="decimal"/>
      <w:start w:val="4"/>
    </w:lvl>
  </w:abstractNum>
  <w:abstractNum w:abstractNumId="126">
    <w:nsid w:val="28677B7C"/>
    <w:multiLevelType w:val="hybridMultilevel"/>
    <w:lvl w:ilvl="0">
      <w:lvlJc w:val="left"/>
      <w:lvlText w:val="(%1)"/>
      <w:numFmt w:val="decimal"/>
      <w:start w:val="7"/>
    </w:lvl>
  </w:abstractNum>
  <w:abstractNum w:abstractNumId="127">
    <w:nsid w:val="378D97C0"/>
    <w:multiLevelType w:val="hybridMultilevel"/>
    <w:lvl w:ilvl="0">
      <w:lvlJc w:val="left"/>
      <w:lvlText w:val="(%1)"/>
      <w:numFmt w:val="decimal"/>
      <w:start w:val="11"/>
    </w:lvl>
  </w:abstractNum>
  <w:abstractNum w:abstractNumId="128">
    <w:nsid w:val="1D91467C"/>
    <w:multiLevelType w:val="hybridMultilevel"/>
    <w:lvl w:ilvl="0">
      <w:lvlJc w:val="left"/>
      <w:lvlText w:val="(%1)"/>
      <w:numFmt w:val="lowerRoman"/>
      <w:start w:val="1"/>
    </w:lvl>
  </w:abstractNum>
  <w:abstractNum w:abstractNumId="129">
    <w:nsid w:val="316032BB"/>
    <w:multiLevelType w:val="hybridMultilevel"/>
    <w:lvl w:ilvl="0">
      <w:lvlJc w:val="left"/>
      <w:lvlText w:val="•"/>
      <w:numFmt w:val="bullet"/>
      <w:start w:val="1"/>
    </w:lvl>
  </w:abstractNum>
  <w:abstractNum w:abstractNumId="130">
    <w:nsid w:val="44344C22"/>
    <w:multiLevelType w:val="hybridMultilevel"/>
    <w:lvl w:ilvl="0">
      <w:lvlJc w:val="left"/>
      <w:lvlText w:val="•"/>
      <w:numFmt w:val="bullet"/>
      <w:start w:val="1"/>
    </w:lvl>
  </w:abstractNum>
  <w:abstractNum w:abstractNumId="131">
    <w:nsid w:val="13CDFCFC"/>
    <w:multiLevelType w:val="hybridMultilevel"/>
    <w:lvl w:ilvl="0">
      <w:lvlJc w:val="left"/>
      <w:lvlText w:val="•"/>
      <w:numFmt w:val="bullet"/>
      <w:start w:val="1"/>
    </w:lvl>
  </w:abstractNum>
  <w:abstractNum w:abstractNumId="132">
    <w:nsid w:val="471745E4"/>
    <w:multiLevelType w:val="hybridMultilevel"/>
    <w:lvl w:ilvl="0">
      <w:lvlJc w:val="left"/>
      <w:lvlText w:val="•"/>
      <w:numFmt w:val="bullet"/>
      <w:start w:val="1"/>
    </w:lvl>
  </w:abstractNum>
  <w:abstractNum w:abstractNumId="133">
    <w:nsid w:val="1DDBC66"/>
    <w:multiLevelType w:val="hybridMultilevel"/>
    <w:lvl w:ilvl="0">
      <w:lvlJc w:val="left"/>
      <w:lvlText w:val="•"/>
      <w:numFmt w:val="bullet"/>
      <w:start w:val="1"/>
    </w:lvl>
  </w:abstractNum>
  <w:abstractNum w:abstractNumId="134">
    <w:nsid w:val="30AADFDA"/>
    <w:multiLevelType w:val="hybridMultilevel"/>
    <w:lvl w:ilvl="0">
      <w:lvlJc w:val="left"/>
      <w:lvlText w:val="•"/>
      <w:numFmt w:val="bullet"/>
      <w:start w:val="1"/>
    </w:lvl>
  </w:abstractNum>
  <w:abstractNum w:abstractNumId="135">
    <w:nsid w:val="30EADA61"/>
    <w:multiLevelType w:val="hybridMultilevel"/>
    <w:lvl w:ilvl="0">
      <w:lvlJc w:val="left"/>
      <w:lvlText w:val="•"/>
      <w:numFmt w:val="bullet"/>
      <w:start w:val="1"/>
    </w:lvl>
  </w:abstractNum>
  <w:abstractNum w:abstractNumId="136">
    <w:nsid w:val="27179C0B"/>
    <w:multiLevelType w:val="hybridMultilevel"/>
    <w:lvl w:ilvl="0">
      <w:lvlJc w:val="left"/>
      <w:lvlText w:val="•"/>
      <w:numFmt w:val="bullet"/>
      <w:start w:val="1"/>
    </w:lvl>
  </w:abstractNum>
  <w:abstractNum w:abstractNumId="137">
    <w:nsid w:val="5E636063"/>
    <w:multiLevelType w:val="hybridMultilevel"/>
    <w:lvl w:ilvl="0">
      <w:lvlJc w:val="left"/>
      <w:lvlText w:val="•"/>
      <w:numFmt w:val="bullet"/>
      <w:start w:val="1"/>
    </w:lvl>
  </w:abstractNum>
  <w:abstractNum w:abstractNumId="138">
    <w:nsid w:val="215641AF"/>
    <w:multiLevelType w:val="hybridMultilevel"/>
    <w:lvl w:ilvl="0">
      <w:lvlJc w:val="left"/>
      <w:lvlText w:val="•"/>
      <w:numFmt w:val="bullet"/>
      <w:start w:val="1"/>
    </w:lvl>
  </w:abstractNum>
  <w:abstractNum w:abstractNumId="139">
    <w:nsid w:val="53280662"/>
    <w:multiLevelType w:val="hybridMultilevel"/>
    <w:lvl w:ilvl="0">
      <w:lvlJc w:val="left"/>
      <w:lvlText w:val="(%1)"/>
      <w:numFmt w:val="lowerRoman"/>
      <w:start w:val="1"/>
    </w:lvl>
  </w:abstractNum>
  <w:abstractNum w:abstractNumId="140">
    <w:nsid w:val="46B24DBC"/>
    <w:multiLevelType w:val="hybridMultilevel"/>
    <w:lvl w:ilvl="0">
      <w:lvlJc w:val="left"/>
      <w:lvlText w:val="•"/>
      <w:numFmt w:val="bullet"/>
      <w:start w:val="1"/>
    </w:lvl>
  </w:abstractNum>
  <w:abstractNum w:abstractNumId="141">
    <w:nsid w:val="75B52783"/>
    <w:multiLevelType w:val="hybridMultilevel"/>
    <w:lvl w:ilvl="0">
      <w:lvlJc w:val="left"/>
      <w:lvlText w:val="•"/>
      <w:numFmt w:val="bullet"/>
      <w:start w:val="1"/>
    </w:lvl>
  </w:abstractNum>
  <w:abstractNum w:abstractNumId="142">
    <w:nsid w:val="57CE66B4"/>
    <w:multiLevelType w:val="hybridMultilevel"/>
    <w:lvl w:ilvl="0">
      <w:lvlJc w:val="left"/>
      <w:lvlText w:val="(%1)"/>
      <w:numFmt w:val="lowerRoman"/>
      <w:start w:val="1"/>
    </w:lvl>
  </w:abstractNum>
  <w:abstractNum w:abstractNumId="143">
    <w:nsid w:val="67A70B69"/>
    <w:multiLevelType w:val="hybridMultilevel"/>
    <w:lvl w:ilvl="0">
      <w:lvlJc w:val="left"/>
      <w:lvlText w:val="(%1)"/>
      <w:numFmt w:val="lowerRoman"/>
      <w:start w:val="1"/>
    </w:lvl>
  </w:abstractNum>
  <w:abstractNum w:abstractNumId="144">
    <w:nsid w:val="5953172F"/>
    <w:multiLevelType w:val="hybridMultilevel"/>
    <w:lvl w:ilvl="0">
      <w:lvlJc w:val="left"/>
      <w:lvlText w:val="(%1)"/>
      <w:numFmt w:val="lowerRoman"/>
      <w:start w:val="2"/>
    </w:lvl>
  </w:abstractNum>
  <w:abstractNum w:abstractNumId="145">
    <w:nsid w:val="27EDFE3A"/>
    <w:multiLevelType w:val="hybridMultilevel"/>
    <w:lvl w:ilvl="0">
      <w:lvlJc w:val="left"/>
      <w:lvlText w:val="•"/>
      <w:numFmt w:val="bullet"/>
      <w:start w:val="1"/>
    </w:lvl>
  </w:abstractNum>
  <w:abstractNum w:abstractNumId="146">
    <w:nsid w:val="52AC7DFF"/>
    <w:multiLevelType w:val="hybridMultilevel"/>
    <w:lvl w:ilvl="0">
      <w:lvlJc w:val="left"/>
      <w:lvlText w:val="(%1)"/>
      <w:numFmt w:val="lowerRoman"/>
      <w:start w:val="1"/>
    </w:lvl>
  </w:abstractNum>
  <w:abstractNum w:abstractNumId="147">
    <w:nsid w:val="C4C3AF"/>
    <w:multiLevelType w:val="hybridMultilevel"/>
    <w:lvl w:ilvl="0">
      <w:lvlJc w:val="left"/>
      <w:lvlText w:val="(%1)"/>
      <w:numFmt w:val="lowerRoman"/>
      <w:start w:val="1"/>
    </w:lvl>
  </w:abstractNum>
  <w:abstractNum w:abstractNumId="148">
    <w:nsid w:val="44380727"/>
    <w:multiLevelType w:val="hybridMultilevel"/>
    <w:lvl w:ilvl="0">
      <w:lvlJc w:val="left"/>
      <w:lvlText w:val="(%1)"/>
      <w:numFmt w:val="lowerRoman"/>
      <w:start w:val="2"/>
    </w:lvl>
  </w:abstractNum>
  <w:abstractNum w:abstractNumId="149">
    <w:nsid w:val="6C053B16"/>
    <w:multiLevelType w:val="hybridMultilevel"/>
    <w:lvl w:ilvl="0">
      <w:lvlJc w:val="left"/>
      <w:lvlText w:val="(%1)"/>
      <w:numFmt w:val="decimal"/>
      <w:start w:val="1"/>
    </w:lvl>
  </w:abstractNum>
  <w:abstractNum w:abstractNumId="150">
    <w:nsid w:val="4F294393"/>
    <w:multiLevelType w:val="hybridMultilevel"/>
    <w:lvl w:ilvl="0">
      <w:lvlJc w:val="left"/>
      <w:lvlText w:val="(%1)"/>
      <w:numFmt w:val="lowerRoman"/>
      <w:start w:val="1"/>
    </w:lvl>
  </w:abstractNum>
  <w:abstractNum w:abstractNumId="151">
    <w:nsid w:val="5243BFAC"/>
    <w:multiLevelType w:val="hybridMultilevel"/>
    <w:lvl w:ilvl="0">
      <w:lvlJc w:val="left"/>
      <w:lvlText w:val="%1."/>
      <w:numFmt w:val="decimal"/>
      <w:start w:val="1"/>
    </w:lvl>
  </w:abstractNum>
  <w:abstractNum w:abstractNumId="152">
    <w:nsid w:val="425EB207"/>
    <w:multiLevelType w:val="hybridMultilevel"/>
    <w:lvl w:ilvl="0">
      <w:lvlJc w:val="left"/>
      <w:lvlText w:val="%1."/>
      <w:numFmt w:val="decimal"/>
      <w:start w:val="2"/>
    </w:lvl>
  </w:abstractNum>
  <w:abstractNum w:abstractNumId="153">
    <w:nsid w:val="334A6F1F"/>
    <w:multiLevelType w:val="hybridMultilevel"/>
    <w:lvl w:ilvl="0">
      <w:lvlJc w:val="left"/>
      <w:lvlText w:val="%1."/>
      <w:numFmt w:val="decimal"/>
      <w:start w:val="6"/>
    </w:lvl>
  </w:abstractNum>
  <w:abstractNum w:abstractNumId="154">
    <w:nsid w:val="2E5B12B8"/>
    <w:multiLevelType w:val="hybridMultilevel"/>
    <w:lvl w:ilvl="0">
      <w:lvlJc w:val="left"/>
      <w:lvlText w:val="(%1)"/>
      <w:numFmt w:val="lowerRoman"/>
      <w:start w:val="3"/>
    </w:lvl>
  </w:abstractNum>
  <w:abstractNum w:abstractNumId="155">
    <w:nsid w:val="5C03D76D"/>
    <w:multiLevelType w:val="hybridMultilevel"/>
    <w:lvl w:ilvl="0">
      <w:lvlJc w:val="left"/>
      <w:lvlText w:val="%1."/>
      <w:numFmt w:val="decimal"/>
      <w:start w:val="9"/>
    </w:lvl>
  </w:abstractNum>
  <w:abstractNum w:abstractNumId="156">
    <w:nsid w:val="66A48D11"/>
    <w:multiLevelType w:val="hybridMultilevel"/>
    <w:lvl w:ilvl="0">
      <w:lvlJc w:val="left"/>
      <w:lvlText w:val="(%1)"/>
      <w:numFmt w:val="lowerRoman"/>
      <w:start w:val="2"/>
    </w:lvl>
  </w:abstractNum>
  <w:abstractNum w:abstractNumId="157">
    <w:nsid w:val="56C28E34"/>
    <w:multiLevelType w:val="hybridMultilevel"/>
    <w:lvl w:ilvl="0">
      <w:lvlJc w:val="left"/>
      <w:lvlText w:val="%1."/>
      <w:numFmt w:val="decimal"/>
      <w:start w:val="11"/>
    </w:lvl>
  </w:abstractNum>
  <w:abstractNum w:abstractNumId="158">
    <w:nsid w:val="13916F2D"/>
    <w:multiLevelType w:val="hybridMultilevel"/>
    <w:lvl w:ilvl="0">
      <w:lvlJc w:val="left"/>
      <w:lvlText w:val="%1."/>
      <w:numFmt w:val="decimal"/>
      <w:start w:val="13"/>
    </w:lvl>
  </w:abstractNum>
  <w:abstractNum w:abstractNumId="159">
    <w:nsid w:val="435D38D"/>
    <w:multiLevelType w:val="hybridMultilevel"/>
    <w:lvl w:ilvl="0">
      <w:lvlJc w:val="left"/>
      <w:lvlText w:val="(%1)"/>
      <w:numFmt w:val="decimal"/>
      <w:start w:val="1"/>
    </w:lvl>
  </w:abstractNum>
  <w:abstractNum w:abstractNumId="160">
    <w:nsid w:val="822C0EF"/>
    <w:multiLevelType w:val="hybridMultilevel"/>
    <w:lvl w:ilvl="0">
      <w:lvlJc w:val="left"/>
      <w:lvlText w:val="(%1)"/>
      <w:numFmt w:val="lowerRoman"/>
      <w:start w:val="2"/>
    </w:lvl>
  </w:abstractNum>
  <w:abstractNum w:abstractNumId="161">
    <w:nsid w:val="57C5BB4F"/>
    <w:multiLevelType w:val="hybridMultilevel"/>
    <w:lvl w:ilvl="0">
      <w:lvlJc w:val="left"/>
      <w:lvlText w:val="%1."/>
      <w:numFmt w:val="decimal"/>
      <w:start w:val="1"/>
    </w:lvl>
  </w:abstractNum>
  <w:abstractNum w:abstractNumId="162">
    <w:nsid w:val="1803D089"/>
    <w:multiLevelType w:val="hybridMultilevel"/>
    <w:lvl w:ilvl="0">
      <w:lvlJc w:val="left"/>
      <w:lvlText w:val="%1."/>
      <w:numFmt w:val="decimal"/>
      <w:start w:val="2"/>
    </w:lvl>
  </w:abstractNum>
  <w:abstractNum w:abstractNumId="163">
    <w:nsid w:val="4F3A06D4"/>
    <w:multiLevelType w:val="hybridMultilevel"/>
    <w:lvl w:ilvl="0">
      <w:lvlJc w:val="left"/>
      <w:lvlText w:val="%1."/>
      <w:numFmt w:val="decimal"/>
      <w:start w:val="5"/>
    </w:lvl>
  </w:abstractNum>
  <w:abstractNum w:abstractNumId="164">
    <w:nsid w:val="59A377B6"/>
    <w:multiLevelType w:val="hybridMultilevel"/>
    <w:lvl w:ilvl="0">
      <w:lvlJc w:val="left"/>
      <w:lvlText w:val="%1)"/>
      <w:numFmt w:val="decimal"/>
      <w:start w:val="8"/>
    </w:lvl>
  </w:abstractNum>
  <w:abstractNum w:abstractNumId="165">
    <w:nsid w:val="48AEB063"/>
    <w:multiLevelType w:val="hybridMultilevel"/>
    <w:lvl w:ilvl="0">
      <w:lvlJc w:val="left"/>
      <w:lvlText w:val="%1."/>
      <w:numFmt w:val="decimal"/>
      <w:start w:val="7"/>
    </w:lvl>
  </w:abstractNum>
  <w:abstractNum w:abstractNumId="166">
    <w:nsid w:val="24E135"/>
    <w:multiLevelType w:val="hybridMultilevel"/>
    <w:lvl w:ilvl="0">
      <w:lvlJc w:val="left"/>
      <w:lvlText w:val="(%1)"/>
      <w:numFmt w:val="lowerRoman"/>
      <w:start w:val="2"/>
    </w:lvl>
  </w:abstractNum>
  <w:abstractNum w:abstractNumId="167">
    <w:nsid w:val="BB13C1"/>
    <w:multiLevelType w:val="hybridMultilevel"/>
    <w:lvl w:ilvl="0">
      <w:lvlJc w:val="left"/>
      <w:lvlText w:val="%1."/>
      <w:numFmt w:val="decimal"/>
      <w:start w:val="9"/>
    </w:lvl>
  </w:abstractNum>
  <w:abstractNum w:abstractNumId="168">
    <w:nsid w:val="271210C7"/>
    <w:multiLevelType w:val="hybridMultilevel"/>
    <w:lvl w:ilvl="0">
      <w:lvlJc w:val="left"/>
      <w:lvlText w:val="%1."/>
      <w:numFmt w:val="decimal"/>
      <w:start w:val="11"/>
    </w:lvl>
  </w:abstractNum>
  <w:abstractNum w:abstractNumId="169">
    <w:nsid w:val="217B22E4"/>
    <w:multiLevelType w:val="hybridMultilevel"/>
    <w:lvl w:ilvl="0">
      <w:lvlJc w:val="left"/>
      <w:lvlText w:val="(%1)"/>
      <w:numFmt w:val="lowerRoman"/>
      <w:start w:val="3"/>
    </w:lvl>
  </w:abstractNum>
  <w:abstractNum w:abstractNumId="170">
    <w:nsid w:val="53E31A24"/>
    <w:multiLevelType w:val="hybridMultilevel"/>
    <w:lvl w:ilvl="0">
      <w:lvlJc w:val="left"/>
      <w:lvlText w:val="(%1)"/>
      <w:numFmt w:val="lowerLetter"/>
      <w:start w:val="1"/>
    </w:lvl>
  </w:abstractNum>
  <w:abstractNum w:abstractNumId="171">
    <w:nsid w:val="6DC45E83"/>
    <w:multiLevelType w:val="hybridMultilevel"/>
    <w:lvl w:ilvl="0">
      <w:lvlJc w:val="left"/>
      <w:lvlText w:val="(%1)"/>
      <w:numFmt w:val="lowerLetter"/>
      <w:start w:val="1"/>
    </w:lvl>
    <w:lvl w:ilvl="1">
      <w:lvlJc w:val="left"/>
      <w:lvlText w:val="(%2)"/>
      <w:numFmt w:val="decimal"/>
      <w:start w:val="1"/>
    </w:lvl>
  </w:abstractNum>
  <w:abstractNum w:abstractNumId="172">
    <w:nsid w:val="17304A67"/>
    <w:multiLevelType w:val="hybridMultilevel"/>
    <w:lvl w:ilvl="0">
      <w:lvlJc w:val="left"/>
      <w:lvlText w:val="*"/>
      <w:numFmt w:val="bullet"/>
      <w:start w:val="1"/>
    </w:lvl>
  </w:abstractNum>
  <w:abstractNum w:abstractNumId="173">
    <w:nsid w:val="2BB180D8"/>
    <w:multiLevelType w:val="hybridMultilevel"/>
    <w:lvl w:ilvl="0">
      <w:lvlJc w:val="left"/>
      <w:lvlText w:val="#"/>
      <w:numFmt w:val="bullet"/>
      <w:start w:val="1"/>
    </w:lvl>
  </w:abstractNum>
  <w:abstractNum w:abstractNumId="174">
    <w:nsid w:val="556B69ED"/>
    <w:multiLevelType w:val="hybridMultilevel"/>
    <w:lvl w:ilvl="0">
      <w:lvlJc w:val="left"/>
      <w:lvlText w:val="†"/>
      <w:numFmt w:val="bullet"/>
      <w:start w:val="1"/>
    </w:lvl>
  </w:abstractNum>
  <w:abstractNum w:abstractNumId="175">
    <w:nsid w:val="70836196"/>
    <w:multiLevelType w:val="hybridMultilevel"/>
    <w:lvl w:ilvl="0">
      <w:lvlJc w:val="left"/>
      <w:lvlText w:val="[***]"/>
      <w:numFmt w:val="bullet"/>
      <w:start w:val="1"/>
    </w:lvl>
  </w:abstractNum>
  <w:abstractNum w:abstractNumId="176">
    <w:nsid w:val="539F7F12"/>
    <w:multiLevelType w:val="hybridMultilevel"/>
    <w:lvl w:ilvl="0">
      <w:lvlJc w:val="left"/>
      <w:lvlText w:val="(%1)"/>
      <w:numFmt w:val="lowerRoman"/>
      <w:start w:val="2"/>
    </w:lvl>
  </w:abstractNum>
  <w:abstractNum w:abstractNumId="177">
    <w:nsid w:val="2817E7EC"/>
    <w:multiLevelType w:val="hybridMultilevel"/>
    <w:lvl w:ilvl="0">
      <w:lvlJc w:val="left"/>
      <w:lvlText w:val="(%1)"/>
      <w:numFmt w:val="lowerLetter"/>
      <w:start w:val="2"/>
    </w:lvl>
  </w:abstractNum>
  <w:abstractNum w:abstractNumId="178">
    <w:nsid w:val="71482545"/>
    <w:multiLevelType w:val="hybridMultilevel"/>
    <w:lvl w:ilvl="0">
      <w:lvlJc w:val="left"/>
      <w:lvlText w:val="(%1)"/>
      <w:numFmt w:val="decimal"/>
      <w:start w:val="2"/>
    </w:lvl>
  </w:abstractNum>
  <w:abstractNum w:abstractNumId="179">
    <w:nsid w:val="17D78639"/>
    <w:multiLevelType w:val="hybridMultilevel"/>
    <w:lvl w:ilvl="0">
      <w:lvlJc w:val="left"/>
      <w:lvlText w:val="(%1)"/>
      <w:numFmt w:val="decimal"/>
      <w:start w:val="1"/>
    </w:lvl>
  </w:abstractNum>
  <w:abstractNum w:abstractNumId="180">
    <w:nsid w:val="141D2302"/>
    <w:multiLevelType w:val="hybridMultilevel"/>
    <w:lvl w:ilvl="0">
      <w:lvlJc w:val="left"/>
      <w:lvlText w:val="(%1)"/>
      <w:numFmt w:val="lowerLetter"/>
      <w:start w:val="35"/>
    </w:lvl>
    <w:lvl w:ilvl="1">
      <w:lvlJc w:val="left"/>
      <w:lvlText w:val="(%2)"/>
      <w:numFmt w:val="lowerLetter"/>
      <w:start w:val="1"/>
    </w:lvl>
  </w:abstractNum>
  <w:abstractNum w:abstractNumId="181">
    <w:nsid w:val="407168D8"/>
    <w:multiLevelType w:val="hybridMultilevel"/>
    <w:lvl w:ilvl="0">
      <w:lvlJc w:val="left"/>
      <w:lvlText w:val="(%1)"/>
      <w:numFmt w:val="lowerLetter"/>
      <w:start w:val="1"/>
    </w:lvl>
    <w:lvl w:ilvl="1">
      <w:lvlJc w:val="left"/>
      <w:lvlText w:val="-"/>
      <w:numFmt w:val="bullet"/>
      <w:start w:val="1"/>
    </w:lvl>
  </w:abstractNum>
  <w:abstractNum w:abstractNumId="182">
    <w:nsid w:val="6A1B45E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83">
    <w:nsid w:val="567BD50A"/>
    <w:multiLevelType w:val="hybridMultilevel"/>
    <w:lvl w:ilvl="0">
      <w:lvlJc w:val="left"/>
      <w:lvlText w:val="(%1)"/>
      <w:numFmt w:val="lowerLetter"/>
      <w:start w:val="4"/>
    </w:lvl>
  </w:abstractNum>
  <w:abstractNum w:abstractNumId="184">
    <w:nsid w:val="73BBD7F8"/>
    <w:multiLevelType w:val="hybridMultilevel"/>
    <w:lvl w:ilvl="0">
      <w:lvlJc w:val="left"/>
      <w:lvlText w:val="[***]"/>
      <w:numFmt w:val="bullet"/>
      <w:start w:val="1"/>
    </w:lvl>
  </w:abstractNum>
  <w:abstractNum w:abstractNumId="185">
    <w:nsid w:val="1876589D"/>
    <w:multiLevelType w:val="hybridMultilevel"/>
    <w:lvl w:ilvl="0">
      <w:lvlJc w:val="left"/>
      <w:lvlText w:val="(%1)"/>
      <w:numFmt w:val="lowerLetter"/>
      <w:start w:val="1"/>
    </w:lvl>
  </w:abstractNum>
  <w:abstractNum w:abstractNumId="186">
    <w:nsid w:val="327FAC77"/>
    <w:multiLevelType w:val="hybridMultilevel"/>
    <w:lvl w:ilvl="0">
      <w:lvlJc w:val="left"/>
      <w:lvlText w:val="(%1)"/>
      <w:numFmt w:val="lowerLetter"/>
      <w:start w:val="1"/>
    </w:lvl>
  </w:abstractNum>
  <w:abstractNum w:abstractNumId="187">
    <w:nsid w:val="5A606509"/>
    <w:multiLevelType w:val="hybridMultilevel"/>
    <w:lvl w:ilvl="0">
      <w:lvlJc w:val="left"/>
      <w:lvlText w:val="(%1)"/>
      <w:numFmt w:val="lowerLetter"/>
      <w:start w:val="1"/>
    </w:lvl>
    <w:lvl w:ilvl="1">
      <w:lvlJc w:val="left"/>
      <w:lvlText w:val="-"/>
      <w:numFmt w:val="bullet"/>
      <w:start w:val="1"/>
    </w:lvl>
  </w:abstractNum>
  <w:abstractNum w:abstractNumId="188">
    <w:nsid w:val="6F38E6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89">
    <w:nsid w:val="46111BA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90">
    <w:nsid w:val="5E963896"/>
    <w:multiLevelType w:val="hybridMultilevel"/>
    <w:lvl w:ilvl="0">
      <w:lvlJc w:val="left"/>
      <w:lvlText w:val="(%1)"/>
      <w:numFmt w:val="lowerLetter"/>
      <w:start w:val="4"/>
    </w:lvl>
  </w:abstractNum>
  <w:abstractNum w:abstractNumId="191">
    <w:nsid w:val="775BA7C1"/>
    <w:multiLevelType w:val="hybridMultilevel"/>
    <w:lvl w:ilvl="0">
      <w:lvlJc w:val="left"/>
      <w:lvlText w:val="(%1)"/>
      <w:numFmt w:val="lowerLetter"/>
      <w:start w:val="1"/>
    </w:lvl>
  </w:abstractNum>
  <w:abstractNum w:abstractNumId="192">
    <w:nsid w:val="1DD6D6F4"/>
    <w:multiLevelType w:val="hybridMultilevel"/>
    <w:lvl w:ilvl="0">
      <w:lvlJc w:val="left"/>
      <w:lvlText w:val="(%1)"/>
      <w:numFmt w:val="lowerLetter"/>
      <w:start w:val="1"/>
    </w:lvl>
    <w:lvl w:ilvl="1">
      <w:lvlJc w:val="left"/>
      <w:lvlText w:val="-"/>
      <w:numFmt w:val="bullet"/>
      <w:start w:val="1"/>
    </w:lvl>
  </w:abstractNum>
  <w:abstractNum w:abstractNumId="193">
    <w:nsid w:val="769A091F"/>
    <w:multiLevelType w:val="hybridMultilevel"/>
    <w:lvl w:ilvl="0">
      <w:lvlJc w:val="left"/>
      <w:lvlText w:val="(%1)"/>
      <w:numFmt w:val="lowerLetter"/>
      <w:start w:val="4"/>
    </w:lvl>
  </w:abstractNum>
  <w:abstractNum w:abstractNumId="194">
    <w:nsid w:val="4695AE95"/>
    <w:multiLevelType w:val="hybridMultilevel"/>
    <w:lvl w:ilvl="0">
      <w:lvlJc w:val="left"/>
      <w:lvlText w:val="(%1)"/>
      <w:numFmt w:val="lowerLetter"/>
      <w:start w:val="1"/>
    </w:lvl>
    <w:lvl w:ilvl="1">
      <w:lvlJc w:val="left"/>
      <w:lvlText w:val="-"/>
      <w:numFmt w:val="bullet"/>
      <w:start w:val="1"/>
    </w:lvl>
  </w:abstractNum>
  <w:abstractNum w:abstractNumId="195">
    <w:nsid w:val="777A4EAA"/>
    <w:multiLevelType w:val="hybridMultilevel"/>
    <w:lvl w:ilvl="0">
      <w:lvlJc w:val="left"/>
      <w:lvlText w:val="(%1)"/>
      <w:numFmt w:val="lowerLetter"/>
      <w:start w:val="2"/>
    </w:lvl>
  </w:abstractNum>
  <w:abstractNum w:abstractNumId="196">
    <w:nsid w:val="3F48B982"/>
    <w:multiLevelType w:val="hybridMultilevel"/>
    <w:lvl w:ilvl="0">
      <w:lvlJc w:val="left"/>
      <w:lvlText w:val="(%1)"/>
      <w:numFmt w:val="lowerLetter"/>
      <w:start w:val="1"/>
    </w:lvl>
    <w:lvl w:ilvl="1">
      <w:lvlJc w:val="left"/>
      <w:lvlText w:val="-"/>
      <w:numFmt w:val="bullet"/>
      <w:start w:val="1"/>
    </w:lvl>
  </w:abstractNum>
  <w:abstractNum w:abstractNumId="197">
    <w:nsid w:val="46BA8FCA"/>
    <w:multiLevelType w:val="hybridMultilevel"/>
    <w:lvl w:ilvl="0">
      <w:lvlJc w:val="left"/>
      <w:lvlText w:val="%1"/>
      <w:numFmt w:val="decimal"/>
      <w:start w:val="1"/>
    </w:lvl>
    <w:lvl w:ilvl="1">
      <w:lvlJc w:val="left"/>
      <w:lvlText w:val="(%2)"/>
      <w:numFmt w:val="lowerLetter"/>
      <w:start w:val="3"/>
    </w:lvl>
  </w:abstractNum>
  <w:abstractNum w:abstractNumId="198">
    <w:nsid w:val="7835626C"/>
    <w:multiLevelType w:val="hybridMultilevel"/>
    <w:lvl w:ilvl="0">
      <w:lvlJc w:val="left"/>
      <w:lvlText w:val="(%1)"/>
      <w:numFmt w:val="decimal"/>
      <w:start w:val="1"/>
    </w:lvl>
    <w:lvl w:ilvl="1">
      <w:lvlJc w:val="left"/>
      <w:lvlText w:val="%2"/>
      <w:numFmt w:val="lowerLetter"/>
      <w:start w:val="1"/>
    </w:lvl>
  </w:abstractNum>
  <w:abstractNum w:abstractNumId="199">
    <w:nsid w:val="665ACA49"/>
    <w:multiLevelType w:val="hybridMultilevel"/>
    <w:lvl w:ilvl="0">
      <w:lvlJc w:val="left"/>
      <w:lvlText w:val="(%1)"/>
      <w:numFmt w:val="lowerLetter"/>
      <w:start w:val="1"/>
    </w:lvl>
  </w:abstractNum>
  <w:abstractNum w:abstractNumId="200">
    <w:nsid w:val="6835B2AE"/>
    <w:multiLevelType w:val="hybridMultilevel"/>
    <w:lvl w:ilvl="0">
      <w:lvlJc w:val="left"/>
      <w:lvlText w:val="(%1)"/>
      <w:numFmt w:val="lowerLetter"/>
      <w:start w:val="1"/>
    </w:lvl>
  </w:abstractNum>
  <w:abstractNum w:abstractNumId="201">
    <w:nsid w:val="4C187C90"/>
    <w:multiLevelType w:val="hybridMultilevel"/>
    <w:lvl w:ilvl="0">
      <w:lvlJc w:val="left"/>
      <w:lvlText w:val="(%1)"/>
      <w:numFmt w:val="lowerLetter"/>
      <w:start w:val="1"/>
    </w:lvl>
  </w:abstractNum>
  <w:abstractNum w:abstractNumId="202">
    <w:nsid w:val="541F28CD"/>
    <w:multiLevelType w:val="hybridMultilevel"/>
    <w:lvl w:ilvl="0">
      <w:lvlJc w:val="left"/>
      <w:lvlText w:val="(%1)"/>
      <w:numFmt w:val="lowerLetter"/>
      <w:start w:val="1"/>
    </w:lvl>
    <w:lvl w:ilvl="1">
      <w:lvlJc w:val="left"/>
      <w:lvlText w:val="-"/>
      <w:numFmt w:val="bullet"/>
      <w:start w:val="1"/>
    </w:lvl>
  </w:abstractNum>
  <w:abstractNum w:abstractNumId="203">
    <w:nsid w:val="7F65FD16"/>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204">
    <w:nsid w:val="77C9FD68"/>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05">
    <w:nsid w:val="298A92BA"/>
    <w:multiLevelType w:val="hybridMultilevel"/>
    <w:lvl w:ilvl="0">
      <w:lvlJc w:val="left"/>
      <w:lvlText w:val="(%1)"/>
      <w:numFmt w:val="lowerRoman"/>
      <w:start w:val="4"/>
    </w:lvl>
  </w:abstractNum>
  <w:abstractNum w:abstractNumId="206">
    <w:nsid w:val="6FE95EAC"/>
    <w:multiLevelType w:val="hybridMultilevel"/>
    <w:lvl w:ilvl="0">
      <w:lvlJc w:val="left"/>
      <w:lvlText w:val="(%1)"/>
      <w:numFmt w:val="lowerLetter"/>
      <w:start w:val="2"/>
    </w:lvl>
    <w:lvl w:ilvl="1">
      <w:lvlJc w:val="left"/>
      <w:lvlText w:val="-"/>
      <w:numFmt w:val="bullet"/>
      <w:start w:val="1"/>
    </w:lvl>
  </w:abstractNum>
  <w:abstractNum w:abstractNumId="207">
    <w:nsid w:val="4B697C7A"/>
    <w:multiLevelType w:val="hybridMultilevel"/>
    <w:lvl w:ilvl="0">
      <w:lvlJc w:val="left"/>
      <w:lvlText w:val="(%1)"/>
      <w:numFmt w:val="lowerLetter"/>
      <w:start w:val="9"/>
    </w:lvl>
    <w:lvl w:ilvl="1">
      <w:lvlJc w:val="left"/>
      <w:lvlText w:val="-"/>
      <w:numFmt w:val="bullet"/>
      <w:start w:val="1"/>
    </w:lvl>
  </w:abstractNum>
  <w:abstractNum w:abstractNumId="208">
    <w:nsid w:val="51A27AA6"/>
    <w:multiLevelType w:val="hybridMultilevel"/>
    <w:lvl w:ilvl="0">
      <w:lvlJc w:val="left"/>
      <w:lvlText w:val="(%1)"/>
      <w:numFmt w:val="lowerLetter"/>
      <w:start w:val="1"/>
    </w:lvl>
  </w:abstractNum>
  <w:abstractNum w:abstractNumId="209">
    <w:nsid w:val="613183F2"/>
    <w:multiLevelType w:val="hybridMultilevel"/>
    <w:lvl w:ilvl="0">
      <w:lvlJc w:val="left"/>
      <w:lvlText w:val="(%1)"/>
      <w:numFmt w:val="lowerLetter"/>
      <w:start w:val="2"/>
    </w:lvl>
  </w:abstractNum>
  <w:abstractNum w:abstractNumId="210">
    <w:nsid w:val="634102B4"/>
    <w:multiLevelType w:val="hybridMultilevel"/>
    <w:lvl w:ilvl="0">
      <w:lvlJc w:val="left"/>
      <w:lvlText w:val="(%1)"/>
      <w:numFmt w:val="lowerLetter"/>
      <w:start w:val="3"/>
    </w:lvl>
    <w:lvl w:ilvl="1">
      <w:lvlJc w:val="left"/>
      <w:lvlText w:val="-"/>
      <w:numFmt w:val="bullet"/>
      <w:start w:val="1"/>
    </w:lvl>
  </w:abstractNum>
  <w:abstractNum w:abstractNumId="211">
    <w:nsid w:val="65BF9DA8"/>
    <w:multiLevelType w:val="hybridMultilevel"/>
    <w:lvl w:ilvl="0">
      <w:lvlJc w:val="left"/>
      <w:lvlText w:val="[***]"/>
      <w:numFmt w:val="bullet"/>
      <w:start w:val="1"/>
    </w:lvl>
  </w:abstractNum>
  <w:abstractNum w:abstractNumId="212">
    <w:nsid w:val="21A2ECCA"/>
    <w:multiLevelType w:val="hybridMultilevel"/>
    <w:lvl w:ilvl="0">
      <w:lvlJc w:val="left"/>
      <w:lvlText w:val="(%1)"/>
      <w:numFmt w:val="lowerLetter"/>
      <w:start w:val="1"/>
    </w:lvl>
  </w:abstractNum>
  <w:abstractNum w:abstractNumId="213">
    <w:nsid w:val="4D5C4899"/>
    <w:multiLevelType w:val="hybridMultilevel"/>
    <w:lvl w:ilvl="0">
      <w:lvlJc w:val="left"/>
      <w:lvlText w:val="[***]"/>
      <w:numFmt w:val="bullet"/>
      <w:start w:val="1"/>
    </w:lvl>
  </w:abstractNum>
  <w:abstractNum w:abstractNumId="214">
    <w:nsid w:val="3C3B72B2"/>
    <w:multiLevelType w:val="hybridMultilevel"/>
    <w:lvl w:ilvl="0">
      <w:lvlJc w:val="left"/>
      <w:lvlText w:val="(%1)"/>
      <w:numFmt w:val="lowerLetter"/>
      <w:start w:val="1"/>
    </w:lvl>
  </w:abstractNum>
  <w:abstractNum w:abstractNumId="215">
    <w:nsid w:val="155EC4C2"/>
    <w:multiLevelType w:val="hybridMultilevel"/>
    <w:lvl w:ilvl="0">
      <w:lvlJc w:val="left"/>
      <w:lvlText w:val="(%1)"/>
      <w:numFmt w:val="lowerLetter"/>
      <w:start w:val="1"/>
    </w:lvl>
  </w:abstractNum>
  <w:abstractNum w:abstractNumId="216">
    <w:nsid w:val="65D2A137"/>
    <w:multiLevelType w:val="hybridMultilevel"/>
    <w:lvl w:ilvl="0">
      <w:lvlJc w:val="left"/>
      <w:lvlText w:val="(%1)"/>
      <w:numFmt w:val="lowerLetter"/>
      <w:start w:val="1"/>
    </w:lvl>
  </w:abstractNum>
  <w:abstractNum w:abstractNumId="217">
    <w:nsid w:val="6EBB1F2A"/>
    <w:multiLevelType w:val="hybridMultilevel"/>
    <w:lvl w:ilvl="0">
      <w:lvlJc w:val="left"/>
      <w:lvlText w:val="(%1)"/>
      <w:numFmt w:val="lowerLetter"/>
      <w:start w:val="1"/>
    </w:lvl>
  </w:abstractNum>
  <w:abstractNum w:abstractNumId="218">
    <w:nsid w:val="6FBF29CB"/>
    <w:multiLevelType w:val="hybridMultilevel"/>
    <w:lvl w:ilvl="0">
      <w:lvlJc w:val="left"/>
      <w:lvlText w:val="(%1)"/>
      <w:numFmt w:val="lowerLetter"/>
      <w:start w:val="1"/>
    </w:lvl>
  </w:abstractNum>
  <w:abstractNum w:abstractNumId="219">
    <w:nsid w:val="550B8808"/>
    <w:multiLevelType w:val="hybridMultilevel"/>
    <w:lvl w:ilvl="0">
      <w:lvlJc w:val="left"/>
      <w:lvlText w:val="(%1)"/>
      <w:numFmt w:val="lowerLetter"/>
      <w:start w:val="1"/>
    </w:lvl>
  </w:abstractNum>
  <w:abstractNum w:abstractNumId="220">
    <w:nsid w:val="34CC3ACF"/>
    <w:multiLevelType w:val="hybridMultilevel"/>
    <w:lvl w:ilvl="0">
      <w:lvlJc w:val="left"/>
      <w:lvlText w:val="(%1)"/>
      <w:numFmt w:val="lowerLetter"/>
      <w:start w:val="1"/>
    </w:lvl>
  </w:abstractNum>
  <w:abstractNum w:abstractNumId="221">
    <w:nsid w:val="4E556261"/>
    <w:multiLevelType w:val="hybridMultilevel"/>
    <w:lvl w:ilvl="0">
      <w:lvlJc w:val="left"/>
      <w:lvlText w:val="(%1)"/>
      <w:numFmt w:val="lowerRoman"/>
      <w:start w:val="1"/>
    </w:lvl>
  </w:abstractNum>
  <w:abstractNum w:abstractNumId="222">
    <w:nsid w:val="4C672FC9"/>
    <w:multiLevelType w:val="hybridMultilevel"/>
    <w:lvl w:ilvl="0">
      <w:lvlJc w:val="left"/>
      <w:lvlText w:val="(%1)"/>
      <w:numFmt w:val="lowerLetter"/>
      <w:start w:val="1"/>
    </w:lvl>
  </w:abstractNum>
  <w:abstractNum w:abstractNumId="223">
    <w:nsid w:val="52A311C3"/>
    <w:multiLevelType w:val="hybridMultilevel"/>
    <w:lvl w:ilvl="0">
      <w:lvlJc w:val="left"/>
      <w:lvlText w:val="(%1)"/>
      <w:numFmt w:val="lowerLetter"/>
      <w:start w:val="3"/>
    </w:lvl>
  </w:abstractNum>
  <w:abstractNum w:abstractNumId="224">
    <w:nsid w:val="44EF6B80"/>
    <w:multiLevelType w:val="hybridMultilevel"/>
    <w:lvl w:ilvl="0">
      <w:lvlJc w:val="left"/>
      <w:lvlText w:val="(%1)"/>
      <w:numFmt w:val="lowerLetter"/>
      <w:start w:val="1"/>
    </w:lvl>
  </w:abstractNum>
  <w:abstractNum w:abstractNumId="225">
    <w:nsid w:val="12FCDE5E"/>
    <w:multiLevelType w:val="hybridMultilevel"/>
    <w:lvl w:ilvl="0">
      <w:lvlJc w:val="left"/>
      <w:lvlText w:val="(%1)"/>
      <w:numFmt w:val="lowerLetter"/>
      <w:start w:val="1"/>
    </w:lvl>
  </w:abstractNum>
  <w:abstractNum w:abstractNumId="226">
    <w:nsid w:val="4A1D606E"/>
    <w:multiLevelType w:val="hybridMultilevel"/>
    <w:lvl w:ilvl="0">
      <w:lvlJc w:val="left"/>
      <w:lvlText w:val="(%1)"/>
      <w:numFmt w:val="lowerLetter"/>
      <w:start w:val="6"/>
    </w:lvl>
  </w:abstractNum>
  <w:abstractNum w:abstractNumId="227">
    <w:nsid w:val="4382503"/>
    <w:multiLevelType w:val="hybridMultilevel"/>
    <w:lvl w:ilvl="0">
      <w:lvlJc w:val="left"/>
      <w:lvlText w:val="(%1)"/>
      <w:numFmt w:val="lowerLetter"/>
      <w:start w:val="1"/>
    </w:lvl>
  </w:abstractNum>
  <w:abstractNum w:abstractNumId="228">
    <w:nsid w:val="59B76E28"/>
    <w:multiLevelType w:val="hybridMultilevel"/>
    <w:lvl w:ilvl="0">
      <w:lvlJc w:val="left"/>
      <w:lvlText w:val="(%1)"/>
      <w:numFmt w:val="lowerLetter"/>
      <w:start w:val="1"/>
    </w:lvl>
  </w:abstractNum>
  <w:abstractNum w:abstractNumId="229">
    <w:nsid w:val="4252C2DA"/>
    <w:multiLevelType w:val="hybridMultilevel"/>
    <w:lvl w:ilvl="0">
      <w:lvlJc w:val="left"/>
      <w:lvlText w:val="(%1)"/>
      <w:numFmt w:val="lowerLetter"/>
      <w:start w:val="4"/>
    </w:lvl>
  </w:abstractNum>
  <w:abstractNum w:abstractNumId="230">
    <w:nsid w:val="6A92EF4C"/>
    <w:multiLevelType w:val="hybridMultilevel"/>
    <w:lvl w:ilvl="0">
      <w:lvlJc w:val="left"/>
      <w:lvlText w:val="(%1)"/>
      <w:numFmt w:val="lowerLetter"/>
      <w:start w:val="11"/>
    </w:lvl>
  </w:abstractNum>
  <w:abstractNum w:abstractNumId="231">
    <w:nsid w:val="41ED20D7"/>
    <w:multiLevelType w:val="hybridMultilevel"/>
    <w:lvl w:ilvl="0">
      <w:lvlJc w:val="left"/>
      <w:lvlText w:val="(%1)"/>
      <w:numFmt w:val="lowerLetter"/>
      <w:start w:val="4"/>
    </w:lvl>
  </w:abstractNum>
  <w:abstractNum w:abstractNumId="232">
    <w:nsid w:val="E6B3F6A"/>
    <w:multiLevelType w:val="hybridMultilevel"/>
    <w:lvl w:ilvl="0">
      <w:lvlJc w:val="left"/>
      <w:lvlText w:val="(%1)"/>
      <w:numFmt w:val="lowerLetter"/>
      <w:start w:val="1"/>
    </w:lvl>
  </w:abstractNum>
  <w:abstractNum w:abstractNumId="233">
    <w:nsid w:val="3EB21819"/>
    <w:multiLevelType w:val="hybridMultilevel"/>
    <w:lvl w:ilvl="0">
      <w:lvlJc w:val="left"/>
      <w:lvlText w:val="(%1)"/>
      <w:numFmt w:val="lowerLetter"/>
      <w:start w:val="1"/>
    </w:lvl>
  </w:abstractNum>
  <w:abstractNum w:abstractNumId="234">
    <w:nsid w:val="41531DED"/>
    <w:multiLevelType w:val="hybridMultilevel"/>
    <w:lvl w:ilvl="0">
      <w:lvlJc w:val="left"/>
      <w:lvlText w:val="(%1)"/>
      <w:numFmt w:val="lowerLetter"/>
      <w:start w:val="1"/>
    </w:lvl>
  </w:abstractNum>
  <w:abstractNum w:abstractNumId="235">
    <w:nsid w:val="6353CD2"/>
    <w:multiLevelType w:val="hybridMultilevel"/>
    <w:lvl w:ilvl="0">
      <w:lvlJc w:val="left"/>
      <w:lvlText w:val="(%1)"/>
      <w:numFmt w:val="lowerLetter"/>
      <w:start w:val="1"/>
    </w:lvl>
  </w:abstractNum>
  <w:abstractNum w:abstractNumId="236">
    <w:nsid w:val="683CAAD3"/>
    <w:multiLevelType w:val="hybridMultilevel"/>
    <w:lvl w:ilvl="0">
      <w:lvlJc w:val="left"/>
      <w:lvlText w:val="(%1)"/>
      <w:numFmt w:val="lowerLetter"/>
      <w:start w:val="1"/>
    </w:lvl>
  </w:abstractNum>
  <w:abstractNum w:abstractNumId="237">
    <w:nsid w:val="313C7C99"/>
    <w:multiLevelType w:val="hybridMultilevel"/>
    <w:lvl w:ilvl="0">
      <w:lvlJc w:val="left"/>
      <w:lvlText w:val="(%1)"/>
      <w:numFmt w:val="lowerLetter"/>
      <w:start w:val="5"/>
    </w:lvl>
  </w:abstractNum>
  <w:abstractNum w:abstractNumId="238">
    <w:nsid w:val="519EB94C"/>
    <w:multiLevelType w:val="hybridMultilevel"/>
    <w:lvl w:ilvl="0">
      <w:lvlJc w:val="left"/>
      <w:lvlText w:val="(%1)"/>
      <w:numFmt w:val="lowerLetter"/>
      <w:start w:val="7"/>
    </w:lvl>
  </w:abstractNum>
  <w:abstractNum w:abstractNumId="239">
    <w:nsid w:val="39DF2579"/>
    <w:multiLevelType w:val="hybridMultilevel"/>
    <w:lvl w:ilvl="0">
      <w:lvlJc w:val="left"/>
      <w:lvlText w:val="(%1)"/>
      <w:numFmt w:val="lowerLetter"/>
      <w:start w:val="1"/>
    </w:lvl>
  </w:abstractNum>
  <w:abstractNum w:abstractNumId="240">
    <w:nsid w:val="126E008B"/>
    <w:multiLevelType w:val="hybridMultilevel"/>
    <w:lvl w:ilvl="0">
      <w:lvlJc w:val="left"/>
      <w:lvlText w:val="[***]"/>
      <w:numFmt w:val="bullet"/>
      <w:start w:val="1"/>
    </w:lvl>
  </w:abstractNum>
  <w:abstractNum w:abstractNumId="241">
    <w:nsid w:val="34DFBC00"/>
    <w:multiLevelType w:val="hybridMultilevel"/>
    <w:lvl w:ilvl="0">
      <w:lvlJc w:val="left"/>
      <w:lvlText w:val="(%1)"/>
      <w:numFmt w:val="lowerLetter"/>
      <w:start w:val="1"/>
    </w:lvl>
  </w:abstractNum>
  <w:abstractNum w:abstractNumId="242">
    <w:nsid w:val="1F9EC322"/>
    <w:multiLevelType w:val="hybridMultilevel"/>
    <w:lvl w:ilvl="0">
      <w:lvlJc w:val="left"/>
      <w:lvlText w:val="(%1)"/>
      <w:numFmt w:val="lowerLetter"/>
      <w:start w:val="1"/>
    </w:lvl>
  </w:abstractNum>
  <w:abstractNum w:abstractNumId="243">
    <w:nsid w:val="3410ED56"/>
    <w:multiLevelType w:val="hybridMultilevel"/>
    <w:lvl w:ilvl="0">
      <w:lvlJc w:val="left"/>
      <w:lvlText w:val="[***]"/>
      <w:numFmt w:val="bullet"/>
      <w:start w:val="1"/>
    </w:lvl>
  </w:abstractNum>
  <w:abstractNum w:abstractNumId="244">
    <w:nsid w:val="23C049A"/>
    <w:multiLevelType w:val="hybridMultilevel"/>
    <w:lvl w:ilvl="0">
      <w:lvlJc w:val="left"/>
      <w:lvlText w:val="(%1)"/>
      <w:numFmt w:val="lowerLetter"/>
      <w:start w:val="1"/>
    </w:lvl>
  </w:abstractNum>
  <w:abstractNum w:abstractNumId="245">
    <w:nsid w:val="5BDA35D4"/>
    <w:multiLevelType w:val="hybridMultilevel"/>
    <w:lvl w:ilvl="0">
      <w:lvlJc w:val="left"/>
      <w:lvlText w:val="(%1)"/>
      <w:numFmt w:val="lowerLetter"/>
      <w:start w:val="2"/>
    </w:lvl>
  </w:abstractNum>
  <w:abstractNum w:abstractNumId="246">
    <w:nsid w:val="496FB218"/>
    <w:multiLevelType w:val="hybridMultilevel"/>
    <w:lvl w:ilvl="0">
      <w:lvlJc w:val="left"/>
      <w:lvlText w:val="(%1)"/>
      <w:numFmt w:val="lowerRoman"/>
      <w:start w:val="2"/>
    </w:lvl>
  </w:abstractNum>
  <w:abstractNum w:abstractNumId="247">
    <w:nsid w:val="680EA5D1"/>
    <w:multiLevelType w:val="hybridMultilevel"/>
    <w:lvl w:ilvl="0">
      <w:lvlJc w:val="left"/>
      <w:lvlText w:val="(%1)"/>
      <w:numFmt w:val="lowerRoman"/>
      <w:start w:val="4"/>
    </w:lvl>
  </w:abstractNum>
  <w:abstractNum w:abstractNumId="248">
    <w:nsid w:val="4A9554FE"/>
    <w:multiLevelType w:val="hybridMultilevel"/>
    <w:lvl w:ilvl="0">
      <w:lvlJc w:val="left"/>
      <w:lvlText w:val="(%1)"/>
      <w:numFmt w:val="lowerLetter"/>
      <w:start w:val="1"/>
    </w:lvl>
  </w:abstractNum>
  <w:abstractNum w:abstractNumId="249">
    <w:nsid w:val="392EDBE4"/>
    <w:multiLevelType w:val="hybridMultilevel"/>
    <w:lvl w:ilvl="0">
      <w:lvlJc w:val="left"/>
      <w:lvlText w:val="(%1)"/>
      <w:numFmt w:val="decimal"/>
      <w:start w:val="2"/>
    </w:lvl>
    <w:lvl w:ilvl="1">
      <w:lvlJc w:val="left"/>
      <w:lvlText w:val="(%2)"/>
      <w:numFmt w:val="lowerLetter"/>
      <w:start w:val="1"/>
    </w:lvl>
  </w:abstractNum>
  <w:abstractNum w:abstractNumId="250">
    <w:nsid w:val="3D1A2DD9"/>
    <w:multiLevelType w:val="hybridMultilevel"/>
    <w:lvl w:ilvl="0">
      <w:lvlJc w:val="left"/>
      <w:lvlText w:val="(%1)"/>
      <w:numFmt w:val="lowerRoman"/>
      <w:start w:val="1"/>
    </w:lvl>
  </w:abstractNum>
  <w:abstractNum w:abstractNumId="251">
    <w:nsid w:val="7F618FCD"/>
    <w:multiLevelType w:val="hybridMultilevel"/>
    <w:lvl w:ilvl="0">
      <w:lvlJc w:val="left"/>
      <w:lvlText w:val="(%1)"/>
      <w:numFmt w:val="lowerLetter"/>
      <w:start w:val="1"/>
    </w:lvl>
  </w:abstractNum>
  <w:abstractNum w:abstractNumId="252">
    <w:nsid w:val="7843E45"/>
    <w:multiLevelType w:val="hybridMultilevel"/>
    <w:lvl w:ilvl="0">
      <w:lvlJc w:val="left"/>
      <w:lvlText w:val="(%1)"/>
      <w:numFmt w:val="lowerLetter"/>
      <w:start w:val="1"/>
    </w:lvl>
  </w:abstractNum>
  <w:abstractNum w:abstractNumId="253">
    <w:nsid w:val="9815DA3"/>
    <w:multiLevelType w:val="hybridMultilevel"/>
    <w:lvl w:ilvl="0">
      <w:lvlJc w:val="left"/>
      <w:lvlText w:val="(%1)"/>
      <w:numFmt w:val="lowerLetter"/>
      <w:start w:val="4"/>
    </w:lvl>
  </w:abstractNum>
  <w:abstractNum w:abstractNumId="254">
    <w:nsid w:val="5204A191"/>
    <w:multiLevelType w:val="hybridMultilevel"/>
    <w:lvl w:ilvl="0">
      <w:lvlJc w:val="left"/>
      <w:lvlText w:val="(%1)"/>
      <w:numFmt w:val="lowerLetter"/>
      <w:start w:val="1"/>
    </w:lvl>
  </w:abstractNum>
  <w:abstractNum w:abstractNumId="255">
    <w:nsid w:val="4C73A9C6"/>
    <w:multiLevelType w:val="hybridMultilevel"/>
    <w:lvl w:ilvl="0">
      <w:lvlJc w:val="left"/>
      <w:lvlText w:val="(%1)"/>
      <w:numFmt w:val="lowerLetter"/>
      <w:start w:val="9"/>
    </w:lvl>
  </w:abstractNum>
  <w:abstractNum w:abstractNumId="256">
    <w:nsid w:val="1C7E3C01"/>
    <w:multiLevelType w:val="hybridMultilevel"/>
    <w:lvl w:ilvl="0">
      <w:lvlJc w:val="left"/>
      <w:lvlText w:val="(%1)"/>
      <w:numFmt w:val="lowerLetter"/>
      <w:start w:val="1"/>
    </w:lvl>
  </w:abstractNum>
  <w:abstractNum w:abstractNumId="257">
    <w:nsid w:val="1C2201FF"/>
    <w:multiLevelType w:val="hybridMultilevel"/>
    <w:lvl w:ilvl="0">
      <w:lvlJc w:val="left"/>
      <w:lvlText w:val="(%1)"/>
      <w:numFmt w:val="lowerLetter"/>
      <w:start w:val="1"/>
    </w:lvl>
  </w:abstractNum>
  <w:abstractNum w:abstractNumId="258">
    <w:nsid w:val="50ABCEC9"/>
    <w:multiLevelType w:val="hybridMultilevel"/>
    <w:lvl w:ilvl="0">
      <w:lvlJc w:val="left"/>
      <w:lvlText w:val="(%1)"/>
      <w:numFmt w:val="lowerLetter"/>
      <w:start w:val="5"/>
    </w:lvl>
  </w:abstractNum>
  <w:abstractNum w:abstractNumId="259">
    <w:nsid w:val="7635AA2A"/>
    <w:multiLevelType w:val="hybridMultilevel"/>
    <w:lvl w:ilvl="0">
      <w:lvlJc w:val="left"/>
      <w:lvlText w:val="(%1)"/>
      <w:numFmt w:val="lowerLetter"/>
      <w:start w:val="35"/>
    </w:lvl>
  </w:abstractNum>
  <w:abstractNum w:abstractNumId="260">
    <w:nsid w:val="5E74C4D9"/>
    <w:multiLevelType w:val="hybridMultilevel"/>
    <w:lvl w:ilvl="0">
      <w:lvlJc w:val="left"/>
      <w:lvlText w:val="(%1)"/>
      <w:numFmt w:val="lowerLetter"/>
      <w:start w:val="11"/>
    </w:lvl>
  </w:abstractNum>
  <w:abstractNum w:abstractNumId="261">
    <w:nsid w:val="3B3EBE15"/>
    <w:multiLevelType w:val="hybridMultilevel"/>
    <w:lvl w:ilvl="0">
      <w:lvlJc w:val="left"/>
      <w:lvlText w:val="(%1)"/>
      <w:numFmt w:val="lowerLetter"/>
      <w:start w:val="12"/>
    </w:lvl>
  </w:abstractNum>
  <w:abstractNum w:abstractNumId="262">
    <w:nsid w:val="3822CB01"/>
    <w:multiLevelType w:val="hybridMultilevel"/>
    <w:lvl w:ilvl="0">
      <w:lvlJc w:val="left"/>
      <w:lvlText w:val="(%1)"/>
      <w:numFmt w:val="lowerLetter"/>
      <w:start w:val="1"/>
    </w:lvl>
  </w:abstractNum>
  <w:abstractNum w:abstractNumId="263">
    <w:nsid w:val="6CE00443"/>
    <w:multiLevelType w:val="hybridMultilevel"/>
    <w:lvl w:ilvl="0">
      <w:lvlJc w:val="left"/>
      <w:lvlText w:val="(%1)"/>
      <w:numFmt w:val="lowerLetter"/>
      <w:start w:val="1"/>
    </w:lvl>
  </w:abstractNum>
  <w:abstractNum w:abstractNumId="264">
    <w:nsid w:val="79F0D62F"/>
    <w:multiLevelType w:val="hybridMultilevel"/>
    <w:lvl w:ilvl="0">
      <w:lvlJc w:val="left"/>
      <w:lvlText w:val="(%1)"/>
      <w:numFmt w:val="lowerLetter"/>
      <w:start w:val="3"/>
    </w:lvl>
  </w:abstractNum>
  <w:abstractNum w:abstractNumId="265">
    <w:nsid w:val="7975E8EE"/>
    <w:multiLevelType w:val="hybridMultilevel"/>
    <w:lvl w:ilvl="0">
      <w:lvlJc w:val="left"/>
      <w:lvlText w:val="(%1)"/>
      <w:numFmt w:val="lowerLetter"/>
      <w:start w:val="1"/>
    </w:lvl>
  </w:abstractNum>
  <w:abstractNum w:abstractNumId="266">
    <w:nsid w:val="73154115"/>
    <w:multiLevelType w:val="hybridMultilevel"/>
    <w:lvl w:ilvl="0">
      <w:lvlJc w:val="left"/>
      <w:lvlText w:val="(%1)"/>
      <w:numFmt w:val="lowerLetter"/>
      <w:start w:val="1"/>
    </w:lvl>
  </w:abstractNum>
  <w:abstractNum w:abstractNumId="267">
    <w:nsid w:val="622D8102"/>
    <w:multiLevelType w:val="hybridMultilevel"/>
    <w:lvl w:ilvl="0">
      <w:lvlJc w:val="left"/>
      <w:lvlText w:val="(%1)"/>
      <w:numFmt w:val="lowerLetter"/>
      <w:start w:val="1"/>
    </w:lvl>
  </w:abstractNum>
  <w:abstractNum w:abstractNumId="268">
    <w:nsid w:val="2AB26587"/>
    <w:multiLevelType w:val="hybridMultilevel"/>
    <w:lvl w:ilvl="0">
      <w:lvlJc w:val="left"/>
      <w:lvlText w:val="(%1)"/>
      <w:numFmt w:val="lowerLetter"/>
      <w:start w:val="2"/>
    </w:lvl>
  </w:abstractNum>
  <w:abstractNum w:abstractNumId="269">
    <w:nsid w:val="44B3FA61"/>
    <w:multiLevelType w:val="hybridMultilevel"/>
    <w:lvl w:ilvl="0">
      <w:lvlJc w:val="left"/>
      <w:lvlText w:val="(%1)"/>
      <w:numFmt w:val="lowerLetter"/>
      <w:start w:val="6"/>
    </w:lvl>
  </w:abstractNum>
  <w:abstractNum w:abstractNumId="270">
    <w:nsid w:val="1C0CA67C"/>
    <w:multiLevelType w:val="hybridMultilevel"/>
    <w:lvl w:ilvl="0">
      <w:lvlJc w:val="left"/>
      <w:lvlText w:val="(%1)"/>
      <w:numFmt w:val="lowerLetter"/>
      <w:start w:val="8"/>
    </w:lvl>
  </w:abstractNum>
  <w:abstractNum w:abstractNumId="271">
    <w:nsid w:val="3D206613"/>
    <w:multiLevelType w:val="hybridMultilevel"/>
    <w:lvl w:ilvl="0">
      <w:lvlJc w:val="left"/>
      <w:lvlText w:val="[***]"/>
      <w:numFmt w:val="bullet"/>
      <w:start w:val="1"/>
    </w:lvl>
  </w:abstractNum>
  <w:abstractNum w:abstractNumId="272">
    <w:nsid w:val="7993B662"/>
    <w:multiLevelType w:val="hybridMultilevel"/>
    <w:lvl w:ilvl="0">
      <w:lvlJc w:val="left"/>
      <w:lvlText w:val="(%1)"/>
      <w:numFmt w:val="lowerLetter"/>
      <w:start w:val="1"/>
    </w:lvl>
  </w:abstractNum>
  <w:abstractNum w:abstractNumId="273">
    <w:nsid w:val="3BAB699E"/>
    <w:multiLevelType w:val="hybridMultilevel"/>
    <w:lvl w:ilvl="0">
      <w:lvlJc w:val="left"/>
      <w:lvlText w:val="(%1)"/>
      <w:numFmt w:val="lowerLetter"/>
      <w:start w:val="1"/>
    </w:lvl>
  </w:abstractNum>
  <w:abstractNum w:abstractNumId="274">
    <w:nsid w:val="71315369"/>
    <w:multiLevelType w:val="hybridMultilevel"/>
    <w:lvl w:ilvl="0">
      <w:lvlJc w:val="left"/>
      <w:lvlText w:val="(%1)"/>
      <w:numFmt w:val="lowerRoman"/>
      <w:start w:val="1"/>
    </w:lvl>
  </w:abstractNum>
  <w:abstractNum w:abstractNumId="275">
    <w:nsid w:val="7BCFBAFC"/>
    <w:multiLevelType w:val="hybridMultilevel"/>
    <w:lvl w:ilvl="0">
      <w:lvlJc w:val="left"/>
      <w:lvlText w:val="(%1)"/>
      <w:numFmt w:val="lowerLetter"/>
      <w:start w:val="1"/>
    </w:lvl>
  </w:abstractNum>
  <w:abstractNum w:abstractNumId="276">
    <w:nsid w:val="17859F72"/>
    <w:multiLevelType w:val="hybridMultilevel"/>
    <w:lvl w:ilvl="0">
      <w:lvlJc w:val="left"/>
      <w:lvlText w:val="(%1)"/>
      <w:numFmt w:val="lowerLetter"/>
      <w:start w:val="1"/>
    </w:lvl>
  </w:abstractNum>
  <w:abstractNum w:abstractNumId="277">
    <w:nsid w:val="3AA10581"/>
    <w:multiLevelType w:val="hybridMultilevel"/>
    <w:lvl w:ilvl="0">
      <w:lvlJc w:val="left"/>
      <w:lvlText w:val="%1"/>
      <w:numFmt w:val="lowerRoman"/>
      <w:start w:val="1"/>
    </w:lvl>
    <w:lvl w:ilvl="1">
      <w:lvlJc w:val="left"/>
      <w:lvlText w:val="(%2)"/>
      <w:numFmt w:val="lowerLetter"/>
      <w:start w:val="2"/>
    </w:lvl>
  </w:abstractNum>
  <w:abstractNum w:abstractNumId="278">
    <w:nsid w:val="63DE60CD"/>
    <w:multiLevelType w:val="hybridMultilevel"/>
    <w:lvl w:ilvl="0">
      <w:lvlJc w:val="left"/>
      <w:lvlText w:val="(%1)"/>
      <w:numFmt w:val="lowerRoman"/>
      <w:start w:val="1"/>
    </w:lvl>
    <w:lvl w:ilvl="1">
      <w:lvlJc w:val="left"/>
      <w:lvlText w:val="%2"/>
      <w:numFmt w:val="lowerLetter"/>
      <w:start w:val="1"/>
    </w:lvl>
  </w:abstractNum>
  <w:abstractNum w:abstractNumId="279">
    <w:nsid w:val="621AF471"/>
    <w:multiLevelType w:val="hybridMultilevel"/>
    <w:lvl w:ilvl="0">
      <w:lvlJc w:val="left"/>
      <w:lvlText w:val="(%1)"/>
      <w:numFmt w:val="lowerRoman"/>
      <w:start w:val="2"/>
    </w:lvl>
  </w:abstractNum>
  <w:abstractNum w:abstractNumId="280">
    <w:nsid w:val="73CFE165"/>
    <w:multiLevelType w:val="hybridMultilevel"/>
    <w:lvl w:ilvl="0">
      <w:lvlJc w:val="left"/>
      <w:lvlText w:val="(%1)"/>
      <w:numFmt w:val="lowerLetter"/>
      <w:start w:val="1"/>
    </w:lvl>
  </w:abstractNum>
  <w:abstractNum w:abstractNumId="281">
    <w:nsid w:val="20F88EA6"/>
    <w:multiLevelType w:val="hybridMultilevel"/>
    <w:lvl w:ilvl="0">
      <w:lvlJc w:val="left"/>
      <w:lvlText w:val="(%1)"/>
      <w:numFmt w:val="lowerLetter"/>
      <w:start w:val="3"/>
    </w:lvl>
  </w:abstractNum>
  <w:abstractNum w:abstractNumId="282">
    <w:nsid w:val="617C843E"/>
    <w:multiLevelType w:val="hybridMultilevel"/>
    <w:lvl w:ilvl="0">
      <w:lvlJc w:val="left"/>
      <w:lvlText w:val="(%1)"/>
      <w:numFmt w:val="lowerLetter"/>
      <w:start w:val="1"/>
    </w:lvl>
  </w:abstractNum>
  <w:abstractNum w:abstractNumId="283">
    <w:nsid w:val="7B541FAB"/>
    <w:multiLevelType w:val="hybridMultilevel"/>
    <w:lvl w:ilvl="0">
      <w:lvlJc w:val="left"/>
      <w:lvlText w:val="(%1)"/>
      <w:numFmt w:val="lowerLetter"/>
      <w:start w:val="1"/>
    </w:lvl>
  </w:abstractNum>
  <w:abstractNum w:abstractNumId="284">
    <w:nsid w:val="2A79EC49"/>
    <w:multiLevelType w:val="hybridMultilevel"/>
    <w:lvl w:ilvl="0">
      <w:lvlJc w:val="left"/>
      <w:lvlText w:val="(%1)"/>
      <w:numFmt w:val="lowerLetter"/>
      <w:start w:val="1"/>
    </w:lvl>
  </w:abstractNum>
  <w:abstractNum w:abstractNumId="285">
    <w:nsid w:val="338125CF"/>
    <w:multiLevelType w:val="hybridMultilevel"/>
    <w:lvl w:ilvl="0">
      <w:lvlJc w:val="left"/>
      <w:lvlText w:val="(%1)"/>
      <w:numFmt w:val="lowerRoman"/>
      <w:start w:val="7"/>
    </w:lvl>
  </w:abstractNum>
  <w:abstractNum w:abstractNumId="286">
    <w:nsid w:val="47C7C971"/>
    <w:multiLevelType w:val="hybridMultilevel"/>
    <w:lvl w:ilvl="0">
      <w:lvlJc w:val="left"/>
      <w:lvlText w:val="[***]"/>
      <w:numFmt w:val="bullet"/>
      <w:start w:val="1"/>
    </w:lvl>
  </w:abstractNum>
  <w:abstractNum w:abstractNumId="287">
    <w:nsid w:val="46F8284B"/>
    <w:multiLevelType w:val="hybridMultilevel"/>
    <w:lvl w:ilvl="0">
      <w:lvlJc w:val="left"/>
      <w:lvlText w:val="[***]"/>
      <w:numFmt w:val="bullet"/>
      <w:start w:val="1"/>
    </w:lvl>
    <w:lvl w:ilvl="1">
      <w:lvlJc w:val="left"/>
      <w:lvlText w:val="(%2)"/>
      <w:numFmt w:val="lowerLetter"/>
      <w:start w:val="1"/>
    </w:lvl>
  </w:abstractNum>
  <w:abstractNum w:abstractNumId="288">
    <w:nsid w:val="4FA327CE"/>
    <w:multiLevelType w:val="hybridMultilevel"/>
    <w:lvl w:ilvl="0">
      <w:lvlJc w:val="left"/>
      <w:lvlText w:val="[***]"/>
      <w:numFmt w:val="bullet"/>
      <w:start w:val="1"/>
    </w:lvl>
    <w:lvl w:ilvl="1">
      <w:lvlJc w:val="left"/>
      <w:lvlText w:val="(%2)"/>
      <w:numFmt w:val="lowerLetter"/>
      <w:start w:val="6"/>
    </w:lvl>
  </w:abstractNum>
  <w:abstractNum w:abstractNumId="289">
    <w:nsid w:val="1873983A"/>
    <w:multiLevelType w:val="hybridMultilevel"/>
    <w:lvl w:ilvl="0">
      <w:lvlJc w:val="left"/>
      <w:lvlText w:val="(%1)"/>
      <w:numFmt w:val="lowerLetter"/>
      <w:start w:val="1"/>
    </w:lvl>
  </w:abstractNum>
  <w:abstractNum w:abstractNumId="290">
    <w:nsid w:val="3D2DD275"/>
    <w:multiLevelType w:val="hybridMultilevel"/>
    <w:lvl w:ilvl="0">
      <w:lvlJc w:val="left"/>
      <w:lvlText w:val="%1"/>
      <w:numFmt w:val="lowerLetter"/>
      <w:start w:val="1"/>
    </w:lvl>
    <w:lvl w:ilvl="1">
      <w:lvlJc w:val="left"/>
      <w:lvlText w:val="(%2)"/>
      <w:numFmt w:val="lowerLetter"/>
      <w:start w:val="4"/>
    </w:lvl>
  </w:abstractNum>
  <w:abstractNum w:abstractNumId="291">
    <w:nsid w:val="2E17ECA7"/>
    <w:multiLevelType w:val="hybridMultilevel"/>
    <w:lvl w:ilvl="0">
      <w:lvlJc w:val="left"/>
      <w:lvlText w:val="(%1)"/>
      <w:numFmt w:val="lowerLetter"/>
      <w:start w:val="6"/>
    </w:lvl>
    <w:lvl w:ilvl="1">
      <w:lvlJc w:val="left"/>
      <w:lvlText w:val="(%2)"/>
      <w:numFmt w:val="lowerLetter"/>
      <w:start w:val="5"/>
    </w:lvl>
  </w:abstractNum>
  <w:abstractNum w:abstractNumId="292">
    <w:nsid w:val="53B2564F"/>
    <w:multiLevelType w:val="hybridMultilevel"/>
    <w:lvl w:ilvl="0">
      <w:lvlJc w:val="left"/>
      <w:lvlText w:val="[***]"/>
      <w:numFmt w:val="bullet"/>
      <w:start w:val="1"/>
    </w:lvl>
  </w:abstractNum>
  <w:abstractNum w:abstractNumId="293">
    <w:nsid w:val="75509D76"/>
    <w:multiLevelType w:val="hybridMultilevel"/>
    <w:lvl w:ilvl="0">
      <w:lvlJc w:val="left"/>
      <w:lvlText w:val="%1."/>
      <w:numFmt w:val="decimal"/>
      <w:start w:val="1"/>
    </w:lvl>
  </w:abstractNum>
  <w:abstractNum w:abstractNumId="294">
    <w:nsid w:val="1AF7F0EA"/>
    <w:multiLevelType w:val="hybridMultilevel"/>
    <w:lvl w:ilvl="0">
      <w:lvlJc w:val="left"/>
      <w:lvlText w:val="[***]"/>
      <w:numFmt w:val="bullet"/>
      <w:start w:val="1"/>
    </w:lvl>
  </w:abstractNum>
  <w:abstractNum w:abstractNumId="295">
    <w:nsid w:val="4DA32C7E"/>
    <w:multiLevelType w:val="hybridMultilevel"/>
    <w:lvl w:ilvl="0">
      <w:lvlJc w:val="left"/>
      <w:lvlText w:val="%1."/>
      <w:numFmt w:val="decimal"/>
      <w:start w:val="1"/>
    </w:lvl>
  </w:abstractNum>
  <w:abstractNum w:abstractNumId="296">
    <w:nsid w:val="6EC68664"/>
    <w:multiLevelType w:val="hybridMultilevel"/>
    <w:lvl w:ilvl="0">
      <w:lvlJc w:val="left"/>
      <w:lvlText w:val="%1."/>
      <w:numFmt w:val="decimal"/>
      <w:start w:val="4"/>
    </w:lvl>
  </w:abstractNum>
  <w:abstractNum w:abstractNumId="297">
    <w:nsid w:val="E0D31FF"/>
    <w:multiLevelType w:val="hybridMultilevel"/>
    <w:lvl w:ilvl="0">
      <w:lvlJc w:val="left"/>
      <w:lvlText w:val="%1."/>
      <w:numFmt w:val="decimal"/>
      <w:start w:val="5"/>
    </w:lvl>
  </w:abstractNum>
  <w:abstractNum w:abstractNumId="298">
    <w:nsid w:val="2FD0AD81"/>
    <w:multiLevelType w:val="hybridMultilevel"/>
    <w:lvl w:ilvl="0">
      <w:lvlJc w:val="left"/>
      <w:lvlText w:val="%1."/>
      <w:numFmt w:val="decimal"/>
      <w:start w:val="8"/>
    </w:lvl>
    <w:lvl w:ilvl="1">
      <w:lvlJc w:val="left"/>
      <w:lvlText w:val="%2."/>
      <w:numFmt w:val="lowerLetter"/>
      <w:start w:val="1"/>
    </w:lvl>
  </w:abstractNum>
  <w:abstractNum w:abstractNumId="299">
    <w:nsid w:val="1978EBEB"/>
    <w:multiLevelType w:val="hybridMultilevel"/>
    <w:lvl w:ilvl="0">
      <w:lvlJc w:val="left"/>
      <w:lvlText w:val="[***]"/>
      <w:numFmt w:val="bullet"/>
      <w:start w:val="1"/>
    </w:lvl>
  </w:abstractNum>
  <w:abstractNum w:abstractNumId="300">
    <w:nsid w:val="52C12C61"/>
    <w:multiLevelType w:val="hybridMultilevel"/>
    <w:lvl w:ilvl="0">
      <w:lvlJc w:val="left"/>
      <w:lvlText w:val="[***]"/>
      <w:numFmt w:val="bullet"/>
      <w:start w:val="1"/>
    </w:lvl>
  </w:abstractNum>
  <w:abstractNum w:abstractNumId="301">
    <w:nsid w:val="4BDD53FD"/>
    <w:multiLevelType w:val="hybridMultilevel"/>
    <w:lvl w:ilvl="0">
      <w:lvlJc w:val="left"/>
      <w:lvlText w:val="%1."/>
      <w:numFmt w:val="decimal"/>
      <w:start w:val="1"/>
    </w:lvl>
  </w:abstractNum>
  <w:abstractNum w:abstractNumId="302">
    <w:nsid w:val="569951FE"/>
    <w:multiLevelType w:val="hybridMultilevel"/>
    <w:lvl w:ilvl="0">
      <w:lvlJc w:val="left"/>
      <w:lvlText w:val="(%1)"/>
      <w:numFmt w:val="lowerLetter"/>
      <w:start w:val="1"/>
    </w:lvl>
  </w:abstractNum>
  <w:abstractNum w:abstractNumId="303">
    <w:nsid w:val="4C54E2C3"/>
    <w:multiLevelType w:val="hybridMultilevel"/>
    <w:lvl w:ilvl="0">
      <w:lvlJc w:val="left"/>
      <w:lvlText w:val="(%1)"/>
      <w:numFmt w:val="lowerLetter"/>
      <w:start w:val="3"/>
    </w:lvl>
  </w:abstractNum>
  <w:abstractNum w:abstractNumId="304">
    <w:nsid w:val="788BD9B"/>
    <w:multiLevelType w:val="hybridMultilevel"/>
    <w:lvl w:ilvl="0">
      <w:lvlJc w:val="left"/>
      <w:lvlText w:val="%1."/>
      <w:numFmt w:val="decimal"/>
      <w:start w:val="2"/>
    </w:lvl>
  </w:abstractNum>
  <w:abstractNum w:abstractNumId="305">
    <w:nsid w:val="47CAA567"/>
    <w:multiLevelType w:val="hybridMultilevel"/>
    <w:lvl w:ilvl="0">
      <w:lvlJc w:val="left"/>
      <w:lvlText w:val="%1."/>
      <w:numFmt w:val="decimal"/>
      <w:start w:val="3"/>
    </w:lvl>
  </w:abstractNum>
  <w:abstractNum w:abstractNumId="306">
    <w:nsid w:val="48249DBF"/>
    <w:multiLevelType w:val="hybridMultilevel"/>
    <w:lvl w:ilvl="0">
      <w:lvlJc w:val="left"/>
      <w:lvlText w:val="%1."/>
      <w:numFmt w:val="decimal"/>
      <w:start w:val="4"/>
    </w:lvl>
  </w:abstractNum>
  <w:abstractNum w:abstractNumId="307">
    <w:nsid w:val="1F0E5D0D"/>
    <w:multiLevelType w:val="hybridMultilevel"/>
    <w:lvl w:ilvl="0">
      <w:lvlJc w:val="left"/>
      <w:lvlText w:val="%1."/>
      <w:numFmt w:val="decimal"/>
      <w:start w:val="5"/>
    </w:lvl>
  </w:abstractNum>
  <w:abstractNum w:abstractNumId="308">
    <w:nsid w:val="26BAAE9"/>
    <w:multiLevelType w:val="hybridMultilevel"/>
    <w:lvl w:ilvl="0">
      <w:lvlJc w:val="left"/>
      <w:lvlText w:val="%1."/>
      <w:numFmt w:val="decimal"/>
      <w:start w:val="6"/>
    </w:lvl>
  </w:abstractNum>
  <w:abstractNum w:abstractNumId="309">
    <w:nsid w:val="2C02FE8C"/>
    <w:multiLevelType w:val="hybridMultilevel"/>
    <w:lvl w:ilvl="0">
      <w:lvlJc w:val="left"/>
      <w:lvlText w:val="(%1)"/>
      <w:numFmt w:val="lowerLetter"/>
      <w:start w:val="4"/>
    </w:lvl>
  </w:abstractNum>
  <w:abstractNum w:abstractNumId="310">
    <w:nsid w:val="129517E"/>
    <w:multiLevelType w:val="hybridMultilevel"/>
    <w:lvl w:ilvl="0">
      <w:lvlJc w:val="left"/>
      <w:lvlText w:val="%1."/>
      <w:numFmt w:val="decimal"/>
      <w:start w:val="7"/>
    </w:lvl>
  </w:abstractNum>
  <w:abstractNum w:abstractNumId="311">
    <w:nsid w:val="763B8C4E"/>
    <w:multiLevelType w:val="hybridMultilevel"/>
    <w:lvl w:ilvl="0">
      <w:lvlJc w:val="left"/>
      <w:lvlText w:val="%1."/>
      <w:numFmt w:val="decimal"/>
      <w:start w:val="8"/>
    </w:lvl>
  </w:abstractNum>
  <w:abstractNum w:abstractNumId="312">
    <w:nsid w:val="4CFB8D32"/>
    <w:multiLevelType w:val="hybridMultilevel"/>
    <w:lvl w:ilvl="0">
      <w:lvlJc w:val="left"/>
      <w:lvlText w:val="%1."/>
      <w:numFmt w:val="decimal"/>
      <w:start w:val="9"/>
    </w:lvl>
  </w:abstractNum>
  <w:abstractNum w:abstractNumId="313">
    <w:nsid w:val="62A5D5BD"/>
    <w:multiLevelType w:val="hybridMultilevel"/>
    <w:lvl w:ilvl="0">
      <w:lvlJc w:val="left"/>
      <w:lvlText w:val="(%1)"/>
      <w:numFmt w:val="lowerLetter"/>
      <w:start w:val="1"/>
    </w:lvl>
  </w:abstractNum>
  <w:abstractNum w:abstractNumId="314">
    <w:nsid w:val="718FABF9"/>
    <w:multiLevelType w:val="hybridMultilevel"/>
    <w:lvl w:ilvl="0">
      <w:lvlJc w:val="left"/>
      <w:lvlText w:val="%1."/>
      <w:numFmt w:val="decimal"/>
      <w:start w:val="10"/>
    </w:lvl>
  </w:abstractNum>
  <w:abstractNum w:abstractNumId="315">
    <w:nsid w:val="7775797C"/>
    <w:multiLevelType w:val="hybridMultilevel"/>
    <w:lvl w:ilvl="0">
      <w:lvlJc w:val="left"/>
      <w:lvlText w:val="%1."/>
      <w:numFmt w:val="decimal"/>
      <w:start w:val="11"/>
    </w:lvl>
  </w:abstractNum>
  <w:abstractNum w:abstractNumId="316">
    <w:nsid w:val="1626FB8C"/>
    <w:multiLevelType w:val="hybridMultilevel"/>
    <w:lvl w:ilvl="0">
      <w:lvlJc w:val="left"/>
      <w:lvlText w:val="[***]"/>
      <w:numFmt w:val="bullet"/>
      <w:start w:val="1"/>
    </w:lvl>
  </w:abstractNum>
  <w:abstractNum w:abstractNumId="317">
    <w:nsid w:val="3957756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2023-08-28T04:37:25Z</dcterms:created>
  <dcterms:modified xsi:type="dcterms:W3CDTF">2023-08-28T04:37:25Z</dcterms:modified>
</cp:coreProperties>
</file>