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filename1.htm"/>
        <w:bookmarkStart w:id="1" w:name="ksfilename1"/>
        <w:bookmarkEnd w:id="0"/>
        <w:bookmarkEnd w:id="1"/>
        <w:r>
          <w:rPr>
            <w:rStyle w:val="InternetLink"/>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Confidential Draft Submission No. 5 submitted to the Securities and Exchange Commission on June 10, 2022. </w:t>
      </w:r>
    </w:p>
    <w:p>
      <w:pPr>
        <w:pStyle w:val="TextBody"/>
        <w:bidi w:val="0"/>
        <w:spacing w:before="0" w:after="0"/>
        <w:jc w:val="center"/>
        <w:rPr>
          <w:rFonts w:ascii="Times New Roman" w:hAnsi="Times New Roman"/>
          <w:b/>
          <w:sz w:val="16"/>
        </w:rPr>
      </w:pPr>
      <w:r>
        <w:rPr>
          <w:rFonts w:ascii="Times New Roman" w:hAnsi="Times New Roman"/>
          <w:b/>
          <w:sz w:val="16"/>
        </w:rPr>
        <w:t xml:space="preserve">This draft registration statement has not been publicly filed with the Securities and Exchange Commission </w:t>
      </w:r>
    </w:p>
    <w:p>
      <w:pPr>
        <w:pStyle w:val="TextBody"/>
        <w:bidi w:val="0"/>
        <w:spacing w:before="0" w:after="0"/>
        <w:jc w:val="center"/>
        <w:rPr>
          <w:rFonts w:ascii="Times New Roman" w:hAnsi="Times New Roman"/>
          <w:b/>
          <w:sz w:val="16"/>
        </w:rPr>
      </w:pPr>
      <w:r>
        <w:rPr>
          <w:rFonts w:ascii="Times New Roman" w:hAnsi="Times New Roman"/>
          <w:b/>
          <w:sz w:val="16"/>
        </w:rPr>
        <w:t xml:space="preserve">and all information herein remains strictly confidential.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Times New Roman" w:hAnsi="Times New Roman"/>
          <w:b/>
          <w:sz w:val="28"/>
        </w:rPr>
      </w:pPr>
      <w:r>
        <w:rPr>
          <w:rFonts w:ascii="Times New Roman" w:hAnsi="Times New Roman"/>
          <w:b/>
          <w:sz w:val="28"/>
        </w:rPr>
        <w:t xml:space="preserve">FORM S-1 </w:t>
      </w:r>
    </w:p>
    <w:p>
      <w:pPr>
        <w:pStyle w:val="TextBody"/>
        <w:bidi w:val="0"/>
        <w:spacing w:before="0" w:after="0"/>
        <w:jc w:val="center"/>
        <w:rPr>
          <w:rFonts w:ascii="Times New Roman" w:hAnsi="Times New Roman"/>
          <w:b/>
          <w:sz w:val="28"/>
        </w:rPr>
      </w:pPr>
      <w:r>
        <w:rPr>
          <w:rFonts w:ascii="Times New Roman" w:hAnsi="Times New Roman"/>
          <w:b/>
          <w:sz w:val="28"/>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Times New Roman" w:hAnsi="Times New Roman"/>
          <w:b/>
          <w:sz w:val="38"/>
        </w:rPr>
      </w:pPr>
      <w:r>
        <w:rPr>
          <w:rFonts w:ascii="Times New Roman" w:hAnsi="Times New Roman"/>
          <w:b/>
          <w:sz w:val="38"/>
        </w:rPr>
        <w:t xml:space="preserve">NEUMORA THERAPEUTICS,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0"/>
        <w:gridCol w:w="3267"/>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Delaware</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2834</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84-4367680</w:t>
            </w:r>
          </w:p>
        </w:tc>
      </w:tr>
      <w:tr>
        <w:trPr/>
        <w:tc>
          <w:tcPr>
            <w:tcW w:w="3470"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(Primary Standard Industrial</w:t>
            </w:r>
          </w:p>
          <w:p>
            <w:pPr>
              <w:pStyle w:val="TableContents"/>
              <w:bidi w:val="0"/>
              <w:spacing w:before="0" w:after="20"/>
              <w:jc w:val="center"/>
              <w:rPr>
                <w:rFonts w:ascii="Times New Roman" w:hAnsi="Times New Roman"/>
                <w:b/>
                <w:sz w:val="14"/>
              </w:rPr>
            </w:pPr>
            <w:r>
              <w:rPr>
                <w:rFonts w:ascii="Times New Roman" w:hAnsi="Times New Roman"/>
                <w:b/>
                <w:sz w:val="14"/>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(I.R.S. Employer</w:t>
              <w:br/>
              <w:t>Identification Number)</w:t>
            </w:r>
          </w:p>
        </w:tc>
      </w:tr>
    </w:tbl>
    <w:p>
      <w:pPr>
        <w:pStyle w:val="TextBody"/>
        <w:bidi w:val="0"/>
        <w:spacing w:before="40" w:after="0"/>
        <w:jc w:val="center"/>
        <w:rPr>
          <w:rFonts w:ascii="Times New Roman" w:hAnsi="Times New Roman"/>
          <w:b/>
          <w:sz w:val="16"/>
        </w:rPr>
      </w:pPr>
      <w:r>
        <w:rPr>
          <w:rFonts w:ascii="Times New Roman" w:hAnsi="Times New Roman"/>
          <w:b/>
          <w:sz w:val="16"/>
        </w:rPr>
        <w:t xml:space="preserve">490 Arsenal Way </w:t>
      </w:r>
    </w:p>
    <w:p>
      <w:pPr>
        <w:pStyle w:val="TextBody"/>
        <w:bidi w:val="0"/>
        <w:spacing w:before="0" w:after="0"/>
        <w:jc w:val="center"/>
        <w:rPr>
          <w:rFonts w:ascii="Times New Roman" w:hAnsi="Times New Roman"/>
          <w:b/>
          <w:sz w:val="16"/>
        </w:rPr>
      </w:pPr>
      <w:r>
        <w:rPr>
          <w:rFonts w:ascii="Times New Roman" w:hAnsi="Times New Roman"/>
          <w:b/>
          <w:sz w:val="16"/>
        </w:rPr>
        <w:t xml:space="preserve">Watertown, Massachusetts 02472 </w:t>
      </w:r>
    </w:p>
    <w:p>
      <w:pPr>
        <w:pStyle w:val="TextBody"/>
        <w:bidi w:val="0"/>
        <w:spacing w:before="0" w:after="0"/>
        <w:jc w:val="center"/>
        <w:rPr>
          <w:rFonts w:ascii="Times New Roman" w:hAnsi="Times New Roman"/>
          <w:b/>
          <w:sz w:val="16"/>
        </w:rPr>
      </w:pPr>
      <w:r>
        <w:rPr>
          <w:rFonts w:ascii="Times New Roman" w:hAnsi="Times New Roman"/>
          <w:b/>
          <w:sz w:val="16"/>
        </w:rPr>
        <w:t xml:space="preserve">(857) 760-0900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sz w:val="16"/>
        </w:rPr>
      </w:pPr>
      <w:r>
        <w:rPr>
          <w:rFonts w:ascii="Times New Roman" w:hAnsi="Times New Roman"/>
          <w:b/>
          <w:sz w:val="16"/>
        </w:rPr>
        <w:t xml:space="preserve">Paul Berns </w:t>
      </w:r>
    </w:p>
    <w:p>
      <w:pPr>
        <w:pStyle w:val="TextBody"/>
        <w:bidi w:val="0"/>
        <w:spacing w:before="0" w:after="0"/>
        <w:jc w:val="center"/>
        <w:rPr>
          <w:rFonts w:ascii="Times New Roman" w:hAnsi="Times New Roman"/>
          <w:b/>
          <w:sz w:val="16"/>
        </w:rPr>
      </w:pPr>
      <w:r>
        <w:rPr>
          <w:rFonts w:ascii="Times New Roman" w:hAnsi="Times New Roman"/>
          <w:b/>
          <w:sz w:val="16"/>
        </w:rPr>
        <w:t xml:space="preserve">Chief Executive Officer </w:t>
      </w:r>
    </w:p>
    <w:p>
      <w:pPr>
        <w:pStyle w:val="TextBody"/>
        <w:bidi w:val="0"/>
        <w:spacing w:before="0" w:after="0"/>
        <w:jc w:val="center"/>
        <w:rPr>
          <w:rFonts w:ascii="Times New Roman" w:hAnsi="Times New Roman"/>
          <w:b/>
          <w:sz w:val="16"/>
        </w:rPr>
      </w:pPr>
      <w:r>
        <w:rPr>
          <w:rFonts w:ascii="Times New Roman" w:hAnsi="Times New Roman"/>
          <w:b/>
          <w:sz w:val="16"/>
        </w:rPr>
        <w:t xml:space="preserve">Neumora Therapeutics, Inc. </w:t>
      </w:r>
    </w:p>
    <w:p>
      <w:pPr>
        <w:pStyle w:val="TextBody"/>
        <w:bidi w:val="0"/>
        <w:spacing w:before="0" w:after="0"/>
        <w:jc w:val="center"/>
        <w:rPr>
          <w:rFonts w:ascii="Times New Roman" w:hAnsi="Times New Roman"/>
          <w:b/>
          <w:sz w:val="16"/>
        </w:rPr>
      </w:pPr>
      <w:r>
        <w:rPr>
          <w:rFonts w:ascii="Times New Roman" w:hAnsi="Times New Roman"/>
          <w:b/>
          <w:sz w:val="16"/>
        </w:rPr>
        <w:t xml:space="preserve">490 Arsenal Way </w:t>
      </w:r>
    </w:p>
    <w:p>
      <w:pPr>
        <w:pStyle w:val="TextBody"/>
        <w:bidi w:val="0"/>
        <w:spacing w:before="0" w:after="0"/>
        <w:jc w:val="center"/>
        <w:rPr>
          <w:rFonts w:ascii="Times New Roman" w:hAnsi="Times New Roman"/>
          <w:b/>
          <w:sz w:val="16"/>
        </w:rPr>
      </w:pPr>
      <w:r>
        <w:rPr>
          <w:rFonts w:ascii="Times New Roman" w:hAnsi="Times New Roman"/>
          <w:b/>
          <w:sz w:val="16"/>
        </w:rPr>
        <w:t xml:space="preserve">Watertown, Massachusetts 02472 </w:t>
      </w:r>
    </w:p>
    <w:p>
      <w:pPr>
        <w:pStyle w:val="TextBody"/>
        <w:bidi w:val="0"/>
        <w:spacing w:before="0" w:after="0"/>
        <w:jc w:val="center"/>
        <w:rPr>
          <w:rFonts w:ascii="Times New Roman" w:hAnsi="Times New Roman"/>
          <w:b/>
          <w:sz w:val="16"/>
        </w:rPr>
      </w:pPr>
      <w:r>
        <w:rPr>
          <w:rFonts w:ascii="Times New Roman" w:hAnsi="Times New Roman"/>
          <w:b/>
          <w:sz w:val="16"/>
        </w:rPr>
        <w:t xml:space="preserve">(857) 760-0900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1"/>
        <w:gridCol w:w="3267"/>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center"/>
              <w:rPr>
                <w:b/>
              </w:rPr>
            </w:pPr>
            <w:r>
              <w:rPr>
                <w:b/>
              </w:rPr>
              <w:t>Brian J. Cuneo</w:t>
              <w:br/>
              <w:t>Phillip S. Stoup</w:t>
              <w:br/>
              <w:t>Latham &amp; Watkins LLP</w:t>
              <w:br/>
              <w:t>140 Scott Drive</w:t>
              <w:br/>
              <w:t>Menlo Park, California 94025</w:t>
              <w:br/>
              <w:t>(650) 328-4600</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0"/>
              <w:jc w:val="center"/>
              <w:rPr>
                <w:rFonts w:ascii="Times New Roman" w:hAnsi="Times New Roman"/>
                <w:b/>
                <w:sz w:val="16"/>
              </w:rPr>
            </w:pPr>
            <w:r>
              <w:rPr>
                <w:rFonts w:ascii="Times New Roman" w:hAnsi="Times New Roman"/>
                <w:b/>
                <w:sz w:val="16"/>
              </w:rPr>
              <w:t>Tamara L. Tompkins</w:t>
            </w:r>
          </w:p>
          <w:p>
            <w:pPr>
              <w:pStyle w:val="TableContents"/>
              <w:bidi w:val="0"/>
              <w:spacing w:before="0" w:after="0"/>
              <w:jc w:val="center"/>
              <w:rPr>
                <w:rFonts w:ascii="Times New Roman" w:hAnsi="Times New Roman"/>
                <w:b/>
                <w:sz w:val="16"/>
              </w:rPr>
            </w:pPr>
            <w:r>
              <w:rPr>
                <w:rFonts w:ascii="Times New Roman" w:hAnsi="Times New Roman"/>
                <w:b/>
                <w:sz w:val="16"/>
              </w:rPr>
              <w:t>Chief Legal Officer and Corporate Secretary</w:t>
            </w:r>
          </w:p>
          <w:p>
            <w:pPr>
              <w:pStyle w:val="TableContents"/>
              <w:bidi w:val="0"/>
              <w:spacing w:before="0" w:after="0"/>
              <w:jc w:val="center"/>
              <w:rPr>
                <w:rFonts w:ascii="Times New Roman" w:hAnsi="Times New Roman"/>
                <w:b/>
                <w:sz w:val="16"/>
              </w:rPr>
            </w:pPr>
            <w:r>
              <w:rPr>
                <w:rFonts w:ascii="Times New Roman" w:hAnsi="Times New Roman"/>
                <w:b/>
                <w:sz w:val="16"/>
              </w:rPr>
              <w:t>Neumora Therapeutics, Inc.</w:t>
            </w:r>
          </w:p>
          <w:p>
            <w:pPr>
              <w:pStyle w:val="TableContents"/>
              <w:bidi w:val="0"/>
              <w:spacing w:before="0" w:after="0"/>
              <w:jc w:val="center"/>
              <w:rPr>
                <w:rFonts w:ascii="Times New Roman" w:hAnsi="Times New Roman"/>
                <w:b/>
                <w:sz w:val="16"/>
              </w:rPr>
            </w:pPr>
            <w:r>
              <w:rPr>
                <w:rFonts w:ascii="Times New Roman" w:hAnsi="Times New Roman"/>
                <w:b/>
                <w:sz w:val="16"/>
              </w:rPr>
              <w:t>490 Arsenal Way</w:t>
            </w:r>
          </w:p>
          <w:p>
            <w:pPr>
              <w:pStyle w:val="TableContents"/>
              <w:bidi w:val="0"/>
              <w:spacing w:before="0" w:after="0"/>
              <w:jc w:val="center"/>
              <w:rPr>
                <w:rFonts w:ascii="Times New Roman" w:hAnsi="Times New Roman"/>
                <w:b/>
                <w:sz w:val="16"/>
              </w:rPr>
            </w:pPr>
            <w:r>
              <w:rPr>
                <w:rFonts w:ascii="Times New Roman" w:hAnsi="Times New Roman"/>
                <w:b/>
                <w:sz w:val="16"/>
              </w:rPr>
              <w:t>Watertown, Massachusetts 02472</w:t>
            </w:r>
          </w:p>
          <w:p>
            <w:pPr>
              <w:pStyle w:val="TableContents"/>
              <w:bidi w:val="0"/>
              <w:spacing w:before="0" w:after="20"/>
              <w:jc w:val="center"/>
              <w:rPr>
                <w:rFonts w:ascii="Times New Roman" w:hAnsi="Times New Roman"/>
                <w:b/>
                <w:sz w:val="16"/>
              </w:rPr>
            </w:pPr>
            <w:r>
              <w:rPr>
                <w:rFonts w:ascii="Times New Roman" w:hAnsi="Times New Roman"/>
                <w:b/>
                <w:sz w:val="16"/>
              </w:rPr>
              <w:t>(857) 760-0900</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Charles S. Kim</w:t>
            </w:r>
          </w:p>
          <w:p>
            <w:pPr>
              <w:pStyle w:val="TableContents"/>
              <w:bidi w:val="0"/>
              <w:spacing w:before="0" w:after="0"/>
              <w:jc w:val="center"/>
              <w:rPr>
                <w:rFonts w:ascii="Times New Roman" w:hAnsi="Times New Roman"/>
                <w:b/>
                <w:sz w:val="16"/>
              </w:rPr>
            </w:pPr>
            <w:r>
              <w:rPr>
                <w:rFonts w:ascii="Times New Roman" w:hAnsi="Times New Roman"/>
                <w:b/>
                <w:sz w:val="16"/>
              </w:rPr>
              <w:t>Kristin VanderPas</w:t>
            </w:r>
          </w:p>
          <w:p>
            <w:pPr>
              <w:pStyle w:val="TableContents"/>
              <w:bidi w:val="0"/>
              <w:spacing w:before="0" w:after="0"/>
              <w:jc w:val="center"/>
              <w:rPr>
                <w:rFonts w:ascii="Times New Roman" w:hAnsi="Times New Roman"/>
                <w:b/>
                <w:sz w:val="16"/>
              </w:rPr>
            </w:pPr>
            <w:r>
              <w:rPr>
                <w:rFonts w:ascii="Times New Roman" w:hAnsi="Times New Roman"/>
                <w:b/>
                <w:sz w:val="16"/>
              </w:rPr>
              <w:t>Dave Peinsipp</w:t>
            </w:r>
          </w:p>
          <w:p>
            <w:pPr>
              <w:pStyle w:val="TableContents"/>
              <w:bidi w:val="0"/>
              <w:spacing w:before="0" w:after="0"/>
              <w:jc w:val="center"/>
              <w:rPr>
                <w:rFonts w:ascii="Times New Roman" w:hAnsi="Times New Roman"/>
                <w:b/>
                <w:sz w:val="16"/>
              </w:rPr>
            </w:pPr>
            <w:r>
              <w:rPr>
                <w:rFonts w:ascii="Times New Roman" w:hAnsi="Times New Roman"/>
                <w:b/>
                <w:sz w:val="16"/>
              </w:rPr>
              <w:t>Denny Won</w:t>
            </w:r>
          </w:p>
          <w:p>
            <w:pPr>
              <w:pStyle w:val="TableContents"/>
              <w:bidi w:val="0"/>
              <w:spacing w:before="0" w:after="0"/>
              <w:jc w:val="center"/>
              <w:rPr>
                <w:rFonts w:ascii="Times New Roman" w:hAnsi="Times New Roman"/>
                <w:b/>
                <w:sz w:val="16"/>
              </w:rPr>
            </w:pPr>
            <w:r>
              <w:rPr>
                <w:rFonts w:ascii="Times New Roman" w:hAnsi="Times New Roman"/>
                <w:b/>
                <w:sz w:val="16"/>
              </w:rPr>
              <w:t>Cooley LLP</w:t>
            </w:r>
          </w:p>
          <w:p>
            <w:pPr>
              <w:pStyle w:val="TableContents"/>
              <w:bidi w:val="0"/>
              <w:spacing w:before="0" w:after="0"/>
              <w:jc w:val="center"/>
              <w:rPr>
                <w:rFonts w:ascii="Times New Roman" w:hAnsi="Times New Roman"/>
                <w:b/>
                <w:sz w:val="16"/>
              </w:rPr>
            </w:pPr>
            <w:r>
              <w:rPr>
                <w:rFonts w:ascii="Times New Roman" w:hAnsi="Times New Roman"/>
                <w:b/>
                <w:sz w:val="16"/>
              </w:rPr>
              <w:t>4401 Eastgate Mall</w:t>
            </w:r>
          </w:p>
          <w:p>
            <w:pPr>
              <w:pStyle w:val="TableContents"/>
              <w:bidi w:val="0"/>
              <w:spacing w:before="0" w:after="0"/>
              <w:jc w:val="center"/>
              <w:rPr>
                <w:rFonts w:ascii="Times New Roman" w:hAnsi="Times New Roman"/>
                <w:b/>
                <w:sz w:val="16"/>
              </w:rPr>
            </w:pPr>
            <w:r>
              <w:rPr>
                <w:rFonts w:ascii="Times New Roman" w:hAnsi="Times New Roman"/>
                <w:b/>
                <w:sz w:val="16"/>
              </w:rPr>
              <w:t>San Diego, California 92121</w:t>
            </w:r>
          </w:p>
          <w:p>
            <w:pPr>
              <w:pStyle w:val="TableContents"/>
              <w:bidi w:val="0"/>
              <w:spacing w:before="0" w:after="20"/>
              <w:jc w:val="center"/>
              <w:rPr>
                <w:rFonts w:ascii="Times New Roman" w:hAnsi="Times New Roman"/>
                <w:b/>
                <w:sz w:val="16"/>
              </w:rPr>
            </w:pPr>
            <w:r>
              <w:rPr>
                <w:rFonts w:ascii="Times New Roman" w:hAnsi="Times New Roman"/>
                <w:b/>
                <w:sz w:val="16"/>
              </w:rPr>
              <w:t>(858) 550-6000</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left"/>
        <w:rPr>
          <w:rFonts w:ascii="Times New Roman" w:hAnsi="Times New Roman"/>
          <w:sz w:val="18"/>
        </w:rPr>
      </w:pPr>
      <w:r>
        <w:rPr>
          <w:rFonts w:ascii="Times New Roman" w:hAnsi="Times New Roman"/>
          <w:b/>
          <w:sz w:val="18"/>
        </w:rPr>
        <w:t>Approximate date of commencement of proposed sale to the public:</w:t>
      </w:r>
      <w:r>
        <w:rPr>
          <w:rFonts w:ascii="Times New Roman" w:hAnsi="Times New Roman"/>
          <w:sz w:val="18"/>
        </w:rPr>
        <w:t xml:space="preserve"> As soon as practicable after the effective date of this Registration Statement. </w:t>
      </w:r>
    </w:p>
    <w:p>
      <w:pPr>
        <w:pStyle w:val="TextBody"/>
        <w:bidi w:val="0"/>
        <w:spacing w:before="4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check the following box.  ☐ </w:t>
      </w:r>
    </w:p>
    <w:p>
      <w:pPr>
        <w:pStyle w:val="TextBody"/>
        <w:bidi w:val="0"/>
        <w:spacing w:before="4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4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40" w:after="0"/>
        <w:jc w:val="left"/>
        <w:rPr>
          <w:rFonts w:ascii="Times New Roman" w:hAnsi="Times New Roman"/>
          <w:sz w:val="18"/>
        </w:rPr>
      </w:pPr>
      <w:r>
        <w:rPr>
          <w:rFonts w:ascii="Times New Roman" w:hAnsi="Times New Roman"/>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4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0"/>
        <w:gridCol w:w="104"/>
        <w:gridCol w:w="4794"/>
        <w:gridCol w:w="130"/>
        <w:gridCol w:w="2632"/>
        <w:gridCol w:w="104"/>
        <w:gridCol w:w="261"/>
      </w:tblGrid>
      <w:tr>
        <w:trPr/>
        <w:tc>
          <w:tcPr>
            <w:tcW w:w="218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9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c>
          <w:tcPr>
            <w:tcW w:w="2180" w:type="dxa"/>
            <w:tcBorders/>
            <w:vAlign w:val="bottom"/>
          </w:tcPr>
          <w:p>
            <w:pPr>
              <w:pStyle w:val="TableContents"/>
              <w:bidi w:val="0"/>
              <w:spacing w:before="0" w:after="283"/>
              <w:jc w:val="left"/>
              <w:rPr/>
            </w:pPr>
            <w:r>
              <w:rPr/>
              <w:t xml:space="preserve">Non-accelerated filer </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c>
          <w:tcPr>
            <w:tcW w:w="218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bl>
    <w:p>
      <w:pPr>
        <w:pStyle w:val="TextBody"/>
        <w:bidi w:val="0"/>
        <w:spacing w:before="4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color w:val="FF4338"/>
          <w:sz w:val="20"/>
        </w:rPr>
      </w:pPr>
      <w:r>
        <w:rPr>
          <w:rFonts w:ascii="Times New Roman" w:hAnsi="Times New Roman"/>
          <w:b/>
          <w:color w:val="FF4338"/>
          <w:sz w:val="20"/>
        </w:rPr>
        <w:t xml:space="preserve">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 2022 </w:t>
      </w:r>
    </w:p>
    <w:p>
      <w:pPr>
        <w:pStyle w:val="TextBody"/>
        <w:bidi w:val="0"/>
        <w:spacing w:before="360" w:after="0"/>
        <w:jc w:val="center"/>
        <w:rPr/>
      </w:pPr>
      <w:r>
        <w:rPr/>
        <w:t xml:space="preserve">                     </w:t>
      </w:r>
      <w:r>
        <w:rPr>
          <w:rFonts w:ascii="Times New Roman" w:hAnsi="Times New Roman"/>
          <w:b/>
          <w:sz w:val="36"/>
        </w:rPr>
        <w:t xml:space="preserve">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284480" cy="628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4480" cy="62865"/>
                    </a:xfrm>
                    <a:prstGeom prst="rect">
                      <a:avLst/>
                    </a:prstGeom>
                  </pic:spPr>
                </pic:pic>
              </a:graphicData>
            </a:graphic>
          </wp:inline>
        </w:drawing>
      </w:r>
      <w:r>
        <w:rPr/>
        <w:t xml:space="preserve"> </w:t>
      </w:r>
    </w:p>
    <w:p>
      <w:pPr>
        <w:pStyle w:val="TextBody"/>
        <w:bidi w:val="0"/>
        <w:spacing w:before="36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rFonts w:ascii="Times New Roman" w:hAnsi="Times New Roman"/>
          <w:sz w:val="20"/>
        </w:rPr>
      </w:pPr>
      <w:r>
        <w:rPr>
          <w:rFonts w:ascii="Times New Roman" w:hAnsi="Times New Roman"/>
          <w:sz w:val="20"/>
        </w:rPr>
        <w:t xml:space="preserve">This is an initial public offering of shares of common stock of Neumora Therapeutics, Inc. </w:t>
      </w:r>
    </w:p>
    <w:p>
      <w:pPr>
        <w:pStyle w:val="TextBody"/>
        <w:bidi w:val="0"/>
        <w:spacing w:before="360" w:after="0"/>
        <w:jc w:val="left"/>
        <w:rPr>
          <w:rFonts w:ascii="Times New Roman" w:hAnsi="Times New Roman"/>
          <w:sz w:val="20"/>
        </w:rPr>
      </w:pPr>
      <w:r>
        <w:rPr>
          <w:rFonts w:ascii="Times New Roman" w:hAnsi="Times New Roman"/>
          <w:sz w:val="20"/>
        </w:rPr>
        <w:t xml:space="preserve">We are offering                  shares of our common stock. Prior to this offering, there has been no public market for our common stock. It is currently estimated that the initial public offering price per share will be between $                 and $                 per share of common stock. We intend to apply to list our common stock on the Nasdaq Global Market under the symbol NMRA. </w:t>
      </w:r>
    </w:p>
    <w:p>
      <w:pPr>
        <w:pStyle w:val="TextBody"/>
        <w:bidi w:val="0"/>
        <w:spacing w:before="360" w:after="0"/>
        <w:jc w:val="left"/>
        <w:rPr>
          <w:rFonts w:ascii="Times New Roman" w:hAnsi="Times New Roman"/>
          <w:sz w:val="20"/>
        </w:rPr>
      </w:pPr>
      <w:r>
        <w:rPr>
          <w:rFonts w:ascii="Times New Roman" w:hAnsi="Times New Roman"/>
          <w:sz w:val="20"/>
        </w:rPr>
        <w:t xml:space="preserve">We are an emerging growth company under the federal securities laws and, as such, have elected to comply with certain reduced public company reporting requirements.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pPr>
      <w:r>
        <w:rPr>
          <w:rFonts w:ascii="Times New Roman" w:hAnsi="Times New Roman"/>
          <w:b/>
          <w:sz w:val="20"/>
        </w:rPr>
        <w:t>Investing in our common stock involves a high degree of risk. See the section titled </w:t>
      </w:r>
      <w:hyperlink w:anchor="rom241143_4">
        <w:r>
          <w:rPr>
            <w:rStyle w:val="InternetLink"/>
            <w:rFonts w:ascii="Times New Roman" w:hAnsi="Times New Roman"/>
            <w:b/>
            <w:sz w:val="20"/>
          </w:rPr>
          <w:t>Risk Factors</w:t>
        </w:r>
      </w:hyperlink>
      <w:r>
        <w:rPr>
          <w:rFonts w:ascii="Times New Roman" w:hAnsi="Times New Roman"/>
          <w:b/>
          <w:sz w:val="20"/>
        </w:rPr>
        <w:t xml:space="preserve"> beginning on page 15.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55"/>
        <w:gridCol w:w="221"/>
        <w:gridCol w:w="142"/>
        <w:gridCol w:w="1150"/>
        <w:gridCol w:w="60"/>
        <w:gridCol w:w="221"/>
        <w:gridCol w:w="142"/>
        <w:gridCol w:w="1150"/>
        <w:gridCol w:w="64"/>
      </w:tblGrid>
      <w:tr>
        <w:trPr/>
        <w:tc>
          <w:tcPr>
            <w:tcW w:w="7055"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05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92" w:type="dxa"/>
            <w:gridSpan w:val="2"/>
            <w:tcBorders>
              <w:bottom w:val="single" w:sz="8" w:space="0" w:color="000000"/>
            </w:tcBorders>
            <w:tcMar>
              <w:bottom w:w="28" w:type="dxa"/>
            </w:tcMar>
            <w:vAlign w:val="bottom"/>
          </w:tcPr>
          <w:p>
            <w:pPr>
              <w:pStyle w:val="TableContents"/>
              <w:bidi w:val="0"/>
              <w:spacing w:before="0" w:after="283"/>
              <w:jc w:val="center"/>
              <w:rPr/>
            </w:pPr>
            <w:r>
              <w:rPr>
                <w:b/>
              </w:rPr>
              <w:t>Per</w:t>
            </w:r>
            <w:r>
              <w:rPr/>
              <w:br/>
            </w:r>
            <w:r>
              <w:rPr>
                <w:b/>
              </w:rPr>
              <w:t>Share</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70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public offering price</w:t>
            </w:r>
          </w:p>
        </w:tc>
        <w:tc>
          <w:tcPr>
            <w:tcW w:w="22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5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055"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commissions(1)</w:t>
            </w:r>
          </w:p>
        </w:tc>
        <w:tc>
          <w:tcPr>
            <w:tcW w:w="22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1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150"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70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22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5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See the section titled Underwriting for additional information regarding the estimated underwriting discounts and commissions and estimated offering expenses. </w:t>
            </w:r>
          </w:p>
        </w:tc>
      </w:tr>
    </w:tbl>
    <w:p>
      <w:pPr>
        <w:pStyle w:val="TextBody"/>
        <w:bidi w:val="0"/>
        <w:spacing w:before="360" w:after="0"/>
        <w:jc w:val="left"/>
        <w:rPr>
          <w:rFonts w:ascii="Times New Roman" w:hAnsi="Times New Roman"/>
          <w:sz w:val="20"/>
        </w:rPr>
      </w:pPr>
      <w:r>
        <w:rPr>
          <w:rFonts w:ascii="Times New Roman" w:hAnsi="Times New Roman"/>
          <w:sz w:val="20"/>
        </w:rPr>
        <w:t xml:space="preserve">We have granted the underwriters an option for a period of 30 days to purchase up to an additional                  shares of our common stock. </w:t>
      </w:r>
    </w:p>
    <w:p>
      <w:pPr>
        <w:pStyle w:val="TextBody"/>
        <w:bidi w:val="0"/>
        <w:spacing w:before="360" w:after="0"/>
        <w:jc w:val="left"/>
        <w:rPr>
          <w:rFonts w:ascii="Times New Roman" w:hAnsi="Times New Roman"/>
          <w:sz w:val="20"/>
        </w:rPr>
      </w:pPr>
      <w:r>
        <w:rPr>
          <w:rFonts w:ascii="Times New Roman" w:hAnsi="Times New Roman"/>
          <w:sz w:val="20"/>
        </w:rPr>
        <w:t xml:space="preserve">The underwriters expect to deliver the shares against payment in New York, New York on                 , 2022. </w:t>
      </w:r>
    </w:p>
    <w:p>
      <w:pPr>
        <w:pStyle w:val="TextBody"/>
        <w:bidi w:val="0"/>
        <w:spacing w:before="36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0"/>
        <w:gridCol w:w="102"/>
        <w:gridCol w:w="2245"/>
        <w:gridCol w:w="102"/>
        <w:gridCol w:w="1940"/>
        <w:gridCol w:w="101"/>
        <w:gridCol w:w="1020"/>
        <w:gridCol w:w="102"/>
        <w:gridCol w:w="3063"/>
      </w:tblGrid>
      <w:tr>
        <w:trPr/>
        <w:tc>
          <w:tcPr>
            <w:tcW w:w="153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b/>
              </w:rPr>
            </w:pPr>
            <w:r>
              <w:rPr>
                <w:b/>
              </w:rPr>
              <w:t>J.P. Morgan</w:t>
            </w:r>
          </w:p>
        </w:tc>
        <w:tc>
          <w:tcPr>
            <w:tcW w:w="102" w:type="dxa"/>
            <w:tcBorders/>
            <w:vAlign w:val="bottom"/>
          </w:tcPr>
          <w:p>
            <w:pPr>
              <w:pStyle w:val="TableContents"/>
              <w:bidi w:val="0"/>
              <w:spacing w:before="0" w:after="283"/>
              <w:jc w:val="left"/>
              <w:rPr/>
            </w:pPr>
            <w:r>
              <w:rPr/>
              <w:t> </w:t>
            </w:r>
          </w:p>
        </w:tc>
        <w:tc>
          <w:tcPr>
            <w:tcW w:w="2245" w:type="dxa"/>
            <w:tcBorders/>
            <w:vAlign w:val="bottom"/>
          </w:tcPr>
          <w:p>
            <w:pPr>
              <w:pStyle w:val="TableContents"/>
              <w:bidi w:val="0"/>
              <w:spacing w:before="0" w:after="283"/>
              <w:jc w:val="center"/>
              <w:rPr>
                <w:b/>
              </w:rPr>
            </w:pPr>
            <w:r>
              <w:rPr>
                <w:b/>
              </w:rPr>
              <w:t>BofA Securities</w:t>
            </w:r>
          </w:p>
        </w:tc>
        <w:tc>
          <w:tcPr>
            <w:tcW w:w="102" w:type="dxa"/>
            <w:tcBorders/>
            <w:vAlign w:val="bottom"/>
          </w:tcPr>
          <w:p>
            <w:pPr>
              <w:pStyle w:val="TableContents"/>
              <w:bidi w:val="0"/>
              <w:spacing w:before="0" w:after="283"/>
              <w:jc w:val="left"/>
              <w:rPr/>
            </w:pPr>
            <w:r>
              <w:rPr/>
              <w:t> </w:t>
            </w:r>
          </w:p>
        </w:tc>
        <w:tc>
          <w:tcPr>
            <w:tcW w:w="1940" w:type="dxa"/>
            <w:tcBorders/>
            <w:vAlign w:val="bottom"/>
          </w:tcPr>
          <w:p>
            <w:pPr>
              <w:pStyle w:val="TableContents"/>
              <w:bidi w:val="0"/>
              <w:spacing w:before="0" w:after="283"/>
              <w:jc w:val="right"/>
              <w:rPr>
                <w:b/>
              </w:rPr>
            </w:pPr>
            <w:r>
              <w:rPr>
                <w:b/>
              </w:rPr>
              <w:t>Credit Suisse</w:t>
            </w:r>
          </w:p>
        </w:tc>
        <w:tc>
          <w:tcPr>
            <w:tcW w:w="101"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center"/>
              <w:rPr>
                <w:b/>
              </w:rPr>
            </w:pPr>
            <w:r>
              <w:rPr>
                <w:b/>
              </w:rPr>
              <w:t>Stifel</w:t>
            </w:r>
          </w:p>
        </w:tc>
        <w:tc>
          <w:tcPr>
            <w:tcW w:w="102" w:type="dxa"/>
            <w:tcBorders/>
            <w:vAlign w:val="bottom"/>
          </w:tcPr>
          <w:p>
            <w:pPr>
              <w:pStyle w:val="TableContents"/>
              <w:bidi w:val="0"/>
              <w:spacing w:before="0" w:after="283"/>
              <w:jc w:val="left"/>
              <w:rPr/>
            </w:pPr>
            <w:r>
              <w:rPr/>
              <w:t> </w:t>
            </w:r>
          </w:p>
        </w:tc>
        <w:tc>
          <w:tcPr>
            <w:tcW w:w="3063" w:type="dxa"/>
            <w:tcBorders/>
            <w:vAlign w:val="bottom"/>
          </w:tcPr>
          <w:p>
            <w:pPr>
              <w:pStyle w:val="TableContents"/>
              <w:bidi w:val="0"/>
              <w:spacing w:before="0" w:after="283"/>
              <w:jc w:val="right"/>
              <w:rPr>
                <w:b/>
              </w:rPr>
            </w:pPr>
            <w:r>
              <w:rPr>
                <w:b/>
              </w:rPr>
              <w:t>Guggenheim Securities</w:t>
            </w:r>
          </w:p>
        </w:tc>
      </w:tr>
    </w:tbl>
    <w:p>
      <w:pPr>
        <w:pStyle w:val="TextBody"/>
        <w:bidi w:val="0"/>
        <w:spacing w:before="360" w:after="0"/>
        <w:jc w:val="center"/>
        <w:rPr/>
      </w:pPr>
      <w:r>
        <w:rPr/>
        <w:t>                    </w:t>
      </w:r>
      <w:r>
        <w:rPr>
          <w:rFonts w:ascii="Times New Roman" w:hAnsi="Times New Roman"/>
          <w:b/>
          <w:sz w:val="20"/>
        </w:rPr>
        <w:t xml:space="preserve">, 2022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3110230" cy="5379720"/>
                <wp:effectExtent l="0" t="0" r="0" b="0"/>
                <wp:wrapSquare wrapText="right"/>
                <wp:docPr id="2" name="Frame1"/>
                <a:graphic xmlns:a="http://schemas.openxmlformats.org/drawingml/2006/main">
                  <a:graphicData uri="http://schemas.microsoft.com/office/word/2010/wordprocessingShape">
                    <wps:wsp>
                      <wps:cNvSpPr txBox="1"/>
                      <wps:spPr>
                        <a:xfrm>
                          <a:off x="0" y="0"/>
                          <a:ext cx="3110230" cy="537972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392"/>
                              <w:gridCol w:w="197"/>
                              <w:gridCol w:w="33"/>
                              <w:gridCol w:w="247"/>
                              <w:gridCol w:w="29"/>
                            </w:tblGrid>
                            <w:tr>
                              <w:trPr/>
                              <w:tc>
                                <w:tcPr>
                                  <w:tcW w:w="4392"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r>
                            <w:tr>
                              <w:trPr/>
                              <w:tc>
                                <w:tcPr>
                                  <w:tcW w:w="439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29" w:type="dxa"/>
                                  <w:tcBorders/>
                                  <w:vAlign w:val="bottom"/>
                                </w:tcPr>
                                <w:p>
                                  <w:pPr>
                                    <w:pStyle w:val="TableContents"/>
                                    <w:bidi w:val="0"/>
                                    <w:spacing w:before="0" w:after="283"/>
                                    <w:jc w:val="left"/>
                                    <w:rPr/>
                                  </w:pPr>
                                  <w:r>
                                    <w:rPr/>
                                    <w:t> </w:t>
                                  </w:r>
                                </w:p>
                              </w:tc>
                            </w:tr>
                            <w:tr>
                              <w:trPr/>
                              <w:tc>
                                <w:tcPr>
                                  <w:tcW w:w="4392" w:type="dxa"/>
                                  <w:tcBorders/>
                                </w:tcPr>
                                <w:p>
                                  <w:pPr>
                                    <w:pStyle w:val="TableContents"/>
                                    <w:bidi w:val="0"/>
                                    <w:spacing w:before="0" w:after="0"/>
                                    <w:jc w:val="left"/>
                                    <w:rPr/>
                                  </w:pPr>
                                  <w:hyperlink w:anchor="rom241143_1">
                                    <w:r>
                                      <w:rPr>
                                        <w:rStyle w:val="InternetLink"/>
                                        <w:rFonts w:ascii="Times New Roman" w:hAnsi="Times New Roman"/>
                                        <w:sz w:val="20"/>
                                      </w:rPr>
                                      <w:t>Prospectus Summary</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w:t>
                                  </w:r>
                                </w:p>
                              </w:tc>
                              <w:tc>
                                <w:tcPr>
                                  <w:tcW w:w="29" w:type="dxa"/>
                                  <w:tcBorders/>
                                  <w:vAlign w:val="bottom"/>
                                </w:tcPr>
                                <w:p>
                                  <w:pPr>
                                    <w:pStyle w:val="TableContents"/>
                                    <w:bidi w:val="0"/>
                                    <w:spacing w:before="0" w:after="283"/>
                                    <w:jc w:val="left"/>
                                    <w:rPr/>
                                  </w:pPr>
                                  <w:r>
                                    <w:rPr/>
                                    <w:t> </w:t>
                                  </w:r>
                                </w:p>
                              </w:tc>
                            </w:tr>
                            <w:tr>
                              <w:trPr/>
                              <w:tc>
                                <w:tcPr>
                                  <w:tcW w:w="4392" w:type="dxa"/>
                                  <w:tcBorders/>
                                </w:tcPr>
                                <w:p>
                                  <w:pPr>
                                    <w:pStyle w:val="TableContents"/>
                                    <w:bidi w:val="0"/>
                                    <w:spacing w:before="0" w:after="0"/>
                                    <w:jc w:val="left"/>
                                    <w:rPr/>
                                  </w:pPr>
                                  <w:hyperlink w:anchor="rom241143_2">
                                    <w:r>
                                      <w:rPr>
                                        <w:rStyle w:val="InternetLink"/>
                                        <w:rFonts w:ascii="Times New Roman" w:hAnsi="Times New Roman"/>
                                        <w:sz w:val="20"/>
                                      </w:rPr>
                                      <w:t>The Offering</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11</w:t>
                                  </w:r>
                                </w:p>
                              </w:tc>
                              <w:tc>
                                <w:tcPr>
                                  <w:tcW w:w="29" w:type="dxa"/>
                                  <w:tcBorders/>
                                  <w:vAlign w:val="bottom"/>
                                </w:tcPr>
                                <w:p>
                                  <w:pPr>
                                    <w:pStyle w:val="TableContents"/>
                                    <w:bidi w:val="0"/>
                                    <w:spacing w:before="0" w:after="283"/>
                                    <w:jc w:val="left"/>
                                    <w:rPr/>
                                  </w:pPr>
                                  <w:r>
                                    <w:rPr/>
                                    <w:t> </w:t>
                                  </w:r>
                                </w:p>
                              </w:tc>
                            </w:tr>
                            <w:tr>
                              <w:trPr/>
                              <w:tc>
                                <w:tcPr>
                                  <w:tcW w:w="4392" w:type="dxa"/>
                                  <w:tcBorders/>
                                </w:tcPr>
                                <w:p>
                                  <w:pPr>
                                    <w:pStyle w:val="TableContents"/>
                                    <w:bidi w:val="0"/>
                                    <w:spacing w:before="0" w:after="0"/>
                                    <w:jc w:val="left"/>
                                    <w:rPr/>
                                  </w:pPr>
                                  <w:hyperlink w:anchor="rom241143_3">
                                    <w:r>
                                      <w:rPr>
                                        <w:rStyle w:val="InternetLink"/>
                                        <w:rFonts w:ascii="Times New Roman" w:hAnsi="Times New Roman"/>
                                        <w:sz w:val="20"/>
                                      </w:rPr>
                                      <w:t>Summary Consolidated Financial Data</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13</w:t>
                                  </w:r>
                                </w:p>
                              </w:tc>
                              <w:tc>
                                <w:tcPr>
                                  <w:tcW w:w="29" w:type="dxa"/>
                                  <w:tcBorders/>
                                  <w:vAlign w:val="bottom"/>
                                </w:tcPr>
                                <w:p>
                                  <w:pPr>
                                    <w:pStyle w:val="TableContents"/>
                                    <w:bidi w:val="0"/>
                                    <w:spacing w:before="0" w:after="283"/>
                                    <w:jc w:val="left"/>
                                    <w:rPr/>
                                  </w:pPr>
                                  <w:r>
                                    <w:rPr/>
                                    <w:t> </w:t>
                                  </w:r>
                                </w:p>
                              </w:tc>
                            </w:tr>
                            <w:tr>
                              <w:trPr/>
                              <w:tc>
                                <w:tcPr>
                                  <w:tcW w:w="4392" w:type="dxa"/>
                                  <w:tcBorders/>
                                </w:tcPr>
                                <w:p>
                                  <w:pPr>
                                    <w:pStyle w:val="TableContents"/>
                                    <w:bidi w:val="0"/>
                                    <w:spacing w:before="0" w:after="0"/>
                                    <w:jc w:val="left"/>
                                    <w:rPr/>
                                  </w:pPr>
                                  <w:hyperlink w:anchor="rom241143_4">
                                    <w:r>
                                      <w:rPr>
                                        <w:rStyle w:val="InternetLink"/>
                                        <w:rFonts w:ascii="Times New Roman" w:hAnsi="Times New Roman"/>
                                        <w:sz w:val="20"/>
                                      </w:rPr>
                                      <w:t>Risk Factors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15</w:t>
                                  </w:r>
                                </w:p>
                              </w:tc>
                              <w:tc>
                                <w:tcPr>
                                  <w:tcW w:w="29" w:type="dxa"/>
                                  <w:tcBorders/>
                                  <w:vAlign w:val="bottom"/>
                                </w:tcPr>
                                <w:p>
                                  <w:pPr>
                                    <w:pStyle w:val="TableContents"/>
                                    <w:bidi w:val="0"/>
                                    <w:spacing w:before="0" w:after="283"/>
                                    <w:jc w:val="left"/>
                                    <w:rPr/>
                                  </w:pPr>
                                  <w:r>
                                    <w:rPr/>
                                    <w:t> </w:t>
                                  </w:r>
                                </w:p>
                              </w:tc>
                            </w:tr>
                            <w:tr>
                              <w:trPr/>
                              <w:tc>
                                <w:tcPr>
                                  <w:tcW w:w="4392" w:type="dxa"/>
                                  <w:tcBorders/>
                                </w:tcPr>
                                <w:p>
                                  <w:pPr>
                                    <w:pStyle w:val="TableContents"/>
                                    <w:bidi w:val="0"/>
                                    <w:spacing w:before="0" w:after="0"/>
                                    <w:jc w:val="left"/>
                                    <w:rPr/>
                                  </w:pPr>
                                  <w:hyperlink w:anchor="rom241143_5">
                                    <w:r>
                                      <w:rPr>
                                        <w:rStyle w:val="InternetLink"/>
                                        <w:rFonts w:ascii="Times New Roman" w:hAnsi="Times New Roman"/>
                                        <w:sz w:val="20"/>
                                      </w:rPr>
                                      <w:t>Special Note Regarding Forward-Looking Statements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84</w:t>
                                  </w:r>
                                </w:p>
                              </w:tc>
                              <w:tc>
                                <w:tcPr>
                                  <w:tcW w:w="29" w:type="dxa"/>
                                  <w:tcBorders/>
                                  <w:vAlign w:val="bottom"/>
                                </w:tcPr>
                                <w:p>
                                  <w:pPr>
                                    <w:pStyle w:val="TableContents"/>
                                    <w:bidi w:val="0"/>
                                    <w:spacing w:before="0" w:after="283"/>
                                    <w:jc w:val="left"/>
                                    <w:rPr/>
                                  </w:pPr>
                                  <w:r>
                                    <w:rPr/>
                                    <w:t> </w:t>
                                  </w:r>
                                </w:p>
                              </w:tc>
                            </w:tr>
                            <w:tr>
                              <w:trPr/>
                              <w:tc>
                                <w:tcPr>
                                  <w:tcW w:w="4392" w:type="dxa"/>
                                  <w:tcBorders/>
                                </w:tcPr>
                                <w:p>
                                  <w:pPr>
                                    <w:pStyle w:val="TableContents"/>
                                    <w:bidi w:val="0"/>
                                    <w:spacing w:before="0" w:after="0"/>
                                    <w:jc w:val="left"/>
                                    <w:rPr/>
                                  </w:pPr>
                                  <w:hyperlink w:anchor="rom241143_6">
                                    <w:r>
                                      <w:rPr>
                                        <w:rStyle w:val="InternetLink"/>
                                        <w:rFonts w:ascii="Times New Roman" w:hAnsi="Times New Roman"/>
                                        <w:sz w:val="20"/>
                                      </w:rPr>
                                      <w:t>Industry and Market Data</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86</w:t>
                                  </w:r>
                                </w:p>
                              </w:tc>
                              <w:tc>
                                <w:tcPr>
                                  <w:tcW w:w="29" w:type="dxa"/>
                                  <w:tcBorders/>
                                  <w:vAlign w:val="bottom"/>
                                </w:tcPr>
                                <w:p>
                                  <w:pPr>
                                    <w:pStyle w:val="TableContents"/>
                                    <w:bidi w:val="0"/>
                                    <w:spacing w:before="0" w:after="283"/>
                                    <w:jc w:val="left"/>
                                    <w:rPr/>
                                  </w:pPr>
                                  <w:r>
                                    <w:rPr/>
                                    <w:t> </w:t>
                                  </w:r>
                                </w:p>
                              </w:tc>
                            </w:tr>
                            <w:tr>
                              <w:trPr/>
                              <w:tc>
                                <w:tcPr>
                                  <w:tcW w:w="4392" w:type="dxa"/>
                                  <w:tcBorders/>
                                </w:tcPr>
                                <w:p>
                                  <w:pPr>
                                    <w:pStyle w:val="TableContents"/>
                                    <w:bidi w:val="0"/>
                                    <w:spacing w:before="0" w:after="0"/>
                                    <w:jc w:val="left"/>
                                    <w:rPr/>
                                  </w:pPr>
                                  <w:hyperlink w:anchor="rom241143_7">
                                    <w:r>
                                      <w:rPr>
                                        <w:rStyle w:val="InternetLink"/>
                                        <w:rFonts w:ascii="Times New Roman" w:hAnsi="Times New Roman"/>
                                        <w:sz w:val="20"/>
                                      </w:rPr>
                                      <w:t>Use of Proceeds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87</w:t>
                                  </w:r>
                                </w:p>
                              </w:tc>
                              <w:tc>
                                <w:tcPr>
                                  <w:tcW w:w="29" w:type="dxa"/>
                                  <w:tcBorders/>
                                  <w:vAlign w:val="bottom"/>
                                </w:tcPr>
                                <w:p>
                                  <w:pPr>
                                    <w:pStyle w:val="TableContents"/>
                                    <w:bidi w:val="0"/>
                                    <w:spacing w:before="0" w:after="283"/>
                                    <w:jc w:val="left"/>
                                    <w:rPr/>
                                  </w:pPr>
                                  <w:r>
                                    <w:rPr/>
                                    <w:t> </w:t>
                                  </w:r>
                                </w:p>
                              </w:tc>
                            </w:tr>
                            <w:tr>
                              <w:trPr/>
                              <w:tc>
                                <w:tcPr>
                                  <w:tcW w:w="4392" w:type="dxa"/>
                                  <w:tcBorders/>
                                </w:tcPr>
                                <w:p>
                                  <w:pPr>
                                    <w:pStyle w:val="TableContents"/>
                                    <w:bidi w:val="0"/>
                                    <w:spacing w:before="0" w:after="0"/>
                                    <w:jc w:val="left"/>
                                    <w:rPr/>
                                  </w:pPr>
                                  <w:hyperlink w:anchor="rom241143_8">
                                    <w:r>
                                      <w:rPr>
                                        <w:rStyle w:val="InternetLink"/>
                                        <w:rFonts w:ascii="Times New Roman" w:hAnsi="Times New Roman"/>
                                        <w:sz w:val="20"/>
                                      </w:rPr>
                                      <w:t>Dividend Policy</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89</w:t>
                                  </w:r>
                                </w:p>
                              </w:tc>
                              <w:tc>
                                <w:tcPr>
                                  <w:tcW w:w="29" w:type="dxa"/>
                                  <w:tcBorders/>
                                  <w:vAlign w:val="bottom"/>
                                </w:tcPr>
                                <w:p>
                                  <w:pPr>
                                    <w:pStyle w:val="TableContents"/>
                                    <w:bidi w:val="0"/>
                                    <w:spacing w:before="0" w:after="283"/>
                                    <w:jc w:val="left"/>
                                    <w:rPr/>
                                  </w:pPr>
                                  <w:r>
                                    <w:rPr/>
                                    <w:t> </w:t>
                                  </w:r>
                                </w:p>
                              </w:tc>
                            </w:tr>
                            <w:tr>
                              <w:trPr/>
                              <w:tc>
                                <w:tcPr>
                                  <w:tcW w:w="4392" w:type="dxa"/>
                                  <w:tcBorders/>
                                </w:tcPr>
                                <w:p>
                                  <w:pPr>
                                    <w:pStyle w:val="TableContents"/>
                                    <w:bidi w:val="0"/>
                                    <w:spacing w:before="0" w:after="0"/>
                                    <w:jc w:val="left"/>
                                    <w:rPr/>
                                  </w:pPr>
                                  <w:hyperlink w:anchor="rom241143_9">
                                    <w:r>
                                      <w:rPr>
                                        <w:rStyle w:val="InternetLink"/>
                                        <w:rFonts w:ascii="Times New Roman" w:hAnsi="Times New Roman"/>
                                        <w:sz w:val="20"/>
                                      </w:rPr>
                                      <w:t>Capitalization</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90</w:t>
                                  </w:r>
                                </w:p>
                              </w:tc>
                              <w:tc>
                                <w:tcPr>
                                  <w:tcW w:w="29" w:type="dxa"/>
                                  <w:tcBorders/>
                                  <w:vAlign w:val="bottom"/>
                                </w:tcPr>
                                <w:p>
                                  <w:pPr>
                                    <w:pStyle w:val="TableContents"/>
                                    <w:bidi w:val="0"/>
                                    <w:spacing w:before="0" w:after="283"/>
                                    <w:jc w:val="left"/>
                                    <w:rPr/>
                                  </w:pPr>
                                  <w:r>
                                    <w:rPr/>
                                    <w:t> </w:t>
                                  </w:r>
                                </w:p>
                              </w:tc>
                            </w:tr>
                            <w:tr>
                              <w:trPr/>
                              <w:tc>
                                <w:tcPr>
                                  <w:tcW w:w="4392" w:type="dxa"/>
                                  <w:tcBorders/>
                                </w:tcPr>
                                <w:p>
                                  <w:pPr>
                                    <w:pStyle w:val="TableContents"/>
                                    <w:bidi w:val="0"/>
                                    <w:spacing w:before="0" w:after="0"/>
                                    <w:jc w:val="left"/>
                                    <w:rPr/>
                                  </w:pPr>
                                  <w:hyperlink w:anchor="rom241143_10">
                                    <w:r>
                                      <w:rPr>
                                        <w:rStyle w:val="InternetLink"/>
                                        <w:rFonts w:ascii="Times New Roman" w:hAnsi="Times New Roman"/>
                                        <w:sz w:val="20"/>
                                      </w:rPr>
                                      <w:t>Dilution</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92</w:t>
                                  </w:r>
                                </w:p>
                              </w:tc>
                              <w:tc>
                                <w:tcPr>
                                  <w:tcW w:w="29" w:type="dxa"/>
                                  <w:tcBorders/>
                                  <w:vAlign w:val="bottom"/>
                                </w:tcPr>
                                <w:p>
                                  <w:pPr>
                                    <w:pStyle w:val="TableContents"/>
                                    <w:bidi w:val="0"/>
                                    <w:spacing w:before="0" w:after="283"/>
                                    <w:jc w:val="left"/>
                                    <w:rPr/>
                                  </w:pPr>
                                  <w:r>
                                    <w:rPr/>
                                    <w:t> </w:t>
                                  </w:r>
                                </w:p>
                              </w:tc>
                            </w:tr>
                            <w:tr>
                              <w:trPr/>
                              <w:tc>
                                <w:tcPr>
                                  <w:tcW w:w="4392" w:type="dxa"/>
                                  <w:tcBorders/>
                                </w:tcPr>
                                <w:p>
                                  <w:pPr>
                                    <w:pStyle w:val="TableContents"/>
                                    <w:bidi w:val="0"/>
                                    <w:spacing w:before="0" w:after="0"/>
                                    <w:jc w:val="left"/>
                                    <w:rPr/>
                                  </w:pPr>
                                  <w:hyperlink w:anchor="rom241143_11">
                                    <w:r>
                                      <w:rPr>
                                        <w:rStyle w:val="InternetLink"/>
                                        <w:rFonts w:ascii="Times New Roman" w:hAnsi="Times New Roman"/>
                                        <w:sz w:val="20"/>
                                      </w:rPr>
                                      <w:t>Managements Discussion and Analysis of Financial Condition and Results of Operations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95</w:t>
                                  </w:r>
                                </w:p>
                              </w:tc>
                              <w:tc>
                                <w:tcPr>
                                  <w:tcW w:w="29" w:type="dxa"/>
                                  <w:tcBorders/>
                                  <w:vAlign w:val="bottom"/>
                                </w:tcPr>
                                <w:p>
                                  <w:pPr>
                                    <w:pStyle w:val="TableContents"/>
                                    <w:bidi w:val="0"/>
                                    <w:spacing w:before="0" w:after="283"/>
                                    <w:jc w:val="left"/>
                                    <w:rPr/>
                                  </w:pPr>
                                  <w:r>
                                    <w:rPr/>
                                    <w:t> </w:t>
                                  </w:r>
                                </w:p>
                              </w:tc>
                            </w:tr>
                            <w:tr>
                              <w:trPr/>
                              <w:tc>
                                <w:tcPr>
                                  <w:tcW w:w="4392" w:type="dxa"/>
                                  <w:tcBorders/>
                                </w:tcPr>
                                <w:p>
                                  <w:pPr>
                                    <w:pStyle w:val="TableContents"/>
                                    <w:bidi w:val="0"/>
                                    <w:spacing w:before="0" w:after="0"/>
                                    <w:jc w:val="left"/>
                                    <w:rPr/>
                                  </w:pPr>
                                  <w:hyperlink w:anchor="rom241143_12">
                                    <w:r>
                                      <w:rPr>
                                        <w:rStyle w:val="InternetLink"/>
                                        <w:rFonts w:ascii="Times New Roman" w:hAnsi="Times New Roman"/>
                                        <w:sz w:val="20"/>
                                      </w:rPr>
                                      <w:t>Business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121</w:t>
                                  </w:r>
                                </w:p>
                              </w:tc>
                              <w:tc>
                                <w:tcPr>
                                  <w:tcW w:w="29"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23.6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392"/>
                        <w:gridCol w:w="197"/>
                        <w:gridCol w:w="33"/>
                        <w:gridCol w:w="247"/>
                        <w:gridCol w:w="29"/>
                      </w:tblGrid>
                      <w:tr>
                        <w:trPr/>
                        <w:tc>
                          <w:tcPr>
                            <w:tcW w:w="4392"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r>
                      <w:tr>
                        <w:trPr/>
                        <w:tc>
                          <w:tcPr>
                            <w:tcW w:w="439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29" w:type="dxa"/>
                            <w:tcBorders/>
                            <w:vAlign w:val="bottom"/>
                          </w:tcPr>
                          <w:p>
                            <w:pPr>
                              <w:pStyle w:val="TableContents"/>
                              <w:bidi w:val="0"/>
                              <w:spacing w:before="0" w:after="283"/>
                              <w:jc w:val="left"/>
                              <w:rPr/>
                            </w:pPr>
                            <w:r>
                              <w:rPr/>
                              <w:t> </w:t>
                            </w:r>
                          </w:p>
                        </w:tc>
                      </w:tr>
                      <w:tr>
                        <w:trPr/>
                        <w:tc>
                          <w:tcPr>
                            <w:tcW w:w="4392" w:type="dxa"/>
                            <w:tcBorders/>
                          </w:tcPr>
                          <w:p>
                            <w:pPr>
                              <w:pStyle w:val="TableContents"/>
                              <w:bidi w:val="0"/>
                              <w:spacing w:before="0" w:after="0"/>
                              <w:jc w:val="left"/>
                              <w:rPr/>
                            </w:pPr>
                            <w:hyperlink w:anchor="rom241143_1">
                              <w:r>
                                <w:rPr>
                                  <w:rStyle w:val="InternetLink"/>
                                  <w:rFonts w:ascii="Times New Roman" w:hAnsi="Times New Roman"/>
                                  <w:sz w:val="20"/>
                                </w:rPr>
                                <w:t>Prospectus Summary</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w:t>
                            </w:r>
                          </w:p>
                        </w:tc>
                        <w:tc>
                          <w:tcPr>
                            <w:tcW w:w="29" w:type="dxa"/>
                            <w:tcBorders/>
                            <w:vAlign w:val="bottom"/>
                          </w:tcPr>
                          <w:p>
                            <w:pPr>
                              <w:pStyle w:val="TableContents"/>
                              <w:bidi w:val="0"/>
                              <w:spacing w:before="0" w:after="283"/>
                              <w:jc w:val="left"/>
                              <w:rPr/>
                            </w:pPr>
                            <w:r>
                              <w:rPr/>
                              <w:t> </w:t>
                            </w:r>
                          </w:p>
                        </w:tc>
                      </w:tr>
                      <w:tr>
                        <w:trPr/>
                        <w:tc>
                          <w:tcPr>
                            <w:tcW w:w="4392" w:type="dxa"/>
                            <w:tcBorders/>
                          </w:tcPr>
                          <w:p>
                            <w:pPr>
                              <w:pStyle w:val="TableContents"/>
                              <w:bidi w:val="0"/>
                              <w:spacing w:before="0" w:after="0"/>
                              <w:jc w:val="left"/>
                              <w:rPr/>
                            </w:pPr>
                            <w:hyperlink w:anchor="rom241143_2">
                              <w:r>
                                <w:rPr>
                                  <w:rStyle w:val="InternetLink"/>
                                  <w:rFonts w:ascii="Times New Roman" w:hAnsi="Times New Roman"/>
                                  <w:sz w:val="20"/>
                                </w:rPr>
                                <w:t>The Offering</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11</w:t>
                            </w:r>
                          </w:p>
                        </w:tc>
                        <w:tc>
                          <w:tcPr>
                            <w:tcW w:w="29" w:type="dxa"/>
                            <w:tcBorders/>
                            <w:vAlign w:val="bottom"/>
                          </w:tcPr>
                          <w:p>
                            <w:pPr>
                              <w:pStyle w:val="TableContents"/>
                              <w:bidi w:val="0"/>
                              <w:spacing w:before="0" w:after="283"/>
                              <w:jc w:val="left"/>
                              <w:rPr/>
                            </w:pPr>
                            <w:r>
                              <w:rPr/>
                              <w:t> </w:t>
                            </w:r>
                          </w:p>
                        </w:tc>
                      </w:tr>
                      <w:tr>
                        <w:trPr/>
                        <w:tc>
                          <w:tcPr>
                            <w:tcW w:w="4392" w:type="dxa"/>
                            <w:tcBorders/>
                          </w:tcPr>
                          <w:p>
                            <w:pPr>
                              <w:pStyle w:val="TableContents"/>
                              <w:bidi w:val="0"/>
                              <w:spacing w:before="0" w:after="0"/>
                              <w:jc w:val="left"/>
                              <w:rPr/>
                            </w:pPr>
                            <w:hyperlink w:anchor="rom241143_3">
                              <w:r>
                                <w:rPr>
                                  <w:rStyle w:val="InternetLink"/>
                                  <w:rFonts w:ascii="Times New Roman" w:hAnsi="Times New Roman"/>
                                  <w:sz w:val="20"/>
                                </w:rPr>
                                <w:t>Summary Consolidated Financial Data</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13</w:t>
                            </w:r>
                          </w:p>
                        </w:tc>
                        <w:tc>
                          <w:tcPr>
                            <w:tcW w:w="29" w:type="dxa"/>
                            <w:tcBorders/>
                            <w:vAlign w:val="bottom"/>
                          </w:tcPr>
                          <w:p>
                            <w:pPr>
                              <w:pStyle w:val="TableContents"/>
                              <w:bidi w:val="0"/>
                              <w:spacing w:before="0" w:after="283"/>
                              <w:jc w:val="left"/>
                              <w:rPr/>
                            </w:pPr>
                            <w:r>
                              <w:rPr/>
                              <w:t> </w:t>
                            </w:r>
                          </w:p>
                        </w:tc>
                      </w:tr>
                      <w:tr>
                        <w:trPr/>
                        <w:tc>
                          <w:tcPr>
                            <w:tcW w:w="4392" w:type="dxa"/>
                            <w:tcBorders/>
                          </w:tcPr>
                          <w:p>
                            <w:pPr>
                              <w:pStyle w:val="TableContents"/>
                              <w:bidi w:val="0"/>
                              <w:spacing w:before="0" w:after="0"/>
                              <w:jc w:val="left"/>
                              <w:rPr/>
                            </w:pPr>
                            <w:hyperlink w:anchor="rom241143_4">
                              <w:r>
                                <w:rPr>
                                  <w:rStyle w:val="InternetLink"/>
                                  <w:rFonts w:ascii="Times New Roman" w:hAnsi="Times New Roman"/>
                                  <w:sz w:val="20"/>
                                </w:rPr>
                                <w:t>Risk Factors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15</w:t>
                            </w:r>
                          </w:p>
                        </w:tc>
                        <w:tc>
                          <w:tcPr>
                            <w:tcW w:w="29" w:type="dxa"/>
                            <w:tcBorders/>
                            <w:vAlign w:val="bottom"/>
                          </w:tcPr>
                          <w:p>
                            <w:pPr>
                              <w:pStyle w:val="TableContents"/>
                              <w:bidi w:val="0"/>
                              <w:spacing w:before="0" w:after="283"/>
                              <w:jc w:val="left"/>
                              <w:rPr/>
                            </w:pPr>
                            <w:r>
                              <w:rPr/>
                              <w:t> </w:t>
                            </w:r>
                          </w:p>
                        </w:tc>
                      </w:tr>
                      <w:tr>
                        <w:trPr/>
                        <w:tc>
                          <w:tcPr>
                            <w:tcW w:w="4392" w:type="dxa"/>
                            <w:tcBorders/>
                          </w:tcPr>
                          <w:p>
                            <w:pPr>
                              <w:pStyle w:val="TableContents"/>
                              <w:bidi w:val="0"/>
                              <w:spacing w:before="0" w:after="0"/>
                              <w:jc w:val="left"/>
                              <w:rPr/>
                            </w:pPr>
                            <w:hyperlink w:anchor="rom241143_5">
                              <w:r>
                                <w:rPr>
                                  <w:rStyle w:val="InternetLink"/>
                                  <w:rFonts w:ascii="Times New Roman" w:hAnsi="Times New Roman"/>
                                  <w:sz w:val="20"/>
                                </w:rPr>
                                <w:t>Special Note Regarding Forward-Looking Statements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84</w:t>
                            </w:r>
                          </w:p>
                        </w:tc>
                        <w:tc>
                          <w:tcPr>
                            <w:tcW w:w="29" w:type="dxa"/>
                            <w:tcBorders/>
                            <w:vAlign w:val="bottom"/>
                          </w:tcPr>
                          <w:p>
                            <w:pPr>
                              <w:pStyle w:val="TableContents"/>
                              <w:bidi w:val="0"/>
                              <w:spacing w:before="0" w:after="283"/>
                              <w:jc w:val="left"/>
                              <w:rPr/>
                            </w:pPr>
                            <w:r>
                              <w:rPr/>
                              <w:t> </w:t>
                            </w:r>
                          </w:p>
                        </w:tc>
                      </w:tr>
                      <w:tr>
                        <w:trPr/>
                        <w:tc>
                          <w:tcPr>
                            <w:tcW w:w="4392" w:type="dxa"/>
                            <w:tcBorders/>
                          </w:tcPr>
                          <w:p>
                            <w:pPr>
                              <w:pStyle w:val="TableContents"/>
                              <w:bidi w:val="0"/>
                              <w:spacing w:before="0" w:after="0"/>
                              <w:jc w:val="left"/>
                              <w:rPr/>
                            </w:pPr>
                            <w:hyperlink w:anchor="rom241143_6">
                              <w:r>
                                <w:rPr>
                                  <w:rStyle w:val="InternetLink"/>
                                  <w:rFonts w:ascii="Times New Roman" w:hAnsi="Times New Roman"/>
                                  <w:sz w:val="20"/>
                                </w:rPr>
                                <w:t>Industry and Market Data</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86</w:t>
                            </w:r>
                          </w:p>
                        </w:tc>
                        <w:tc>
                          <w:tcPr>
                            <w:tcW w:w="29" w:type="dxa"/>
                            <w:tcBorders/>
                            <w:vAlign w:val="bottom"/>
                          </w:tcPr>
                          <w:p>
                            <w:pPr>
                              <w:pStyle w:val="TableContents"/>
                              <w:bidi w:val="0"/>
                              <w:spacing w:before="0" w:after="283"/>
                              <w:jc w:val="left"/>
                              <w:rPr/>
                            </w:pPr>
                            <w:r>
                              <w:rPr/>
                              <w:t> </w:t>
                            </w:r>
                          </w:p>
                        </w:tc>
                      </w:tr>
                      <w:tr>
                        <w:trPr/>
                        <w:tc>
                          <w:tcPr>
                            <w:tcW w:w="4392" w:type="dxa"/>
                            <w:tcBorders/>
                          </w:tcPr>
                          <w:p>
                            <w:pPr>
                              <w:pStyle w:val="TableContents"/>
                              <w:bidi w:val="0"/>
                              <w:spacing w:before="0" w:after="0"/>
                              <w:jc w:val="left"/>
                              <w:rPr/>
                            </w:pPr>
                            <w:hyperlink w:anchor="rom241143_7">
                              <w:r>
                                <w:rPr>
                                  <w:rStyle w:val="InternetLink"/>
                                  <w:rFonts w:ascii="Times New Roman" w:hAnsi="Times New Roman"/>
                                  <w:sz w:val="20"/>
                                </w:rPr>
                                <w:t>Use of Proceeds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87</w:t>
                            </w:r>
                          </w:p>
                        </w:tc>
                        <w:tc>
                          <w:tcPr>
                            <w:tcW w:w="29" w:type="dxa"/>
                            <w:tcBorders/>
                            <w:vAlign w:val="bottom"/>
                          </w:tcPr>
                          <w:p>
                            <w:pPr>
                              <w:pStyle w:val="TableContents"/>
                              <w:bidi w:val="0"/>
                              <w:spacing w:before="0" w:after="283"/>
                              <w:jc w:val="left"/>
                              <w:rPr/>
                            </w:pPr>
                            <w:r>
                              <w:rPr/>
                              <w:t> </w:t>
                            </w:r>
                          </w:p>
                        </w:tc>
                      </w:tr>
                      <w:tr>
                        <w:trPr/>
                        <w:tc>
                          <w:tcPr>
                            <w:tcW w:w="4392" w:type="dxa"/>
                            <w:tcBorders/>
                          </w:tcPr>
                          <w:p>
                            <w:pPr>
                              <w:pStyle w:val="TableContents"/>
                              <w:bidi w:val="0"/>
                              <w:spacing w:before="0" w:after="0"/>
                              <w:jc w:val="left"/>
                              <w:rPr/>
                            </w:pPr>
                            <w:hyperlink w:anchor="rom241143_8">
                              <w:r>
                                <w:rPr>
                                  <w:rStyle w:val="InternetLink"/>
                                  <w:rFonts w:ascii="Times New Roman" w:hAnsi="Times New Roman"/>
                                  <w:sz w:val="20"/>
                                </w:rPr>
                                <w:t>Dividend Policy</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89</w:t>
                            </w:r>
                          </w:p>
                        </w:tc>
                        <w:tc>
                          <w:tcPr>
                            <w:tcW w:w="29" w:type="dxa"/>
                            <w:tcBorders/>
                            <w:vAlign w:val="bottom"/>
                          </w:tcPr>
                          <w:p>
                            <w:pPr>
                              <w:pStyle w:val="TableContents"/>
                              <w:bidi w:val="0"/>
                              <w:spacing w:before="0" w:after="283"/>
                              <w:jc w:val="left"/>
                              <w:rPr/>
                            </w:pPr>
                            <w:r>
                              <w:rPr/>
                              <w:t> </w:t>
                            </w:r>
                          </w:p>
                        </w:tc>
                      </w:tr>
                      <w:tr>
                        <w:trPr/>
                        <w:tc>
                          <w:tcPr>
                            <w:tcW w:w="4392" w:type="dxa"/>
                            <w:tcBorders/>
                          </w:tcPr>
                          <w:p>
                            <w:pPr>
                              <w:pStyle w:val="TableContents"/>
                              <w:bidi w:val="0"/>
                              <w:spacing w:before="0" w:after="0"/>
                              <w:jc w:val="left"/>
                              <w:rPr/>
                            </w:pPr>
                            <w:hyperlink w:anchor="rom241143_9">
                              <w:r>
                                <w:rPr>
                                  <w:rStyle w:val="InternetLink"/>
                                  <w:rFonts w:ascii="Times New Roman" w:hAnsi="Times New Roman"/>
                                  <w:sz w:val="20"/>
                                </w:rPr>
                                <w:t>Capitalization</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90</w:t>
                            </w:r>
                          </w:p>
                        </w:tc>
                        <w:tc>
                          <w:tcPr>
                            <w:tcW w:w="29" w:type="dxa"/>
                            <w:tcBorders/>
                            <w:vAlign w:val="bottom"/>
                          </w:tcPr>
                          <w:p>
                            <w:pPr>
                              <w:pStyle w:val="TableContents"/>
                              <w:bidi w:val="0"/>
                              <w:spacing w:before="0" w:after="283"/>
                              <w:jc w:val="left"/>
                              <w:rPr/>
                            </w:pPr>
                            <w:r>
                              <w:rPr/>
                              <w:t> </w:t>
                            </w:r>
                          </w:p>
                        </w:tc>
                      </w:tr>
                      <w:tr>
                        <w:trPr/>
                        <w:tc>
                          <w:tcPr>
                            <w:tcW w:w="4392" w:type="dxa"/>
                            <w:tcBorders/>
                          </w:tcPr>
                          <w:p>
                            <w:pPr>
                              <w:pStyle w:val="TableContents"/>
                              <w:bidi w:val="0"/>
                              <w:spacing w:before="0" w:after="0"/>
                              <w:jc w:val="left"/>
                              <w:rPr/>
                            </w:pPr>
                            <w:hyperlink w:anchor="rom241143_10">
                              <w:r>
                                <w:rPr>
                                  <w:rStyle w:val="InternetLink"/>
                                  <w:rFonts w:ascii="Times New Roman" w:hAnsi="Times New Roman"/>
                                  <w:sz w:val="20"/>
                                </w:rPr>
                                <w:t>Dilution</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92</w:t>
                            </w:r>
                          </w:p>
                        </w:tc>
                        <w:tc>
                          <w:tcPr>
                            <w:tcW w:w="29" w:type="dxa"/>
                            <w:tcBorders/>
                            <w:vAlign w:val="bottom"/>
                          </w:tcPr>
                          <w:p>
                            <w:pPr>
                              <w:pStyle w:val="TableContents"/>
                              <w:bidi w:val="0"/>
                              <w:spacing w:before="0" w:after="283"/>
                              <w:jc w:val="left"/>
                              <w:rPr/>
                            </w:pPr>
                            <w:r>
                              <w:rPr/>
                              <w:t> </w:t>
                            </w:r>
                          </w:p>
                        </w:tc>
                      </w:tr>
                      <w:tr>
                        <w:trPr/>
                        <w:tc>
                          <w:tcPr>
                            <w:tcW w:w="4392" w:type="dxa"/>
                            <w:tcBorders/>
                          </w:tcPr>
                          <w:p>
                            <w:pPr>
                              <w:pStyle w:val="TableContents"/>
                              <w:bidi w:val="0"/>
                              <w:spacing w:before="0" w:after="0"/>
                              <w:jc w:val="left"/>
                              <w:rPr/>
                            </w:pPr>
                            <w:hyperlink w:anchor="rom241143_11">
                              <w:r>
                                <w:rPr>
                                  <w:rStyle w:val="InternetLink"/>
                                  <w:rFonts w:ascii="Times New Roman" w:hAnsi="Times New Roman"/>
                                  <w:sz w:val="20"/>
                                </w:rPr>
                                <w:t>Managements Discussion and Analysis of Financial Condition and Results of Operations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95</w:t>
                            </w:r>
                          </w:p>
                        </w:tc>
                        <w:tc>
                          <w:tcPr>
                            <w:tcW w:w="29" w:type="dxa"/>
                            <w:tcBorders/>
                            <w:vAlign w:val="bottom"/>
                          </w:tcPr>
                          <w:p>
                            <w:pPr>
                              <w:pStyle w:val="TableContents"/>
                              <w:bidi w:val="0"/>
                              <w:spacing w:before="0" w:after="283"/>
                              <w:jc w:val="left"/>
                              <w:rPr/>
                            </w:pPr>
                            <w:r>
                              <w:rPr/>
                              <w:t> </w:t>
                            </w:r>
                          </w:p>
                        </w:tc>
                      </w:tr>
                      <w:tr>
                        <w:trPr/>
                        <w:tc>
                          <w:tcPr>
                            <w:tcW w:w="4392" w:type="dxa"/>
                            <w:tcBorders/>
                          </w:tcPr>
                          <w:p>
                            <w:pPr>
                              <w:pStyle w:val="TableContents"/>
                              <w:bidi w:val="0"/>
                              <w:spacing w:before="0" w:after="0"/>
                              <w:jc w:val="left"/>
                              <w:rPr/>
                            </w:pPr>
                            <w:hyperlink w:anchor="rom241143_12">
                              <w:r>
                                <w:rPr>
                                  <w:rStyle w:val="InternetLink"/>
                                  <w:rFonts w:ascii="Times New Roman" w:hAnsi="Times New Roman"/>
                                  <w:sz w:val="20"/>
                                </w:rPr>
                                <w:t>Business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121</w:t>
                            </w:r>
                          </w:p>
                        </w:tc>
                        <w:tc>
                          <w:tcPr>
                            <w:tcW w:w="29"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3175000" cy="7837805"/>
                <wp:effectExtent l="0" t="0" r="0" b="0"/>
                <wp:wrapSquare wrapText="right"/>
                <wp:docPr id="3" name="Frame2"/>
                <a:graphic xmlns:a="http://schemas.openxmlformats.org/drawingml/2006/main">
                  <a:graphicData uri="http://schemas.microsoft.com/office/word/2010/wordprocessingShape">
                    <wps:wsp>
                      <wps:cNvSpPr txBox="1"/>
                      <wps:spPr>
                        <a:xfrm>
                          <a:off x="0" y="0"/>
                          <a:ext cx="3175000" cy="783780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483"/>
                              <w:gridCol w:w="201"/>
                              <w:gridCol w:w="34"/>
                              <w:gridCol w:w="252"/>
                              <w:gridCol w:w="30"/>
                            </w:tblGrid>
                            <w:tr>
                              <w:trPr/>
                              <w:tc>
                                <w:tcPr>
                                  <w:tcW w:w="4483"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48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13">
                                    <w:r>
                                      <w:rPr>
                                        <w:rStyle w:val="InternetLink"/>
                                        <w:rFonts w:ascii="Times New Roman" w:hAnsi="Times New Roman"/>
                                        <w:sz w:val="20"/>
                                      </w:rPr>
                                      <w:t>Management</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166</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14">
                                    <w:r>
                                      <w:rPr>
                                        <w:rStyle w:val="InternetLink"/>
                                        <w:rFonts w:ascii="Times New Roman" w:hAnsi="Times New Roman"/>
                                        <w:sz w:val="20"/>
                                      </w:rPr>
                                      <w:t>Director Compensation</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175</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15">
                                    <w:r>
                                      <w:rPr>
                                        <w:rStyle w:val="InternetLink"/>
                                        <w:rFonts w:ascii="Times New Roman" w:hAnsi="Times New Roman"/>
                                        <w:sz w:val="20"/>
                                      </w:rPr>
                                      <w:t>Executive Compensation</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176</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16">
                                    <w:r>
                                      <w:rPr>
                                        <w:rStyle w:val="InternetLink"/>
                                        <w:rFonts w:ascii="Times New Roman" w:hAnsi="Times New Roman"/>
                                        <w:sz w:val="20"/>
                                      </w:rPr>
                                      <w:t>Certain Relationships and Related-Party Transactions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189</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17">
                                    <w:r>
                                      <w:rPr>
                                        <w:rStyle w:val="InternetLink"/>
                                        <w:rFonts w:ascii="Times New Roman" w:hAnsi="Times New Roman"/>
                                        <w:sz w:val="20"/>
                                      </w:rPr>
                                      <w:t>Principal Stockholders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193</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18">
                                    <w:r>
                                      <w:rPr>
                                        <w:rStyle w:val="InternetLink"/>
                                        <w:rFonts w:ascii="Times New Roman" w:hAnsi="Times New Roman"/>
                                        <w:sz w:val="20"/>
                                      </w:rPr>
                                      <w:t>Description of Capital Stock</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196</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19">
                                    <w:r>
                                      <w:rPr>
                                        <w:rStyle w:val="InternetLink"/>
                                        <w:rFonts w:ascii="Times New Roman" w:hAnsi="Times New Roman"/>
                                        <w:sz w:val="20"/>
                                      </w:rPr>
                                      <w:t>Material U.S. Federal Income Tax Consequences to Non-U.S. Holders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203</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20">
                                    <w:r>
                                      <w:rPr>
                                        <w:rStyle w:val="InternetLink"/>
                                        <w:rFonts w:ascii="Times New Roman" w:hAnsi="Times New Roman"/>
                                        <w:sz w:val="20"/>
                                      </w:rPr>
                                      <w:t>Shares Eligible for Future Sale</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207</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21">
                                    <w:r>
                                      <w:rPr>
                                        <w:rStyle w:val="InternetLink"/>
                                        <w:rFonts w:ascii="Times New Roman" w:hAnsi="Times New Roman"/>
                                        <w:sz w:val="20"/>
                                      </w:rPr>
                                      <w:t>Underwriting</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209</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22">
                                    <w:r>
                                      <w:rPr>
                                        <w:rStyle w:val="InternetLink"/>
                                        <w:rFonts w:ascii="Times New Roman" w:hAnsi="Times New Roman"/>
                                        <w:sz w:val="20"/>
                                      </w:rPr>
                                      <w:t>Legal Matters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220</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23">
                                    <w:r>
                                      <w:rPr>
                                        <w:rStyle w:val="InternetLink"/>
                                        <w:rFonts w:ascii="Times New Roman" w:hAnsi="Times New Roman"/>
                                        <w:sz w:val="20"/>
                                      </w:rPr>
                                      <w:t>Experts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220</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24">
                                    <w:r>
                                      <w:rPr>
                                        <w:rStyle w:val="InternetLink"/>
                                        <w:rFonts w:ascii="Times New Roman" w:hAnsi="Times New Roman"/>
                                        <w:sz w:val="20"/>
                                      </w:rPr>
                                      <w:t>Where You Can Find More Information</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220</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25">
                                    <w:r>
                                      <w:rPr>
                                        <w:rStyle w:val="InternetLink"/>
                                        <w:rFonts w:ascii="Times New Roman" w:hAnsi="Times New Roman"/>
                                        <w:sz w:val="20"/>
                                      </w:rPr>
                                      <w:t>Index to Consolidated Financial Statements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F-1</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17.1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483"/>
                        <w:gridCol w:w="201"/>
                        <w:gridCol w:w="34"/>
                        <w:gridCol w:w="252"/>
                        <w:gridCol w:w="30"/>
                      </w:tblGrid>
                      <w:tr>
                        <w:trPr/>
                        <w:tc>
                          <w:tcPr>
                            <w:tcW w:w="4483"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48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13">
                              <w:r>
                                <w:rPr>
                                  <w:rStyle w:val="InternetLink"/>
                                  <w:rFonts w:ascii="Times New Roman" w:hAnsi="Times New Roman"/>
                                  <w:sz w:val="20"/>
                                </w:rPr>
                                <w:t>Management</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166</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14">
                              <w:r>
                                <w:rPr>
                                  <w:rStyle w:val="InternetLink"/>
                                  <w:rFonts w:ascii="Times New Roman" w:hAnsi="Times New Roman"/>
                                  <w:sz w:val="20"/>
                                </w:rPr>
                                <w:t>Director Compensation</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175</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15">
                              <w:r>
                                <w:rPr>
                                  <w:rStyle w:val="InternetLink"/>
                                  <w:rFonts w:ascii="Times New Roman" w:hAnsi="Times New Roman"/>
                                  <w:sz w:val="20"/>
                                </w:rPr>
                                <w:t>Executive Compensation</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176</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16">
                              <w:r>
                                <w:rPr>
                                  <w:rStyle w:val="InternetLink"/>
                                  <w:rFonts w:ascii="Times New Roman" w:hAnsi="Times New Roman"/>
                                  <w:sz w:val="20"/>
                                </w:rPr>
                                <w:t>Certain Relationships and Related-Party Transactions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189</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17">
                              <w:r>
                                <w:rPr>
                                  <w:rStyle w:val="InternetLink"/>
                                  <w:rFonts w:ascii="Times New Roman" w:hAnsi="Times New Roman"/>
                                  <w:sz w:val="20"/>
                                </w:rPr>
                                <w:t>Principal Stockholders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193</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18">
                              <w:r>
                                <w:rPr>
                                  <w:rStyle w:val="InternetLink"/>
                                  <w:rFonts w:ascii="Times New Roman" w:hAnsi="Times New Roman"/>
                                  <w:sz w:val="20"/>
                                </w:rPr>
                                <w:t>Description of Capital Stock</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196</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19">
                              <w:r>
                                <w:rPr>
                                  <w:rStyle w:val="InternetLink"/>
                                  <w:rFonts w:ascii="Times New Roman" w:hAnsi="Times New Roman"/>
                                  <w:sz w:val="20"/>
                                </w:rPr>
                                <w:t>Material U.S. Federal Income Tax Consequences to Non-U.S. Holders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203</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20">
                              <w:r>
                                <w:rPr>
                                  <w:rStyle w:val="InternetLink"/>
                                  <w:rFonts w:ascii="Times New Roman" w:hAnsi="Times New Roman"/>
                                  <w:sz w:val="20"/>
                                </w:rPr>
                                <w:t>Shares Eligible for Future Sale</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207</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21">
                              <w:r>
                                <w:rPr>
                                  <w:rStyle w:val="InternetLink"/>
                                  <w:rFonts w:ascii="Times New Roman" w:hAnsi="Times New Roman"/>
                                  <w:sz w:val="20"/>
                                </w:rPr>
                                <w:t>Underwriting</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209</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22">
                              <w:r>
                                <w:rPr>
                                  <w:rStyle w:val="InternetLink"/>
                                  <w:rFonts w:ascii="Times New Roman" w:hAnsi="Times New Roman"/>
                                  <w:sz w:val="20"/>
                                </w:rPr>
                                <w:t>Legal Matters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220</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23">
                              <w:r>
                                <w:rPr>
                                  <w:rStyle w:val="InternetLink"/>
                                  <w:rFonts w:ascii="Times New Roman" w:hAnsi="Times New Roman"/>
                                  <w:sz w:val="20"/>
                                </w:rPr>
                                <w:t>Experts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220</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24">
                              <w:r>
                                <w:rPr>
                                  <w:rStyle w:val="InternetLink"/>
                                  <w:rFonts w:ascii="Times New Roman" w:hAnsi="Times New Roman"/>
                                  <w:sz w:val="20"/>
                                </w:rPr>
                                <w:t>Where You Can Find More Information</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220</w:t>
                            </w:r>
                          </w:p>
                        </w:tc>
                        <w:tc>
                          <w:tcPr>
                            <w:tcW w:w="30" w:type="dxa"/>
                            <w:tcBorders/>
                            <w:vAlign w:val="bottom"/>
                          </w:tcPr>
                          <w:p>
                            <w:pPr>
                              <w:pStyle w:val="TableContents"/>
                              <w:bidi w:val="0"/>
                              <w:spacing w:before="0" w:after="283"/>
                              <w:jc w:val="left"/>
                              <w:rPr/>
                            </w:pPr>
                            <w:r>
                              <w:rPr/>
                              <w:t> </w:t>
                            </w:r>
                          </w:p>
                        </w:tc>
                      </w:tr>
                      <w:tr>
                        <w:trPr/>
                        <w:tc>
                          <w:tcPr>
                            <w:tcW w:w="4483" w:type="dxa"/>
                            <w:tcBorders/>
                          </w:tcPr>
                          <w:p>
                            <w:pPr>
                              <w:pStyle w:val="TableContents"/>
                              <w:bidi w:val="0"/>
                              <w:spacing w:before="0" w:after="0"/>
                              <w:jc w:val="left"/>
                              <w:rPr/>
                            </w:pPr>
                            <w:hyperlink w:anchor="rom241143_25">
                              <w:r>
                                <w:rPr>
                                  <w:rStyle w:val="InternetLink"/>
                                  <w:rFonts w:ascii="Times New Roman" w:hAnsi="Times New Roman"/>
                                  <w:sz w:val="20"/>
                                </w:rPr>
                                <w:t>Index to Consolidated Financial Statements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F-1</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the underwriters have not, authorized anyone to provide you any information or to make any representations other than those contained in this prospectus or in any free writing prospectus prepared by or on behalf of us or to which we have referred you. Neither we nor the underwriters take responsibility for, or provide any assurance as to the reliability of, any other information others may give you. This prospectus is an offer to sell only the shares offered hereby, and only under circumstances and in jurisdictions where it is lawful to do so. We are not, and the underwriters are not, making an offer to sell these securities in any jurisdiction where the offer or sale is not permitted. The information contained in this prospectus is accurate only as of the date of this prospectus, regardless of the time of delivery of this prospectus or any sale of the shares of our common stock.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the United States: We have not, and the underwriters have not, done anything that would permit this offering or the possession or distribution of this prospectus or any free writing prospectus in connection with this offering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 See the section titled Underwriting.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this prospectus, Neumora Therapeutics, Neumora, the company, we, us and our refer to Neumora Therapeutics, Inc. and, where appropriate,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NEUMORA, the Neumora logos and other trade names, trademarks or service marks of Neumora appearing in this prospectus are the property of Neumora. Other trade names, trademarks or service marks appearing in this prospectus are the property of their respective holders. Solely for convenience, trade names, trademarks and service marks referred to in this prospectus appear without the ®,  and SM symbols, but those references are not intended to indicate, in any way, that we will not assert, to the fullest extent under applicable law, our rights or that the applicable owner will not assert its rights, to these trade names, trademarks and service marks. </w:t>
      </w:r>
    </w:p>
    <w:p>
      <w:pPr>
        <w:pStyle w:val="TextBody"/>
        <w:bidi w:val="0"/>
        <w:spacing w:before="240" w:after="0"/>
        <w:jc w:val="left"/>
        <w:rPr>
          <w:rFonts w:ascii="Times New Roman" w:hAnsi="Times New Roman"/>
          <w:b/>
          <w:sz w:val="20"/>
        </w:rPr>
      </w:pPr>
      <w:r>
        <w:rPr>
          <w:rFonts w:ascii="Times New Roman" w:hAnsi="Times New Roman"/>
          <w:b/>
          <w:sz w:val="20"/>
        </w:rPr>
        <w:t xml:space="preserve">Through and including             , 2022 (the 25th day after the date of this prospectus),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rom241143_1"/>
      <w:bookmarkEnd w:id="3"/>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in this prospectus. This summary may not contain all of the information that you should consider before deciding to invest in our common stock. You should read this entire prospectus carefully, including the sections titled Risk Factors, Managements Discussion and Analysis of Financial Condition and Results of Operations and Business, and our audited consolidated financial statements, unaudited condensed consolidated financial statements and related notes included elsewhere in this prospectus before making an investment decision. Some of the statements in this prospectus are forward-looking statements. See the section titled Special Note Regarding Forward-Looking Statements.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Mission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in the midst of a global brain disease crisis that is having a profound, enduring impact on patients, their families and society. Neuropsychiatric disorders and neurodegenerative diseases affect approximately 1.5 billion individuals globally, are typically chronic and progressive in nature and are associated with significant disability and a reduced quality of life. Over $110 billion is estimated to have been spent on neuroscience research and development since 2019 in the United States alone, representing approximately 33% of all disease-specific spending. However, only approximately 12% of all new therapies approved during that time period have been for the treatment of brain diseases. We believe the relative lack of progress and innovation within the broader central nervous system (CNS) landscape is due in large part to the complex, heterogeneous nature of such diseases, which makes defining patient populations and matching them with appropriate therapies challenging. As a result, patients, families and communities affected by brain diseases have been left behind.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time has come to take a fundamentally different approach to the way treatments for brain diseases are developed. We founded Neumora to pioneer a new era of precision neuroscience medicines by using patient enrichment strategies to help potentially improve clinical development success rates. Our approach integrates advanced data science capabilities and translational neuroscience tools and methods, which together we refer to as our Precision Toolbox. We believe this Precision Toolbox provides modular flexibility for us to tailor its application across development programs and disease indications. Our proprietary approach leverages recent advances in data science and translational neuroscience to cut through the heterogeneity inherent in brain disease. By approaching patient enrichment and clinical development strategies through this lens, we aim to match the right patient populations to the right targeted therapeutics, thereby driving innovation and the potential for clinical development success in this field and, ultimately, providing better therapies to patients. Our goal is to build a global, fully integrated precision neuroscience company that is purpose-built at scale to achieve our ambitious mission of conquering one of the greatest medical challenges of our generation.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pioneering a precision medicine approach for brain diseases through the integration of data science and translational neuroscience. High failure rates have plagued neuroscience drug development for decades, contributing to a lack of targeted, effective medicines for patients. We are focused on redefining neuroscience research and development by leveraging a proprietary approach to patient enrichment that is enabled by artificial intelligence and machine learning (AI/ML) technology, which we integrate with advanced translational neuroscience tools and methods to develop novel precision medicines. We believe our precision neuroscience approach will help us to cut through patient heterogeneity to potentially increase clinical development success rates and improve patient outcomes. Through our internal discovery efforts and business development activities, we have rapidly scaled a pipeline currently consisting of seven clinical and preclinical precision neuroscience programs targeting a broad range of underserved neuropsychiatric disorders and neurodegenerative diseases. Our most advanced product candidate, NMRA-140, is a kappa opioid receptor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(KOR) antagonist currently in Phase 2a clinical development for the treatment of major depressive disorder (MDD). We anticipate topline results from the current trial will be available in                .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team unites some of the worlds leading data scientists, neuroscience drug developers and company builders to usher in a new era of precision neuroscience and to accelerate development of novel therapies for patients and families affected by brain diseases. We are complemented by world-class scientific and technical advisors and by an experienced board of directors and syndicate of investors. We have raised over $500.0 million of capital from the issuance of common stock, convertible preferred stock and convertible promissory notes as of March 31, 2022 to pursue this mission at scale.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Patients with common neuropsychiatric disorders and neurodegenerative diseases, such as depression, schizophrenia, Parkinsons disease and Alzheimers disease, can present with diverse symptoms and have multiple underlying disease drivers. However, despite the inherent heterogeneity of these disorders, patients are diagnosed based on broad disease classifications defined by subjective clinical symptoms rather than by specific underlying genetic and biological mechanisms. As a result, clinical development in neuroscience to date has taken a one-size-fits-all approach, which precludes enrichment for homogeneous cohorts of patients and can result in a lower rate of clinical development success.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Recent advancements in oncology provide a relevant analog for the impact of applying data-driven, precision medicine approaches to improve patient outcomes. For decades, cancers were classified based primarily on the affected organs, as researchers did not have the tools or technologies to develop effective treatments targeting the biological drivers of these malignancies. However, through the clinical implementation of biopsies, high-throughput sequencing and the advancement in data science tools, the oncology field developed the ability to define cancers more precisely based on the rich insights generated from these data. Our goal is to extend a similar data-driven, precision approach for the treatment of brain diseases that leverages recent advancements in data science techniques and translational neuroscience capabilities to gain insight into the complex drivers of brain disease.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Precision Neuroscience Approach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taking a data-driven precision neuroscience approach to match the right patients to the right targeted therapeutics. Our approach is powered by our Precision Toolbox comprised of translational tools, unimodal features and multimodal methods that we leverage to develop strategies to identify enriched patient populations, which we refer to as Precision Phenotypes. Precision Phenotypes are defined by common characteristics, which can include biological and/or clinical measures, and serve as guides to match the right patients to the right targeted therapeutic. To our knowledge, we are the only company applying this multimodal approach, which we believe has the potential to redefine neuroscience research and development, with the promise of potentially improving clinical development success rates and creating more therapeutics to address the global brain crisis.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precision neuroscience approach utilizes three techniques to match the right patients to the right targeted therapeutics and enable patient enrichment: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Drug Signature Generation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Through a process we refer to as drug signature generation, we characterize the therapeutic profiles of drug candidates in order to better inform clinical development strategies within each development program. To generate a drug signature, we use both translational tools and unimodal features from our Precision Toolbox to predict the therapeutic effect a drug candidate will have on biological and behavioral measures. We believe the characterization of these therapeutic profiles will support the identification of Precision Phenotypes to inform inclusion/exclusion criteria and clinical trial design and achieve targeted patient enrichment.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Cluster Formation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patient cluster formation approach is focused on integrating longitudinal, multimodal patient data to form groups with shared features and characteristics, which we refer to as patient clusters. Our data science platform integrates libraries of patient datasets using proprietary AI/ML tools to create compact, multimodal representations of multiple features of a disease, such as genetics, phenotypes and behavior, that highlight the most important factors of differentiation of each patient. We refer to these multimodal representations as Data Biopsy Signatures. We then use specific algorithms to group the Data Biopsy Signatures from each patient to create groups of homogeneous patient clusters which can inform Precision Phenotype identification and be used as a basis for enrichment. To date, we have on-boarded a library of multimodal datasets encompassing billions of datapoints across multiple modalities.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Alignment of Patient Clusters with Drug Signature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alignment approach is focused on matching features of a drug signature with the optimal set of patient clusters to form a Precision Phenotype as a basis for predictive enrichment. The process of aligning a compound-specific drug signature with patient clusters leverages all aspects of our Precision Toolbox.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approach has been created through the tight integration of our data science and neuroscience expertise and our proprietary platform is protected by a broad and multi-faceted intellectual property portfolio. We believe our dynamic approach and modular flexibility will allow us to tailor our data science and translational strategies and tools on a program-by-program basis to guide the development of novel precision therapeutics. </w:t>
      </w:r>
    </w:p>
    <w:p>
      <w:pPr>
        <w:pStyle w:val="TextBody"/>
        <w:bidi w:val="0"/>
        <w:spacing w:before="0" w:after="0"/>
        <w:jc w:val="center"/>
        <w:rPr>
          <w:bdr w:val="single" w:sz="8" w:space="1" w:color="000000"/>
        </w:rPr>
      </w:pPr>
      <w:r>
        <w:rPr>
          <w:bdr w:val="single" w:sz="8" w:space="1" w:color="000000"/>
        </w:rPr>
        <w:drawing>
          <wp:inline distT="0" distB="0" distL="0" distR="0">
            <wp:extent cx="493395" cy="3492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493395" cy="349250"/>
                    </a:xfrm>
                    <a:prstGeom prst="rect">
                      <a:avLst/>
                    </a:prstGeom>
                  </pic:spPr>
                </pic:pic>
              </a:graphicData>
            </a:graphic>
          </wp:inline>
        </w:drawing>
      </w:r>
      <w:r>
        <w:rPr>
          <w:bdr w:val="single" w:sz="8" w:space="1" w:color="000000"/>
        </w:rPr>
        <w:t xml:space="preserve"> </w:t>
      </w:r>
    </w:p>
    <w:p>
      <w:pPr>
        <w:pStyle w:val="TextBody"/>
        <w:bidi w:val="0"/>
        <w:spacing w:before="40" w:after="0"/>
        <w:jc w:val="center"/>
        <w:rPr>
          <w:rFonts w:ascii="Times New Roman" w:hAnsi="Times New Roman"/>
          <w:i/>
          <w:sz w:val="20"/>
          <w:bdr w:val="single" w:sz="8" w:space="1" w:color="000000"/>
        </w:rPr>
      </w:pPr>
      <w:r>
        <w:rPr>
          <w:rFonts w:ascii="Times New Roman" w:hAnsi="Times New Roman"/>
          <w:i/>
          <w:sz w:val="20"/>
          <w:bdr w:val="single" w:sz="8" w:space="1" w:color="000000"/>
        </w:rPr>
        <w:t xml:space="preserve">Figure 1: Neumoras precision neuroscience approaches to enable patient enrichment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bdr w:val="single" w:sz="8" w:space="1" w:color="000000"/>
        </w:rPr>
      </w:pPr>
      <w:r>
        <w:rPr>
          <w:bdr w:val="single" w:sz="8" w:space="1" w:color="000000"/>
        </w:rPr>
        <w:drawing>
          <wp:inline distT="0" distB="0" distL="0" distR="0">
            <wp:extent cx="565150" cy="33147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565150" cy="331470"/>
                    </a:xfrm>
                    <a:prstGeom prst="rect">
                      <a:avLst/>
                    </a:prstGeom>
                  </pic:spPr>
                </pic:pic>
              </a:graphicData>
            </a:graphic>
          </wp:inline>
        </w:drawing>
      </w:r>
      <w:r>
        <w:rPr>
          <w:bdr w:val="single" w:sz="8" w:space="1" w:color="000000"/>
        </w:rPr>
        <w:t xml:space="preserve"> </w:t>
      </w:r>
    </w:p>
    <w:p>
      <w:pPr>
        <w:pStyle w:val="TextBody"/>
        <w:bidi w:val="0"/>
        <w:spacing w:before="40" w:after="0"/>
        <w:jc w:val="center"/>
        <w:rPr>
          <w:rFonts w:ascii="Times New Roman" w:hAnsi="Times New Roman"/>
          <w:i/>
          <w:sz w:val="20"/>
          <w:bdr w:val="single" w:sz="8" w:space="1" w:color="000000"/>
        </w:rPr>
      </w:pPr>
      <w:r>
        <w:rPr>
          <w:rFonts w:ascii="Times New Roman" w:hAnsi="Times New Roman"/>
          <w:i/>
          <w:sz w:val="20"/>
          <w:bdr w:val="single" w:sz="8" w:space="1" w:color="000000"/>
        </w:rPr>
        <w:t xml:space="preserve">Figure 2: Neumoras Precision Toolbox and Technology Stack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Precision Neuroscience Pipeline </w:t>
      </w:r>
    </w:p>
    <w:p>
      <w:pPr>
        <w:pStyle w:val="TextBody"/>
        <w:bidi w:val="0"/>
        <w:spacing w:before="8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building a broad pipeline of novel precision medicine candidates for neuropsychiatric disorders and neurodegenerative diseases, each with a targeted approach to development. Our precision neuroscience approach is flexible, and we are able to apply it in a modular fashion, which allows us to tailor its application to internal or external programs at any stage of development. We are leveraging multiple tools to develop strategies to identify enriched patient populations and are in the process of generating drug signatures and forming patient clusters for our pipeline programs. Our pipeline is comprised of seven programs, two of which are in clinical development and five of which are in preclinical development, as summarized below: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3707130" cy="210058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3707130" cy="2100580"/>
                    </a:xfrm>
                    <a:prstGeom prst="rect">
                      <a:avLst/>
                    </a:prstGeom>
                  </pic:spPr>
                </pic:pic>
              </a:graphicData>
            </a:graphic>
          </wp:inline>
        </w:drawing>
      </w:r>
      <w:r>
        <w:rPr>
          <w:bdr w:val="single" w:sz="8" w:space="1" w:color="000000"/>
        </w:rPr>
        <w:t xml:space="preserve"> </w:t>
      </w:r>
    </w:p>
    <w:p>
      <w:pPr>
        <w:pStyle w:val="TextBody"/>
        <w:bidi w:val="0"/>
        <w:spacing w:before="120" w:after="0"/>
        <w:jc w:val="center"/>
        <w:rPr>
          <w:rFonts w:ascii="Times New Roman" w:hAnsi="Times New Roman"/>
          <w:i/>
          <w:sz w:val="20"/>
          <w:bdr w:val="single" w:sz="8" w:space="1" w:color="000000"/>
        </w:rPr>
      </w:pPr>
      <w:r>
        <w:rPr>
          <w:rFonts w:ascii="Times New Roman" w:hAnsi="Times New Roman"/>
          <w:i/>
          <w:sz w:val="20"/>
          <w:bdr w:val="single" w:sz="8" w:space="1" w:color="000000"/>
        </w:rPr>
        <w:t xml:space="preserve">Figure 3: Neumora precision neuroscience pipeline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NMRA-140</w:t>
      </w:r>
      <w:r>
        <w:rPr>
          <w:rFonts w:ascii="Times New Roman" w:hAnsi="Times New Roman"/>
          <w:sz w:val="20"/>
          <w:bdr w:val="single" w:sz="8" w:space="1" w:color="000000"/>
        </w:rPr>
        <w:t xml:space="preserve"> is an investigational antagonist of KOR in development for the treatment of major depressive disorder (MDD), which is a chronic neuropsychiatric disorder with significant unmet need given that nearly 70% of MDD patients fail to achieve remission with first-line treatment. The KOR/dynorphin system is a well-characterized pathway known to modulate depressive-like states. The KOR antagonist mechanism has demonstrated potential as a treatment for MDD in a positive Phase 2 randomized, placebo-controlled trial of aticaprant as an adjunctive therapy for MDD. When we acquired BlackThorn Therapeutics, Inc. (BlackThorn) in September 2020, BlackThorn had initiated a Phase 2a clinical trial of BTRX-335140, now known as NMRA-140, in adult patients with MDD. This Phase 2a clinical trial was initiated as a double-blind, placebo-controlled, randomized trial of NMRA-140 in 120 patients. We subsequently modified the trial to generate a multimodal drug signature by increasing the enrollment to 204 patients and adding additional digital tools to further augment and support our precision neuroscience approach. We have also developed a proprietary blood-based pharmacogenetic model of OPRK1 (the gene encoding KOR) expression, which we intend to apply to peripheral DNA samples collected from patients enrolled in the trial. We plan to leverage the multimodal drug signature generated from this trial to support future clinical development of NMRA-140. We anticipate topline results from the current trial will be available in                 . We co-own one of the patent families related to NMRA-140 with The Scripps Research Institute (TSRI) and have an exclusive license from TSRI for the other patent family.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i/>
          <w:sz w:val="20"/>
          <w:bdr w:val="single" w:sz="8" w:space="1" w:color="000000"/>
        </w:rPr>
        <w:t xml:space="preserve">NMRA-511 </w:t>
      </w:r>
      <w:r>
        <w:rPr>
          <w:rFonts w:ascii="Times New Roman" w:hAnsi="Times New Roman"/>
          <w:sz w:val="20"/>
          <w:bdr w:val="single" w:sz="8" w:space="1" w:color="000000"/>
        </w:rPr>
        <w:t xml:space="preserve">is an investigational antagonist of the vasopressin 1a receptor (V1aR). Vasopressin plays a role in the regulation of aggression, affiliation, stress and anxiety response. Based on our encouraging preclinical findings in non-human primates as well as preclinical and clinical results from third parties, we believe V1aR has the potential to be a promising novel target for multiple neuropsychiatric disorders across the spectrum of anxiety, aggression and stress. We completed a Phase 1a clinical trial of NMRA-511 in February 2021 and are currently evaluating Phase 1b study designs with the goal of generating a drug signature for future clinical development.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NMRA-M4R</w:t>
      </w:r>
      <w:r>
        <w:rPr>
          <w:rFonts w:ascii="Times New Roman" w:hAnsi="Times New Roman"/>
          <w:sz w:val="20"/>
          <w:bdr w:val="single" w:sz="8" w:space="1" w:color="000000"/>
        </w:rPr>
        <w:t xml:space="preserve"> is a positive allosteric modulator of the M4 muscarinic receptor (M4R) for the treatment of schizophrenia. Our M4R positive allosteric modulator program is designed to be highly selective for the M4 receptor subtype of the muscarinic receptor family. Muscarinic receptor-targeting compounds have achieved clinical validation as an approach to treating schizophrenia, with potential to treat other neuropsychiatric disorders such as dementia-related psychosis and cognitive disorders, where innovation has been stagnant for decades. Selective M4R receptor positive allosteric modulators have the potential to deliver the antipsychotic efficacy associated with targeting this receptor subtype, while minimizing the side effects associated with current antipsychotics and other non-selective muscarinic agonists. We expect to initiate IND-enabling studies for our NMRA-M4R program in                . We exclusively licensed certain intellectual property rights related to NMRA-M4R from Vanderbilt University.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NMRA-GRIN2A</w:t>
      </w:r>
      <w:r>
        <w:rPr>
          <w:rFonts w:ascii="Times New Roman" w:hAnsi="Times New Roman"/>
          <w:sz w:val="20"/>
          <w:bdr w:val="single" w:sz="8" w:space="1" w:color="000000"/>
        </w:rPr>
        <w:t xml:space="preserve"> is a GRIN2A positive allosteric modulator that targets the GluN2A receptor subunit of the N-methyl-D-aspartate (NMDA) receptor for the treatment of schizophrenia. Recent breakthroughs in genome-wide association studies have provided genetic evidence in support of the role of GRIN2A in schizophrenia, including a study showing GRIN2A as one of the highest risk genes for schizophrenia, providing genetic support for the dysregulation of glutamatergic signaling as a possible mechanism of disease. Furthermore, human studies suggest NMDA receptor antagonists (e.g., ketamine) lead to a schizophrenia-like syndrome, which provides compelling evidence for this target. Our NMRA-GRIN2A program is in the preclinical phase of development.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NMRA-NLRP3 </w:t>
      </w:r>
      <w:r>
        <w:rPr>
          <w:rFonts w:ascii="Times New Roman" w:hAnsi="Times New Roman"/>
          <w:sz w:val="20"/>
          <w:bdr w:val="single" w:sz="8" w:space="1" w:color="000000"/>
        </w:rPr>
        <w:t xml:space="preserve">is an inhibitor program focused on targeting the NLRP3 inflammasome for the treatment of certain neurodegenerative conditions. The inflammasome is a critical part of the innate immune system that responds to pathogens and cellular damage and is implicated in brain disorders, such as Parkinsons disease (PD), as well as immune disorders. The NLRP3 inflammasome can be activated in brain microglia, a type of cell in the brain, and other cell types by a range of proteins linked to neurodegeneration, including alpha-synuclein (a neuronal protein that regulates synaptic vesicle trafficking), which suggests the inflammasome may have a mechanistic role in PD. Our NMRA-NLRP3 program is in the preclinical phase of development.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NMRA-CK1</w:t>
      </w:r>
      <w:r>
        <w:rPr>
          <w:rFonts w:ascii="SYMBOL" w:hAnsi="SYMBOL"/>
          <w:sz w:val="20"/>
          <w:bdr w:val="single" w:sz="8" w:space="1" w:color="000000"/>
        </w:rPr>
        <w:t>d</w:t>
      </w:r>
      <w:r>
        <w:rPr>
          <w:rFonts w:ascii="Times New Roman" w:hAnsi="Times New Roman"/>
          <w:sz w:val="20"/>
          <w:bdr w:val="single" w:sz="8" w:space="1" w:color="000000"/>
        </w:rPr>
        <w:t xml:space="preserve"> is a CK1</w:t>
      </w:r>
      <w:r>
        <w:rPr>
          <w:rFonts w:ascii="SYMBOL" w:hAnsi="SYMBOL"/>
          <w:sz w:val="20"/>
          <w:bdr w:val="single" w:sz="8" w:space="1" w:color="000000"/>
        </w:rPr>
        <w:t>d</w:t>
      </w:r>
      <w:r>
        <w:rPr>
          <w:rFonts w:ascii="Times New Roman" w:hAnsi="Times New Roman"/>
          <w:sz w:val="20"/>
          <w:bdr w:val="single" w:sz="8" w:space="1" w:color="000000"/>
        </w:rPr>
        <w:t xml:space="preserve"> inhibitor program that we intend to develop for amyotrophic lateral sclerosis (ALS). CK1</w:t>
      </w:r>
      <w:r>
        <w:rPr>
          <w:rFonts w:ascii="SYMBOL" w:hAnsi="SYMBOL"/>
          <w:sz w:val="20"/>
          <w:bdr w:val="single" w:sz="8" w:space="1" w:color="000000"/>
        </w:rPr>
        <w:t>d</w:t>
      </w:r>
      <w:r>
        <w:rPr>
          <w:rFonts w:ascii="Times New Roman" w:hAnsi="Times New Roman"/>
          <w:sz w:val="20"/>
          <w:bdr w:val="single" w:sz="8" w:space="1" w:color="000000"/>
        </w:rPr>
        <w:t xml:space="preserve"> is a kinase that has been identified as a conductor of the process known as phosphorylation, which is the addition of a phosphate group to a molecule, in a protein component known as TDP-43 that is closely linked to ALS. Phosphorylation is a key driver of TDP-43-driven pathology in approximately 95% of sporadic ALS cases. There is also genetic evidence linking TDP-43 to both familial and sporadic ALS. Our NMRA-CK1</w:t>
      </w:r>
      <w:r>
        <w:rPr>
          <w:rFonts w:ascii="SYMBOL" w:hAnsi="SYMBOL"/>
          <w:sz w:val="20"/>
          <w:bdr w:val="single" w:sz="8" w:space="1" w:color="000000"/>
        </w:rPr>
        <w:t>d</w:t>
      </w:r>
      <w:r>
        <w:rPr>
          <w:rFonts w:ascii="Times New Roman" w:hAnsi="Times New Roman"/>
          <w:sz w:val="20"/>
          <w:bdr w:val="single" w:sz="8" w:space="1" w:color="000000"/>
        </w:rPr>
        <w:t xml:space="preserve"> program is in the preclinical phase of development, and we may seek to identify other potential Precision Phenotypes associated with TDP-43-driven pathologies beyond ALS. We exclusively licensed certain intellectual property rights related to NMRA-CK1</w:t>
      </w:r>
      <w:r>
        <w:rPr>
          <w:rFonts w:ascii="SYMBOL" w:hAnsi="SYMBOL"/>
          <w:sz w:val="20"/>
          <w:bdr w:val="single" w:sz="8" w:space="1" w:color="000000"/>
        </w:rPr>
        <w:t>d</w:t>
      </w:r>
      <w:r>
        <w:rPr>
          <w:rFonts w:ascii="Times New Roman" w:hAnsi="Times New Roman"/>
          <w:sz w:val="20"/>
          <w:bdr w:val="single" w:sz="8" w:space="1" w:color="000000"/>
        </w:rPr>
        <w:t xml:space="preserve"> from Amgen Inc. (Amgen).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NMRA-GCase </w:t>
      </w:r>
      <w:r>
        <w:rPr>
          <w:rFonts w:ascii="Times New Roman" w:hAnsi="Times New Roman"/>
          <w:sz w:val="20"/>
          <w:bdr w:val="single" w:sz="8" w:space="1" w:color="000000"/>
        </w:rPr>
        <w:t xml:space="preserve">is an activator program focused on elevating the activity of the enzyme glucocerebrocidase (GCase) that we intend to develop for the treatment of PD. Mutations in the GBA gene, which codes for the enzyme GCase, are the single largest genetic risk factor for PD. GCase deficiencies lead to storage disorders of the lysosome, which plays an important role in maintaining cellular balance, and a group of patients with PD have lysosomal dysfunction. Our NMRA-GCase program is in the preclinical phase of development. We exclusively licensed certain intellectual property rights related to NMRA-GCase from Amgen.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Team and Investors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people are the backbone of the company and our most important asset. We have assembled a diverse team of experienced company builders, leading neuroscience drug developers and data scientists, complemented by world-class scientific and technical advisors and an experienced board of directors and syndicate of investors. This group shares a long-term vision to position us to execute on our mission to build a precision neuroscience company that is fundamentally shifting the approach to discovering and developing therapeutics for brain diseases.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Experienced Company Builders.</w:t>
            </w:r>
            <w:r>
              <w:rPr>
                <w:rFonts w:ascii="Times New Roman" w:hAnsi="Times New Roman"/>
                <w:sz w:val="20"/>
              </w:rPr>
              <w:t xml:space="preserve"> We have multiple individuals with experience building disruptive biotechnology companies. Our Co-Founder, Chief Executive Officer and Chairman of our board of directors, Paul Berns, is a Managing Director at ARCH Venture Partners and was previously the President, Chief Executive Officer and Chairman of the Board of Anacor Pharmaceuticals, acquired by Pfizer in 2016. Carol Suh, our Co-Founder and Senior Vice President of Strategy, is a Partner at ARCH Venture Partners and has built a number of biotechnology companies. Dr. Joshua Pinto serves as our Chief Financial Officer and, from his time as an investment banker at Credit Suisse, has experience advising leading biotechnology companies across their life cycles.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Leading Neuroscience Drug Developers.</w:t>
            </w:r>
            <w:r>
              <w:rPr>
                <w:rFonts w:ascii="Times New Roman" w:hAnsi="Times New Roman"/>
                <w:sz w:val="20"/>
              </w:rPr>
              <w:t xml:space="preserve"> Our scientific leadership team includes world-class scientists with extensive neuroscience drug development experience. Dr. John Dunlop, our Head of Research &amp; Development, previously served as Vice President at Amgen, where he led the neuroscience research program, and prior to that was the Vice President and Head of Neuroscience at AstraZeneca and Pfizer. Dr. Nick Brandon, our Chief Scientific Officer, previously served as Chief Scientist of AstraZenecas Neuroscience Innovative Medicines and Early Development Division, as well as Head of Psychiatry and Behavioral Disorders for a period that bridged the Wyeth and Pfizer Neuroscience organizations. Our Chief Medical Officer, Dr. Jane Tiller held several positions at Bristol Myers Squibb including Vice President of Global Medical for Neuroscience, Virology &amp; Immunoscience. Prior to that, Dr. Tiller served as Vice President of Neuroscience and Pain at Cephalon. Dr. Bill Aurora, our Chief Corporate Affairs Officer, previously served as Chief Scientific Affairs Officer of Dermira, Inc. and held medical and scientific affairs leadership roles at Neurocrine Biosciences, Merck Research Laboratories and Amgen.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Expert Data Scientists.</w:t>
            </w:r>
            <w:r>
              <w:rPr>
                <w:rFonts w:ascii="Times New Roman" w:hAnsi="Times New Roman"/>
                <w:sz w:val="20"/>
              </w:rPr>
              <w:t xml:space="preserve"> Our Chief Data Sciences Officer, Dr. John Reynders, leads our team of data scientists. Dr. Reynders is an experienced data scientist with over two decades of experience in computational science and its integration in the drug development process. He has served as Vice President of Data Science, Genomics and Bioinformatics at Alexion Pharmaceuticals, Founding Chief Information Officer at Moderna Therapeutics and Head of Neuroscience Biomarkers and Integrative Solutions at Johnson &amp; Johnson. Our Vice President, Head of Data Sciences, Dr. Andrew Jaffe, is a leader in the field of computational neurogenetics and was previously an associate professor at Johns Hopkins University.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Scientific and Technical Advisory Boards.</w:t>
            </w:r>
            <w:r>
              <w:rPr>
                <w:rFonts w:ascii="Times New Roman" w:hAnsi="Times New Roman"/>
                <w:sz w:val="20"/>
              </w:rPr>
              <w:t xml:space="preserve"> We have built a scientific advisory board with research and drug development expertise spanning molecular genetics, neurobiology, molecular cell biology, neural circuitry, medicinal chemistry, translational medicine and the development of statistical methodologies across a broad spectrum of neuropsychiatric disorders and neurodegenerative diseases. We have also established a technical advisory board with expertise that includes computational and cognitive neuroscience, brain behavior mapping, the identification of biomarkers and treatment response, and the application of data science, AI/ML and digital tools to the development and delivery of therapeutics.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Board of Directors and Investors with Shared Long-Term Vision.</w:t>
            </w:r>
            <w:r>
              <w:rPr>
                <w:rFonts w:ascii="Times New Roman" w:hAnsi="Times New Roman"/>
                <w:sz w:val="20"/>
              </w:rPr>
              <w:t xml:space="preserve"> Our board of directors is comprised of renowned company builders, operators, leaders, scientists, drug developers and investors with experience across a diverse array of companies. We are supported by a group of leading institutional investors and our strategic collaborator, Amgen, who share our vision of building a groundbreaking, precision neuroscience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Strategy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taking a fundamentally different approach to the way treatments for brain diseases are developed across neuropsychiatric disorders and neurodegenerative diseases. Our mission is to usher in a new era of precision neuroscience to transform care for patients and families affected by these diseases. The key components of our business strategy to deliver on our mission are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Build a leading global precision neuroscience company to revolutionize the treatment of brain diseases.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Leverage our Precision Toolbox of data science capabilities and translational neuroscience tools and methods to generate Precision Phenotypes.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Build an industry-leading pipeline of precision neuroscience therapeutics.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Continually evaluate strategic external opportunities to maximize our patient impact.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Further enhance our intellectual property portfolio to protect our precision neuroscience platform by covering our molecules, AI/ML methods and Precision Phenotypes.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company has been purpose-built at scale to achieve our ambitious mission of changing the paradigm for developing treatments for diseases of the brain. We intend to continue to invest at scale in our platform, our people and our programs to achieve our goal of building a global, fully integrated precision neuroscience company.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Associated with Our Business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is subject to a number of risks of which you should be aware before making a decision to invest in our common stock. These risks are more fully described in the section titled Risk Factors immediately following this prospectus summary. These risks include, among others,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a clinical-stage biotechnology company and have incurred significant losses since our inception, and we expect to incur losses for the foreseeable future. We have no products approved for commercial sale and may never achieve or maintain profitability.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substantial contingent consideration and related obligations from our acquisitions of assets and license and collaboration agreements may result in dilution to our stockholders, may be a drain on our cash resources, or may cause us to incur debt obligations to satisfy the payment obligations.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limited operating history may make it difficult to evaluate our prospects and likelihood of success.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if this offering is successful, we will require additional funding in order to finance operations. If we are unable to raise capital when needed, or on acceptable terms, we could be forced to delay, reduce or eliminate our product development programs or commercialization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successfully identify, develop and commercialize any product candidates, or experience significant delays in doing so, our business, financial condition and results of operations will be materially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were founded with a mission to pioneer a new era of precision medicines for the treatment of neuropsychiatric disorders and neurodegenerative diseases, a field that has seen very limited success in drug development. The ability to successfully develop drugs in this field is extremely difficult and is subject to a number of unique challenges.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precision neuroscience platform is based on a novel approach and unique technologies that collectively are unproven and may never prove to be successful or only provide varying degrees of success, including the ability to consistently identify and match target or distinct patient populations with precision medicines.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invested and expect to continue to invest in acquiring product candidates, technologies and assets, as well as research and development efforts that further enhance our product pipeline and precision neuroscience platform. Such investments may affect our operating results, and, if the return on these investments is lower or develops more slowly than we expect, our revenue and operating results may suffer.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experienced rapid growth since our inception in November 2019, and expect to continue to grow in the future. If we fail to effectively manage our growth, we may not be able to execute on our business objectives.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data driven, precision neuroscience platform and products and our future growth depends on attracting, hiring and retaining our key personnel and recruiting additional qualified personnel.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realize the benefits of technologies that we have acquired, or will acquire in the future, or other strategic transactions that we have or will consummate.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operate in highly competitive and rapidly changing industries, which may result in others discovering, developing or commercializing competing products before or more successfully than we do.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Preclinical and clinical drug development is a lengthy and expensive process, with an uncertain outcome. Our preclinical and clinical programs have and may experience delays or may never advance, which would adversely affect ability to obtain regulatory approvals or commercialize our product candidates on a timely basis or at all, which could have an adverse effect on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and commercialization of drug products is subject to extensive regulation, and the regulatory approval processes of the FDA and comparable foreign authorities are lengthy, time-consuming, and inherently unpredictable. If we are ultimately unable to obtain regulatory approval for our product candidates on a timely basis or at all, our business will be substantially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depend on intellectual property licensed from third parties and we are party to in-license agreements under which we acquired rights to use, develop, manufacture and/or commercialize certain of our proprietary technologies and product candidates. If we breach our obligations under these agreements or if any of these agreements is terminated, or otherwise experience disruptions to our business relationships with our licensors, we may be required to pay damages, lose our rights to such intellectual property and technology, or both, which would harm our business.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and Other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founded in November 2019 as a Delaware corporation under the name RBNC Therapeutics, Inc. We changed our name to Neumora Therapeutics, Inc. in October 2021. Our principal executive offices are located at 490 Arsenal Way, Watertown, Massachusetts 02472, and our telephone number is (857) 760-0900.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website address is www.neumoratx.com. The information on, or that can be accessed through, our website is not part of this prospectus and is not incorporated by reference herein. We have included our website address as an inactive textual reference only.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the Jumpstart Our Business Startups Act of 2012 (the JOBS Act). We will remain an emerging growth company until the earliest of: (i) the last day of the fiscal year following the fifth anniversary of the consummation of this offering; (ii) the last day of the fiscal year in which we have total annual gross revenue of at least $1.07 billion; (iii) the last day of the fiscal year in which we are deemed to be a large accelerated filer as defined in Rule 12b-2 under the Securities Exchange Act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An emerging growth company may take advantage of specified reduced reporting requirements and is relieved of certain other significant requirements that are otherwise generally applicable to public companies. As an emerging growth company: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present in this prospectus only two years of audited annual financial statements, plus any required unaudited financial statements, and related managements discussion and analysis of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avail ourselves of the exemption from the requirement to obtain an attestation and report from our independent registered public accounting firm on the assessment of our internal control over financial reporting pursuant to the Sarbanes-Oxley Act of 2002;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provide less extensive disclosure about our executive compensation arrangements;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require non-binding, advisory stockholder votes on executive compensation or golden parachute arrangements.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for any other new or revised accounting standards during the period in which we remain an emerging growth company; however, we have and may adopt certain new or revised accounting standards early.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result, the information in this prospectus and that we provide to our investors in the future may be different than what you might receive from other public reporting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rom241143_2"/>
      <w:bookmarkEnd w:id="4"/>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30" w:type="dxa"/>
            <w:tcBorders/>
          </w:tcPr>
          <w:p>
            <w:pPr>
              <w:pStyle w:val="TableContents"/>
              <w:bidi w:val="0"/>
              <w:spacing w:before="0" w:after="283"/>
              <w:jc w:val="left"/>
              <w:rPr/>
            </w:pPr>
            <w:r>
              <w:rPr/>
              <w:t xml:space="preserve">                     </w:t>
            </w:r>
            <w:r>
              <w:rPr/>
              <w:t xml:space="preserve">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 to purchase additional shares of common stock </w:t>
            </w:r>
          </w:p>
        </w:tc>
        <w:tc>
          <w:tcPr>
            <w:tcW w:w="6327" w:type="dxa"/>
            <w:tcBorders/>
          </w:tcPr>
          <w:p>
            <w:pPr>
              <w:pStyle w:val="TableContents"/>
              <w:bidi w:val="0"/>
              <w:spacing w:before="0" w:after="283"/>
              <w:jc w:val="left"/>
              <w:rPr/>
            </w:pPr>
            <w:r>
              <w:rPr/>
              <w:t xml:space="preserve">                     </w:t>
            </w:r>
            <w:r>
              <w:rPr/>
              <w:t xml:space="preserve">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immediately after this offering </w:t>
            </w:r>
          </w:p>
        </w:tc>
        <w:tc>
          <w:tcPr>
            <w:tcW w:w="6327" w:type="dxa"/>
            <w:tcBorders/>
          </w:tcPr>
          <w:p>
            <w:pPr>
              <w:pStyle w:val="TableContents"/>
              <w:bidi w:val="0"/>
              <w:spacing w:before="0" w:after="283"/>
              <w:jc w:val="left"/>
              <w:rPr/>
            </w:pPr>
            <w:r>
              <w:rPr/>
              <w:t xml:space="preserve">                     </w:t>
            </w:r>
            <w:r>
              <w:rPr/>
              <w:t xml:space="preserve">shares (or                      shares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estimate that the net proceeds to us from this offering will be approximately $         million (or approximately $         million if the underwriters exercise their option to purchase additional shares in full) assuming an initial public offering price of $         per share, which is the midpoint of the price range set forth on the cover page of this prospectus, and after deducting estimated underwriting discounts and commissions and estimated offering expenses payable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currently intend to use the net proceeds from this offering, together with our existing cash, cash equivalents and marketable securities, to fund the clinical and preclinical development of our current programs, to advance our precision neuroscience platform, to fund research and development activities for additional programs, and the remainder for working capital and other general corporate purposes. We may also use a portion of the net proceeds to in-license, acquire, or invest in, complementary technologies, assets, or intellectual property. We regularly evaluate strategic opportunities; however, we have no current commitments to enter into any such license arrangements or acquisition agreements or to make any such investments. See the section titled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See the section titled Risk Factors and other information included in this prospectus for a discussion of factors you should carefully consider before deciding whether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Proposed Nasdaq trading symbol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NMRA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we specifically state otherwise or the context otherwise requires, the number of shares of our common stock to be outstanding after this offering is based on                      shares of common stock outstanding as of March 31, 2022 (after giving effect to the conversion of all of our shares of convertible preferred stock outstanding as of March 31, 2022 into an aggregate of                      shares of our common stock immediately prior to the completion of this offering)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 xml:space="preserve">             </w:t>
            </w:r>
            <w:r>
              <w:rPr>
                <w:rFonts w:ascii="Times New Roman" w:hAnsi="Times New Roman"/>
                <w:sz w:val="20"/>
              </w:rPr>
              <w:t xml:space="preserve">shares of our common stock issuable upon the exercise of stock options outstanding as of March 31, 2022, with a weighted-average exercise price of $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 xml:space="preserve">             </w:t>
            </w:r>
            <w:r>
              <w:rPr>
                <w:rFonts w:ascii="Times New Roman" w:hAnsi="Times New Roman"/>
                <w:sz w:val="20"/>
              </w:rPr>
              <w:t xml:space="preserve">shares of our common stock issuable upon the exercise of stock options granted subsequent to March 31, 2022, with a weighted-average exercise price of $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 xml:space="preserve">             </w:t>
            </w:r>
            <w:r>
              <w:rPr>
                <w:rFonts w:ascii="Times New Roman" w:hAnsi="Times New Roman"/>
                <w:sz w:val="20"/>
              </w:rPr>
              <w:t xml:space="preserve">shares of common stock issuable upon the exercise of warrants outstanding as of March 31, 2022 to purchase shares of our Series A-1 convertible preferred stock with a weighted-average exercise price of $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 xml:space="preserve">             </w:t>
            </w:r>
            <w:r>
              <w:rPr>
                <w:rFonts w:ascii="Times New Roman" w:hAnsi="Times New Roman"/>
                <w:sz w:val="20"/>
              </w:rPr>
              <w:t xml:space="preserve">shares of our common stock reserved for future issuance under our 2020 Equity Incentive Plan (the 2020 Plan) as of March 31, 2022;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 xml:space="preserve">             </w:t>
            </w:r>
            <w:r>
              <w:rPr>
                <w:rFonts w:ascii="Times New Roman" w:hAnsi="Times New Roman"/>
                <w:sz w:val="20"/>
              </w:rPr>
              <w:t xml:space="preserve">shares of our common stock reserved for future issuance under the 2015 BlackThorn Therapeutics, Inc. Equity Incentive Plan (the 2015 Plan), which we assumed and have subsequently suspended in connection with the closing of our acquisition of BlackThorn;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 xml:space="preserve">             </w:t>
            </w:r>
            <w:r>
              <w:rPr>
                <w:rFonts w:ascii="Times New Roman" w:hAnsi="Times New Roman"/>
                <w:sz w:val="20"/>
              </w:rPr>
              <w:t xml:space="preserve">shares of our common stock reserved for future issuance under the 2022 Incentive Award Plan (the 2022 Plan), which will become effective on the date immediately prior to the date our registration statement relating to this offering becomes effective, as well as any future increases in the number of shares of common stock reserved for issuance under the 2022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 xml:space="preserve">             </w:t>
            </w:r>
            <w:r>
              <w:rPr>
                <w:rFonts w:ascii="Times New Roman" w:hAnsi="Times New Roman"/>
                <w:sz w:val="20"/>
              </w:rPr>
              <w:t xml:space="preserve">shares of our common stock reserved for future issuance under our Employee Stock Purchase Plan (the ESPP), which will become effective on the date immediately prior to the date our registration statement relating to this offering becomes effective, as well as any future increases in the number of shares of common stock reserved for issuance under the ESPP.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we specifically state otherwise or the context otherwise requires, this prospectus reflects and assumes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filing and effectiveness of our amended and restated certificate of incorporation immediately prior to the completion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of all outstanding shares of our convertible preferred stock outstanding as of March 31, 2022 into                      shares of our common stock immediately prior to the completion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settlement or termination of the outstanding stock options or warrants referred to above;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                 stock split of our capital stock to be effected prior to the completion of this offering;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by the underwriters of their option to purchase additional shares of our common stock in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rom241143_3"/>
      <w:bookmarkEnd w:id="5"/>
      <w:r>
        <w:rPr>
          <w:rFonts w:ascii="Times New Roman" w:hAnsi="Times New Roman"/>
          <w:b/>
          <w:sz w:val="20"/>
          <w:bdr w:val="single" w:sz="8" w:space="1" w:color="000000"/>
        </w:rPr>
        <w:t xml:space="preserve">SUMMARY CONSOLIDATED FINANCIAL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summarize our consolidated financial data for the periods and as of the dates indicated. We have derived the summary consolidated statements of operations and comprehensive loss data for the years ended December 31, 2020 and 2021, except for pro forma amounts, from our audited consolidated financial statements and related notes included elsewhere in this prospectus. We have derived the summary consolidated statements of operations and comprehensive loss data for the three months ended March 31, 2021 and 2022, except for pro forma amounts, and the summary consolidated balance sheet data as of March 31, 2022, except for pro forma amounts, from our unaudited condensed consolidated financial statements and related notes as of and for the three months ended March 31, 2021 and 2022 included elsewhere in this prospectus. Our unaudited condensed consolidated financial statements were prepared on a basis consistent with our audited consolidated financial statements and include, in our opinion, all adjustments of a normal and recurring nature that are necessary for the fair statement of the financial information set forth in those statements included elsewhere in this prospectus. Our historical results are not necessarily indicative of results that may be expected in the future and our interim results are not necessarily indictive of the results that may be expected for the full year. You should read the following summary consolidated financial data together with our audited consolidated financial statements, unaudited condensed consolidated financial statements and the related notes included elsewhere in this prospectus and the information in the section titled Managements Discussion and Analysis of Financial Condition and Results of Operations.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4958"/>
        <w:gridCol w:w="201"/>
        <w:gridCol w:w="140"/>
        <w:gridCol w:w="829"/>
        <w:gridCol w:w="155"/>
        <w:gridCol w:w="163"/>
        <w:gridCol w:w="140"/>
        <w:gridCol w:w="878"/>
        <w:gridCol w:w="155"/>
        <w:gridCol w:w="163"/>
        <w:gridCol w:w="140"/>
        <w:gridCol w:w="829"/>
        <w:gridCol w:w="162"/>
        <w:gridCol w:w="162"/>
        <w:gridCol w:w="140"/>
        <w:gridCol w:w="829"/>
        <w:gridCol w:w="161"/>
      </w:tblGrid>
      <w:tr>
        <w:trPr/>
        <w:tc>
          <w:tcPr>
            <w:tcW w:w="4958"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5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3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 xml:space="preserve">December 31, </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2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 xml:space="preserve">March 31, </w:t>
            </w:r>
          </w:p>
        </w:tc>
        <w:tc>
          <w:tcPr>
            <w:tcW w:w="161" w:type="dxa"/>
            <w:tcBorders/>
            <w:vAlign w:val="bottom"/>
          </w:tcPr>
          <w:p>
            <w:pPr>
              <w:pStyle w:val="TableContents"/>
              <w:bidi w:val="0"/>
              <w:spacing w:before="0" w:after="283"/>
              <w:jc w:val="left"/>
              <w:rPr/>
            </w:pPr>
            <w:r>
              <w:rPr/>
              <w:t> </w:t>
            </w:r>
          </w:p>
        </w:tc>
      </w:tr>
      <w:tr>
        <w:trPr/>
        <w:tc>
          <w:tcPr>
            <w:tcW w:w="495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495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69"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18"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262" w:type="dxa"/>
            <w:gridSpan w:val="6"/>
            <w:tcBorders/>
            <w:vAlign w:val="bottom"/>
          </w:tcPr>
          <w:p>
            <w:pPr>
              <w:pStyle w:val="TableContents"/>
              <w:bidi w:val="0"/>
              <w:spacing w:before="0" w:after="283"/>
              <w:jc w:val="center"/>
              <w:rPr>
                <w:b/>
              </w:rPr>
            </w:pPr>
            <w:r>
              <w:rPr>
                <w:b/>
              </w:rPr>
              <w:t>(unaudited)</w:t>
            </w:r>
          </w:p>
        </w:tc>
        <w:tc>
          <w:tcPr>
            <w:tcW w:w="161" w:type="dxa"/>
            <w:tcBorders/>
            <w:vAlign w:val="bottom"/>
          </w:tcPr>
          <w:p>
            <w:pPr>
              <w:pStyle w:val="TableContents"/>
              <w:bidi w:val="0"/>
              <w:spacing w:before="0" w:after="283"/>
              <w:jc w:val="left"/>
              <w:rPr/>
            </w:pPr>
            <w:r>
              <w:rPr/>
              <w:t> </w:t>
            </w:r>
          </w:p>
        </w:tc>
      </w:tr>
      <w:tr>
        <w:trPr/>
        <w:tc>
          <w:tcPr>
            <w:tcW w:w="4958" w:type="dxa"/>
            <w:tcBorders/>
            <w:vAlign w:val="bottom"/>
          </w:tcPr>
          <w:p>
            <w:pPr>
              <w:pStyle w:val="TableContents"/>
              <w:bidi w:val="0"/>
              <w:spacing w:before="0" w:after="283"/>
              <w:jc w:val="left"/>
              <w:rPr>
                <w:b/>
              </w:rPr>
            </w:pPr>
            <w:r>
              <w:rPr>
                <w:b/>
              </w:rPr>
              <w:t>Consolidated Statements of Operations and Comprehensive Loss Data:</w:t>
            </w:r>
          </w:p>
        </w:tc>
        <w:tc>
          <w:tcPr>
            <w:tcW w:w="201" w:type="dxa"/>
            <w:tcBorders/>
            <w:vAlign w:val="bottom"/>
          </w:tcPr>
          <w:p>
            <w:pPr>
              <w:pStyle w:val="TableContents"/>
              <w:bidi w:val="0"/>
              <w:spacing w:before="0" w:after="283"/>
              <w:jc w:val="left"/>
              <w:rPr/>
            </w:pPr>
            <w:r>
              <w:rPr/>
              <w:t>  </w:t>
            </w:r>
          </w:p>
        </w:tc>
        <w:tc>
          <w:tcPr>
            <w:tcW w:w="4885" w:type="dxa"/>
            <w:gridSpan w:val="14"/>
            <w:tcBorders/>
            <w:vAlign w:val="bottom"/>
          </w:tcPr>
          <w:p>
            <w:pPr>
              <w:pStyle w:val="TableContents"/>
              <w:bidi w:val="0"/>
              <w:spacing w:before="0" w:after="283"/>
              <w:jc w:val="center"/>
              <w:rPr>
                <w:b/>
              </w:rPr>
            </w:pPr>
            <w:r>
              <w:rPr>
                <w:b/>
              </w:rPr>
              <w:t>(in thousands, except per share data)</w:t>
            </w:r>
          </w:p>
        </w:tc>
        <w:tc>
          <w:tcPr>
            <w:tcW w:w="161" w:type="dxa"/>
            <w:tcBorders/>
            <w:vAlign w:val="bottom"/>
          </w:tcPr>
          <w:p>
            <w:pPr>
              <w:pStyle w:val="TableContents"/>
              <w:bidi w:val="0"/>
              <w:spacing w:before="0" w:after="283"/>
              <w:jc w:val="left"/>
              <w:rPr/>
            </w:pPr>
            <w:r>
              <w:rPr/>
              <w:t> </w:t>
            </w:r>
          </w:p>
        </w:tc>
      </w:tr>
      <w:tr>
        <w:trPr/>
        <w:tc>
          <w:tcPr>
            <w:tcW w:w="4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9"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95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9" w:type="dxa"/>
            <w:tcBorders/>
            <w:vAlign w:val="bottom"/>
          </w:tcPr>
          <w:p>
            <w:pPr>
              <w:pStyle w:val="TableContents"/>
              <w:bidi w:val="0"/>
              <w:spacing w:before="0" w:after="283"/>
              <w:jc w:val="right"/>
              <w:rPr/>
            </w:pPr>
            <w:r>
              <w:rPr/>
              <w:t>17,614</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8" w:type="dxa"/>
            <w:tcBorders/>
            <w:vAlign w:val="bottom"/>
          </w:tcPr>
          <w:p>
            <w:pPr>
              <w:pStyle w:val="TableContents"/>
              <w:bidi w:val="0"/>
              <w:spacing w:before="0" w:after="283"/>
              <w:jc w:val="right"/>
              <w:rPr/>
            </w:pPr>
            <w:r>
              <w:rPr/>
              <w:t>55,776</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9" w:type="dxa"/>
            <w:tcBorders/>
            <w:vAlign w:val="bottom"/>
          </w:tcPr>
          <w:p>
            <w:pPr>
              <w:pStyle w:val="TableContents"/>
              <w:bidi w:val="0"/>
              <w:spacing w:before="0" w:after="283"/>
              <w:jc w:val="right"/>
              <w:rPr/>
            </w:pPr>
            <w:r>
              <w:rPr/>
              <w:t>11,503</w:t>
            </w:r>
          </w:p>
        </w:tc>
        <w:tc>
          <w:tcPr>
            <w:tcW w:w="16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9" w:type="dxa"/>
            <w:tcBorders/>
            <w:vAlign w:val="bottom"/>
          </w:tcPr>
          <w:p>
            <w:pPr>
              <w:pStyle w:val="TableContents"/>
              <w:bidi w:val="0"/>
              <w:spacing w:before="0" w:after="283"/>
              <w:jc w:val="right"/>
              <w:rPr/>
            </w:pPr>
            <w:r>
              <w:rPr/>
              <w:t>22,149</w:t>
            </w:r>
          </w:p>
        </w:tc>
        <w:tc>
          <w:tcPr>
            <w:tcW w:w="161" w:type="dxa"/>
            <w:tcBorders/>
            <w:vAlign w:val="bottom"/>
          </w:tcPr>
          <w:p>
            <w:pPr>
              <w:pStyle w:val="TableContents"/>
              <w:bidi w:val="0"/>
              <w:spacing w:before="0" w:after="283"/>
              <w:jc w:val="left"/>
              <w:rPr/>
            </w:pPr>
            <w:r>
              <w:rPr/>
              <w:t> </w:t>
            </w:r>
          </w:p>
        </w:tc>
      </w:tr>
      <w:tr>
        <w:trPr/>
        <w:tc>
          <w:tcPr>
            <w:tcW w:w="4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69,512</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157,000</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13,000</w:t>
            </w:r>
          </w:p>
        </w:tc>
        <w:tc>
          <w:tcPr>
            <w:tcW w:w="161" w:type="dxa"/>
            <w:tcBorders/>
            <w:shd w:fill="CCEEFF" w:val="clear"/>
            <w:vAlign w:val="bottom"/>
          </w:tcPr>
          <w:p>
            <w:pPr>
              <w:pStyle w:val="TableContents"/>
              <w:bidi w:val="0"/>
              <w:spacing w:before="0" w:after="283"/>
              <w:jc w:val="left"/>
              <w:rPr/>
            </w:pPr>
            <w:r>
              <w:rPr/>
              <w:t> </w:t>
            </w:r>
          </w:p>
        </w:tc>
      </w:tr>
      <w:tr>
        <w:trPr/>
        <w:tc>
          <w:tcPr>
            <w:tcW w:w="4958"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8,392</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24,547</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3,942</w:t>
            </w:r>
          </w:p>
        </w:tc>
        <w:tc>
          <w:tcPr>
            <w:tcW w:w="16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8,087</w:t>
            </w:r>
          </w:p>
        </w:tc>
        <w:tc>
          <w:tcPr>
            <w:tcW w:w="161" w:type="dxa"/>
            <w:tcBorders/>
            <w:vAlign w:val="bottom"/>
          </w:tcPr>
          <w:p>
            <w:pPr>
              <w:pStyle w:val="TableContents"/>
              <w:bidi w:val="0"/>
              <w:spacing w:before="0" w:after="283"/>
              <w:jc w:val="left"/>
              <w:rPr/>
            </w:pPr>
            <w:r>
              <w:rPr/>
              <w:t> </w:t>
            </w:r>
          </w:p>
        </w:tc>
      </w:tr>
      <w:tr>
        <w:trPr/>
        <w:tc>
          <w:tcPr>
            <w:tcW w:w="4958"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95,518</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237,323</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15,445</w:t>
            </w:r>
          </w:p>
        </w:tc>
        <w:tc>
          <w:tcPr>
            <w:tcW w:w="16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43,236</w:t>
            </w:r>
          </w:p>
        </w:tc>
        <w:tc>
          <w:tcPr>
            <w:tcW w:w="161" w:type="dxa"/>
            <w:tcBorders/>
            <w:shd w:fill="CCEEFF" w:val="clear"/>
            <w:vAlign w:val="bottom"/>
          </w:tcPr>
          <w:p>
            <w:pPr>
              <w:pStyle w:val="TableContents"/>
              <w:bidi w:val="0"/>
              <w:spacing w:before="0" w:after="283"/>
              <w:jc w:val="left"/>
              <w:rPr/>
            </w:pPr>
            <w:r>
              <w:rPr/>
              <w:t> </w:t>
            </w:r>
          </w:p>
        </w:tc>
      </w:tr>
      <w:tr>
        <w:trPr/>
        <w:tc>
          <w:tcPr>
            <w:tcW w:w="4958"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58"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(95,518</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(237,323</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(15,445</w:t>
            </w:r>
          </w:p>
        </w:tc>
        <w:tc>
          <w:tcPr>
            <w:tcW w:w="16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(43,236</w:t>
            </w:r>
          </w:p>
        </w:tc>
        <w:tc>
          <w:tcPr>
            <w:tcW w:w="161" w:type="dxa"/>
            <w:tcBorders/>
            <w:vAlign w:val="bottom"/>
          </w:tcPr>
          <w:p>
            <w:pPr>
              <w:pStyle w:val="TableContents"/>
              <w:bidi w:val="0"/>
              <w:spacing w:before="0" w:after="283"/>
              <w:jc w:val="left"/>
              <w:rPr/>
            </w:pPr>
            <w:r>
              <w:rPr/>
              <w:t>) </w:t>
            </w:r>
          </w:p>
        </w:tc>
      </w:tr>
      <w:tr>
        <w:trPr/>
        <w:tc>
          <w:tcPr>
            <w:tcW w:w="4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9"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958" w:type="dxa"/>
            <w:tcBorders/>
          </w:tcPr>
          <w:p>
            <w:pPr>
              <w:pStyle w:val="TableContents"/>
              <w:bidi w:val="0"/>
              <w:spacing w:before="0" w:after="0"/>
              <w:jc w:val="left"/>
              <w:rPr>
                <w:rFonts w:ascii="Times New Roman" w:hAnsi="Times New Roman"/>
                <w:sz w:val="20"/>
              </w:rPr>
            </w:pPr>
            <w:r>
              <w:rPr>
                <w:rFonts w:ascii="Times New Roman" w:hAnsi="Times New Roman"/>
                <w:sz w:val="20"/>
              </w:rPr>
              <w:t>Loss from change in fair value of convertible promissory notes</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(3,275</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4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86</w:t>
            </w:r>
          </w:p>
        </w:tc>
        <w:tc>
          <w:tcPr>
            <w:tcW w:w="161" w:type="dxa"/>
            <w:tcBorders/>
            <w:shd w:fill="CCEEFF" w:val="clear"/>
            <w:vAlign w:val="bottom"/>
          </w:tcPr>
          <w:p>
            <w:pPr>
              <w:pStyle w:val="TableContents"/>
              <w:bidi w:val="0"/>
              <w:spacing w:before="0" w:after="283"/>
              <w:jc w:val="left"/>
              <w:rPr/>
            </w:pPr>
            <w:r>
              <w:rPr/>
              <w:t> </w:t>
            </w:r>
          </w:p>
        </w:tc>
      </w:tr>
      <w:tr>
        <w:trPr/>
        <w:tc>
          <w:tcPr>
            <w:tcW w:w="4958"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(479</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141</w:t>
            </w:r>
          </w:p>
        </w:tc>
        <w:tc>
          <w:tcPr>
            <w:tcW w:w="16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108</w:t>
            </w:r>
          </w:p>
        </w:tc>
        <w:tc>
          <w:tcPr>
            <w:tcW w:w="161" w:type="dxa"/>
            <w:tcBorders/>
            <w:vAlign w:val="bottom"/>
          </w:tcPr>
          <w:p>
            <w:pPr>
              <w:pStyle w:val="TableContents"/>
              <w:bidi w:val="0"/>
              <w:spacing w:before="0" w:after="283"/>
              <w:jc w:val="left"/>
              <w:rPr/>
            </w:pPr>
            <w:r>
              <w:rPr/>
              <w:t> </w:t>
            </w:r>
          </w:p>
        </w:tc>
      </w:tr>
      <w:tr>
        <w:trPr/>
        <w:tc>
          <w:tcPr>
            <w:tcW w:w="4958"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(3,754</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141</w:t>
            </w:r>
          </w:p>
        </w:tc>
        <w:tc>
          <w:tcPr>
            <w:tcW w:w="16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194</w:t>
            </w:r>
          </w:p>
        </w:tc>
        <w:tc>
          <w:tcPr>
            <w:tcW w:w="161" w:type="dxa"/>
            <w:tcBorders/>
            <w:shd w:fill="CCEEFF" w:val="clear"/>
            <w:vAlign w:val="bottom"/>
          </w:tcPr>
          <w:p>
            <w:pPr>
              <w:pStyle w:val="TableContents"/>
              <w:bidi w:val="0"/>
              <w:spacing w:before="0" w:after="283"/>
              <w:jc w:val="left"/>
              <w:rPr/>
            </w:pPr>
            <w:r>
              <w:rPr/>
              <w:t> </w:t>
            </w:r>
          </w:p>
        </w:tc>
      </w:tr>
      <w:tr>
        <w:trPr/>
        <w:tc>
          <w:tcPr>
            <w:tcW w:w="4958"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5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9" w:type="dxa"/>
            <w:tcBorders/>
            <w:vAlign w:val="bottom"/>
          </w:tcPr>
          <w:p>
            <w:pPr>
              <w:pStyle w:val="TableContents"/>
              <w:bidi w:val="0"/>
              <w:spacing w:before="0" w:after="283"/>
              <w:jc w:val="right"/>
              <w:rPr/>
            </w:pPr>
            <w:r>
              <w:rPr/>
              <w:t>(99,272</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8" w:type="dxa"/>
            <w:tcBorders/>
            <w:vAlign w:val="bottom"/>
          </w:tcPr>
          <w:p>
            <w:pPr>
              <w:pStyle w:val="TableContents"/>
              <w:bidi w:val="0"/>
              <w:spacing w:before="0" w:after="283"/>
              <w:jc w:val="right"/>
              <w:rPr/>
            </w:pPr>
            <w:r>
              <w:rPr/>
              <w:t>(237,312</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9" w:type="dxa"/>
            <w:tcBorders/>
            <w:vAlign w:val="bottom"/>
          </w:tcPr>
          <w:p>
            <w:pPr>
              <w:pStyle w:val="TableContents"/>
              <w:bidi w:val="0"/>
              <w:spacing w:before="0" w:after="283"/>
              <w:jc w:val="right"/>
              <w:rPr/>
            </w:pPr>
            <w:r>
              <w:rPr/>
              <w:t>(15,304</w:t>
            </w:r>
          </w:p>
        </w:tc>
        <w:tc>
          <w:tcPr>
            <w:tcW w:w="16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9" w:type="dxa"/>
            <w:tcBorders/>
            <w:vAlign w:val="bottom"/>
          </w:tcPr>
          <w:p>
            <w:pPr>
              <w:pStyle w:val="TableContents"/>
              <w:bidi w:val="0"/>
              <w:spacing w:before="0" w:after="283"/>
              <w:jc w:val="right"/>
              <w:rPr/>
            </w:pPr>
            <w:r>
              <w:rPr/>
              <w:t>(43,042</w:t>
            </w:r>
          </w:p>
        </w:tc>
        <w:tc>
          <w:tcPr>
            <w:tcW w:w="161" w:type="dxa"/>
            <w:tcBorders/>
            <w:vAlign w:val="bottom"/>
          </w:tcPr>
          <w:p>
            <w:pPr>
              <w:pStyle w:val="TableContents"/>
              <w:bidi w:val="0"/>
              <w:spacing w:before="0" w:after="283"/>
              <w:jc w:val="left"/>
              <w:rPr/>
            </w:pPr>
            <w:r>
              <w:rPr/>
              <w:t>) </w:t>
            </w:r>
          </w:p>
        </w:tc>
      </w:tr>
      <w:tr>
        <w:trPr/>
        <w:tc>
          <w:tcPr>
            <w:tcW w:w="4958"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(0.97</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(1.38</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(0.10</w:t>
            </w:r>
          </w:p>
        </w:tc>
        <w:tc>
          <w:tcPr>
            <w:tcW w:w="16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(0.21</w:t>
            </w:r>
          </w:p>
        </w:tc>
        <w:tc>
          <w:tcPr>
            <w:tcW w:w="161" w:type="dxa"/>
            <w:tcBorders/>
            <w:shd w:fill="CCEEFF" w:val="clear"/>
            <w:vAlign w:val="bottom"/>
          </w:tcPr>
          <w:p>
            <w:pPr>
              <w:pStyle w:val="TableContents"/>
              <w:bidi w:val="0"/>
              <w:spacing w:before="0" w:after="283"/>
              <w:jc w:val="left"/>
              <w:rPr/>
            </w:pPr>
            <w:r>
              <w:rPr/>
              <w:t>) </w:t>
            </w:r>
          </w:p>
        </w:tc>
      </w:tr>
      <w:tr>
        <w:trPr/>
        <w:tc>
          <w:tcPr>
            <w:tcW w:w="4958"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58"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basic and diluted</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101,992</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171,815</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150,730</w:t>
            </w:r>
          </w:p>
        </w:tc>
        <w:tc>
          <w:tcPr>
            <w:tcW w:w="16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204,122</w:t>
            </w:r>
          </w:p>
        </w:tc>
        <w:tc>
          <w:tcPr>
            <w:tcW w:w="161" w:type="dxa"/>
            <w:tcBorders/>
            <w:vAlign w:val="bottom"/>
          </w:tcPr>
          <w:p>
            <w:pPr>
              <w:pStyle w:val="TableContents"/>
              <w:bidi w:val="0"/>
              <w:spacing w:before="0" w:after="283"/>
              <w:jc w:val="left"/>
              <w:rPr/>
            </w:pPr>
            <w:r>
              <w:rPr/>
              <w:t> </w:t>
            </w:r>
          </w:p>
        </w:tc>
      </w:tr>
      <w:tr>
        <w:trPr/>
        <w:tc>
          <w:tcPr>
            <w:tcW w:w="4958"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loss per share, basic and diluted(1)</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9"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4958"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58"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weighted-average shares outstanding, basic and diluted(1)</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958"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unaudited pro forma basic and diluted net loss per share for the year ended December 31, 2021 and for the three months ended March 31, 2022 have been prepared to give effect to the assumed conversion of outstanding shares of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convertible preferred stock to common stock at December 31, 2021 and March 31, 2022, respectively, as if the convertible preferred stock was outstanding as of January 1, 2021 or January 1, 2022, respectively, irrespective of when the convertible preferred stock was issued.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140"/>
        <w:gridCol w:w="416"/>
        <w:gridCol w:w="140"/>
        <w:gridCol w:w="878"/>
        <w:gridCol w:w="155"/>
        <w:gridCol w:w="369"/>
        <w:gridCol w:w="140"/>
        <w:gridCol w:w="933"/>
        <w:gridCol w:w="60"/>
        <w:gridCol w:w="416"/>
        <w:gridCol w:w="232"/>
        <w:gridCol w:w="1262"/>
        <w:gridCol w:w="64"/>
      </w:tblGrid>
      <w:tr>
        <w:trPr/>
        <w:tc>
          <w:tcPr>
            <w:tcW w:w="5140"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4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458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March 31, 2022</w:t>
            </w:r>
          </w:p>
        </w:tc>
        <w:tc>
          <w:tcPr>
            <w:tcW w:w="64" w:type="dxa"/>
            <w:tcBorders/>
            <w:vAlign w:val="bottom"/>
          </w:tcPr>
          <w:p>
            <w:pPr>
              <w:pStyle w:val="TableContents"/>
              <w:bidi w:val="0"/>
              <w:spacing w:before="0" w:after="283"/>
              <w:jc w:val="left"/>
              <w:rPr/>
            </w:pPr>
            <w:r>
              <w:rPr/>
              <w:t> </w:t>
            </w:r>
          </w:p>
        </w:tc>
      </w:tr>
      <w:tr>
        <w:trPr/>
        <w:tc>
          <w:tcPr>
            <w:tcW w:w="514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Forma(1)</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 as</w:t>
              <w:br/>
              <w:t>Adjusted(2)(3)</w:t>
            </w:r>
          </w:p>
        </w:tc>
        <w:tc>
          <w:tcPr>
            <w:tcW w:w="64" w:type="dxa"/>
            <w:tcBorders/>
            <w:vAlign w:val="bottom"/>
          </w:tcPr>
          <w:p>
            <w:pPr>
              <w:pStyle w:val="TableContents"/>
              <w:bidi w:val="0"/>
              <w:spacing w:before="0" w:after="283"/>
              <w:jc w:val="left"/>
              <w:rPr/>
            </w:pPr>
            <w:r>
              <w:rPr/>
              <w:t> </w:t>
            </w:r>
          </w:p>
        </w:tc>
      </w:tr>
      <w:tr>
        <w:trPr/>
        <w:tc>
          <w:tcPr>
            <w:tcW w:w="514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4585" w:type="dxa"/>
            <w:gridSpan w:val="10"/>
            <w:tcBorders/>
            <w:vAlign w:val="bottom"/>
          </w:tcPr>
          <w:p>
            <w:pPr>
              <w:pStyle w:val="TableContents"/>
              <w:bidi w:val="0"/>
              <w:spacing w:before="0" w:after="283"/>
              <w:jc w:val="center"/>
              <w:rPr>
                <w:b/>
              </w:rPr>
            </w:pPr>
            <w:r>
              <w:rPr>
                <w:b/>
              </w:rPr>
              <w:t>(unaudited, in thousands)</w:t>
            </w:r>
          </w:p>
        </w:tc>
        <w:tc>
          <w:tcPr>
            <w:tcW w:w="64" w:type="dxa"/>
            <w:tcBorders/>
            <w:vAlign w:val="bottom"/>
          </w:tcPr>
          <w:p>
            <w:pPr>
              <w:pStyle w:val="TableContents"/>
              <w:bidi w:val="0"/>
              <w:spacing w:before="0" w:after="283"/>
              <w:jc w:val="left"/>
              <w:rPr/>
            </w:pPr>
            <w:r>
              <w:rPr/>
              <w:t> </w:t>
            </w:r>
          </w:p>
        </w:tc>
      </w:tr>
      <w:tr>
        <w:trPr/>
        <w:tc>
          <w:tcPr>
            <w:tcW w:w="51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Balance Sheet Data:</w:t>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26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140"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marketable securities</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8" w:type="dxa"/>
            <w:tcBorders/>
            <w:vAlign w:val="bottom"/>
          </w:tcPr>
          <w:p>
            <w:pPr>
              <w:pStyle w:val="TableContents"/>
              <w:bidi w:val="0"/>
              <w:spacing w:before="0" w:after="283"/>
              <w:jc w:val="right"/>
              <w:rPr/>
            </w:pPr>
            <w:r>
              <w:rPr/>
              <w:t>363,430</w:t>
            </w:r>
          </w:p>
        </w:tc>
        <w:tc>
          <w:tcPr>
            <w:tcW w:w="155"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6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5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Working capital(4)</w:t>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344,996</w:t>
            </w:r>
          </w:p>
        </w:tc>
        <w:tc>
          <w:tcPr>
            <w:tcW w:w="155"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26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140"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382,837</w:t>
            </w:r>
          </w:p>
        </w:tc>
        <w:tc>
          <w:tcPr>
            <w:tcW w:w="155"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sz w:val="4"/>
                <w:szCs w:val="4"/>
              </w:rPr>
            </w:pPr>
            <w:r>
              <w:rPr>
                <w:sz w:val="4"/>
                <w:szCs w:val="4"/>
              </w:rPr>
            </w:r>
          </w:p>
        </w:tc>
        <w:tc>
          <w:tcPr>
            <w:tcW w:w="126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 warrant liability</w:t>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448</w:t>
            </w:r>
          </w:p>
        </w:tc>
        <w:tc>
          <w:tcPr>
            <w:tcW w:w="155"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26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140"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preferred stock</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729,858</w:t>
            </w:r>
          </w:p>
        </w:tc>
        <w:tc>
          <w:tcPr>
            <w:tcW w:w="155"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sz w:val="4"/>
                <w:szCs w:val="4"/>
              </w:rPr>
            </w:pPr>
            <w:r>
              <w:rPr>
                <w:sz w:val="4"/>
                <w:szCs w:val="4"/>
              </w:rPr>
            </w:r>
          </w:p>
        </w:tc>
        <w:tc>
          <w:tcPr>
            <w:tcW w:w="126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13,793</w:t>
            </w:r>
          </w:p>
        </w:tc>
        <w:tc>
          <w:tcPr>
            <w:tcW w:w="155"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26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14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(379,647</w:t>
            </w:r>
          </w:p>
        </w:tc>
        <w:tc>
          <w:tcPr>
            <w:tcW w:w="155"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sz w:val="4"/>
                <w:szCs w:val="4"/>
              </w:rPr>
            </w:pPr>
            <w:r>
              <w:rPr>
                <w:sz w:val="4"/>
                <w:szCs w:val="4"/>
              </w:rPr>
            </w:r>
          </w:p>
        </w:tc>
        <w:tc>
          <w:tcPr>
            <w:tcW w:w="126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 equity</w:t>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(366,017</w:t>
            </w:r>
          </w:p>
        </w:tc>
        <w:tc>
          <w:tcPr>
            <w:tcW w:w="155"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26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pro forma consolidated balance sheet data gives effect to (i) the conversion of all outstanding shares of our convertible preferred stock into an aggregate of                shares of our common stock immediately prior to the completion of this offering, (ii) the related reclassification of our convertible preferred stock aggregate carrying value to permanent equity and (iii) the filing and effectiveness of our amended and restated certificate of incorporation, which will be effective immediately prior to the completion of this offering.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pro forma as adjusted consolidated balance sheet data gives effect to (i) the pro forma adjustments described in footnote (1) above and (ii) the sale and issuance of            shares of common stock by us in this offering, at the assumed initial public offering price of $             per share, which is the midpoint of the price range set forth on the cover page of this prospectus, after deducting the estimated underwriting discounts and commissions and estimated offering expenses payable by us.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Each $1.00 increase or decrease in the assumed initial public offering price of $             per share, which is the midpoint of the price range set forth on the cover page of this prospectus, would increase or decrease, as applicable, the pro forma as adjusted amount of each of our cash, cash equivalents and marketable securities, working capital, total assets, additional paid-in capital and total stockholders equity by $            million, assuming that the number of shares offered by us, as set forth on the cover page of this prospectus, remains the same, after deducting the estimated underwriting discounts and commissions and estimated offering expenses payable by us. Similarly, an increase or decrease of 1.0 million shares in the number of shares of common stock offered would increase or decrease, as applicable, each of our cash, cash equivalents and marketable securities, working capital, total assets, additional paid-in capital and total stockholders equity by $            million, assuming the initial public offering price remains the same, after deducting the estimated underwriting discounts and commissions and estimated offering expenses payable by us. The pro forma as adjusted consolidated balance sheet data discussed above is illustrative only and will depend on the actual initial public offering price and other terms of this offering determined at pricing.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We define working capital as current assets less current liabilities. See our audited consolidated financial statements, unaudited condensed consolidated financial statements and related notes thereto included elsewhere in this prospectus for further details regarding our current assets and current liabilities.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rom241143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shares of our common stock involves a high degree of risk. You should carefully consider the following risks and uncertainties, together with all of the other information contained in this prospectus, including our audited consolidated financial statements, unaudited condensed consolidated financial statements and related notes included elsewhere in this prospectus, before making an investment decision. The risks described below are not the only ones facing us. Many of the following risks and uncertainties are, and will be, exacerbated by the COVID-19 pandemic and any worsening of the global business and economic environment as a result. The occurrence of any of the following risks, or of additional risks and uncertainties not presently known to us or that we currently believe to be immaterial, could materially and adversely affect our business, financial condition, reputation, or results of operations. In such case, the trading price of shares of our common stock could decline, and you may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Limited Operating History, Financial Condition and Need for Additional Capital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are a clinical-stage biotechnology company and have incurred significant losses since our inception, and we expect to incur losses for the foreseeable future. We have no products approved for commercial sale and may never achieve or maintain profitability.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biotechnology company with a limited operating history. Biotechnology product development is a highly speculative undertaking and involves a substantial degree of risk. We have incurred significant losses since our inception in November 2019, have no products approved for commercial sale, have not generated any revenue from product sales, have financed our operations principally through private placements of convertible preferred stock and convertible promissory notes and expect to incur significant losses for the foreseeable future. We expect that it will be several years, if ever, before we have a commercialized product and generate revenue from product sales. Our net loss was $99.3 million and $237.3 million for the years ended December 31, 2020 and 2021, respectively, and $43.0 million for the three months ended March 31, 2022. As of March 31, 2022, we had an accumulated deficit of $379.6 million. Our losses have resulted principally from acquired in-process research and development from our acquisitions of assets, expenses incurred in the research and development of our product candidates and buildout of our precision neuroscience platform, as well as from costs associated with our preclinical studies and clinical trials and management and administrative costs and other expenses that we have incurred while building our business infrastructure. </w:t>
      </w:r>
    </w:p>
    <w:p>
      <w:pPr>
        <w:pStyle w:val="TextBody"/>
        <w:bidi w:val="0"/>
        <w:spacing w:before="240" w:after="0"/>
        <w:jc w:val="left"/>
        <w:rPr>
          <w:rFonts w:ascii="Times New Roman" w:hAnsi="Times New Roman"/>
          <w:sz w:val="20"/>
        </w:rPr>
      </w:pPr>
      <w:r>
        <w:rPr>
          <w:rFonts w:ascii="Times New Roman" w:hAnsi="Times New Roman"/>
          <w:sz w:val="20"/>
        </w:rPr>
        <w:t xml:space="preserve">We expect our expenses and operating losses will continue to increase substantially for the foreseeable future as we expand our research and development efforts, expand the capabilities of our precision neuroscience platform, identify and acquire product candidates, complete preclinical studies and initiate additional clinical trials, seek regulatory approval and commercialization of our product candidates and operate as a public company. We anticipate that our expenses will continue to increase substantially 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clinical and preclinical development of our current and future product candidates and initiate additional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build out and enhance our precision neuroscience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regulatory approval of our current and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additional product candidates, technologies, multimodal patient datasets and other assets for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 our operational, financial and management systems and increase personnel, including personnel to support our clinical and preclinical development, manufacturing and commercialization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develop, perfect, maintain and defend our intellectual property portfolio;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legal, accounting or other expenses in operating our business, including the additional costs associated with operating as a public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devoted a significant portion of our financial resources and efforts to building our organization, acquiring technologies and companies, developing our precision neuroscience platform, research and development, identifying and developing potential product candidates, executing clinical and preclinical studies, organizing and staffing our company, business planning, establishing, maintaining and protecting our intellectual property portfolio, raising capital and providing general and administrative support for these operations. We are in the early stages of research and development and have not completed development and commercialization of any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To become and remain profitable, we must succeed in identifying, developing, conducting successful clinical trials, obtaining regulatory approval for, and eventually commercializing, products that generate significant revenue. This will require us to be successful in a range of challenging activities, including completing preclinical studies and clinical trials of our product candidates, continuing to discover and develop additional product candidates, obtaining regulatory and marketing approval for any product candidates that successfully complete clinical trials, accessing manufacturing capacity, establishing marketing capabilities, commercializing and ultimately selling any products. We may never succeed in any or all of these activities and, even if we do, we may never generate revenue that is sufficient to achieve profitability. Even if we do achieve profitability, we may not be able to sustain profitability or meet outside expectations for our profitability. If we are unable to achieve or sustain profitability or to meet outside expectations for our profitability, the price of our common stock could be materially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numerous risks and uncertainties associated with pharmaceutical and biotechnology products and drug development, we are unable to accurately predict the timing or amount of increased expenses or when, or if, we will be able to achieve profitability. If we are required by the U.S. Food and Drug Administration (FDA) or comparable foreign regulatory authorities to perform studies in addition to those we currently anticipate, or if there are any delays in commencing or completing our clinical trials or the development of any of our product candidates, our expenses could increase and commercial revenue could be further delayed and become more uncertain, which will have a material adverse impact on our business.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substantial contingent consideration and related obligations from our acquisitions of assets and license and collaboration agreements may result in dilution to our stockholders, may be a drain on our cash resources, or may cause us to incur debt obligations to satisfy the payment obligations.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acquisitions of assets in late 2020, we entered into arrangements whereby the former stockholders of those companies are entitled to substantial contingent consideration payments upon the occurrence of certain events. For example, in connection with our acquisition of BlackThorn Therapeutics, Inc. (BlackThorn), a privately held company, the former BlackThorn stockholders are entitled to contingent consideration (i) with respect to NMRA-140, in the form of development and regulatory approval milestones of up to an aggregate amount of $365.0 million, including the potential for a milestone payment of $75.0 million upon completion of the Phase 2a clinical trial of NMRA-140 if certain success criteria are achieved, and sales-based milestones of up to an aggregate amount of $450.0 million and (ii) with respect to NMRA-511, in the form of development and regulatory approval milestones of up to an aggregate amount of $100.0 million and sales-based milestones of up to an aggregate amount of $100.0 million (BlackThorn Milestone Payments). With the exception of one development milestone in the amount of $10.0 million that is required to be settled in cash, the remaining BlackThorn Milestone Payments may be settled in cash or shares of our equity, or a combination of both, at our sole discretion. In connection with the BlackThorn acquisition, we also became obligated under its license agreement with TSRI for, among other obligations, development and regulatory milestone payments of up to $1.5 million in aggregate for the first product from each of the TSRI programs and commercial milestone payments of up to $3.5 million in aggregate for each occurrence.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connection with our acquisition of Alairion, Inc. (Alairion), a privately held company, the former Alairion stockholders, are entitled to contingent consideration in the form of future milestone payments of up to $168.5 million upon the achievement of specified development and commercialization events related to the Alairions in-process research and development related to its drug discovery and optimization technology platform, and up to an aggregate amount of $5.0 million payable to the former holders of Syllable Life Sciences,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 (Syllable) upon achievement of certain specified development milestones. At our sole discretion, the payment of such Alairion contingent consideration and Syllable contingent consideration may be settled in cash or shares of our equity, or a combination of both. We have recently paused the development of our NMRA-094 product candidate for the treatment of obstructive sleep apnea that we acquired from Alairion while we assess pre-IND feedback we received from the FDA relating to our focus on the low arousal threshold-obstructive sleep apnea subtype, and consider alternative options for the program. </w:t>
      </w:r>
    </w:p>
    <w:p>
      <w:pPr>
        <w:pStyle w:val="TextBody"/>
        <w:bidi w:val="0"/>
        <w:spacing w:before="200" w:after="0"/>
        <w:jc w:val="left"/>
        <w:rPr>
          <w:rFonts w:ascii="Times New Roman" w:hAnsi="Times New Roman"/>
          <w:sz w:val="20"/>
        </w:rPr>
      </w:pPr>
      <w:r>
        <w:rPr>
          <w:rFonts w:ascii="Times New Roman" w:hAnsi="Times New Roman"/>
          <w:sz w:val="20"/>
        </w:rPr>
        <w:t xml:space="preserve">Under the terms of our September 2021 license agreements with Amgen, we are obligated to pay Amgen up to an aggregate of $720.0 million in commercial milestone payments upon the achievement of certain sales thresholds and single digit royalties on potential future net sales. In addition, under the collaboration agreement with Amgen, we are committed to making quarterly payments to Amgen for their collaboration activities over the next three years totaling $62.5 million, or $75.0 million if certain progress milestones are achieved. </w:t>
      </w:r>
    </w:p>
    <w:p>
      <w:pPr>
        <w:pStyle w:val="TextBody"/>
        <w:bidi w:val="0"/>
        <w:spacing w:before="220" w:after="0"/>
        <w:jc w:val="left"/>
        <w:rPr>
          <w:rFonts w:ascii="Times New Roman" w:hAnsi="Times New Roman"/>
          <w:sz w:val="20"/>
        </w:rPr>
      </w:pPr>
      <w:r>
        <w:rPr>
          <w:rFonts w:ascii="Times New Roman" w:hAnsi="Times New Roman"/>
          <w:sz w:val="20"/>
        </w:rPr>
        <w:t xml:space="preserve">Under the terms of our February 2022 license agreement with Vanderbilt University (Vanderbilt), we are obligated to pay Vanderbilt up to an aggregate of $422.0 million in development and commercial milestone payments upon the achievement of certain development milestones and sales thresholds, and mid-single digit royalties on potential future net sales. </w:t>
      </w:r>
    </w:p>
    <w:p>
      <w:pPr>
        <w:pStyle w:val="TextBody"/>
        <w:bidi w:val="0"/>
        <w:spacing w:before="220" w:after="0"/>
        <w:jc w:val="left"/>
        <w:rPr>
          <w:rFonts w:ascii="Times New Roman" w:hAnsi="Times New Roman"/>
          <w:sz w:val="20"/>
        </w:rPr>
      </w:pPr>
      <w:r>
        <w:rPr>
          <w:rFonts w:ascii="Times New Roman" w:hAnsi="Times New Roman"/>
          <w:sz w:val="20"/>
        </w:rPr>
        <w:t xml:space="preserve">In order to satisfy our obligations to make these payments, if and when they are triggered, we may need to issue equity or convertible debt securities that may cause dilution to our stockholders, or we may use our existing cash or incur debt obligations to satisfy the payment obligations in cash, which may adversely affect our financial position. In addition, these obligations may impede our ability to raise money in future public offerings of debt or equity securities or to obtain a third party line of credit. </w:t>
      </w:r>
    </w:p>
    <w:p>
      <w:pPr>
        <w:pStyle w:val="TextBody"/>
        <w:bidi w:val="0"/>
        <w:spacing w:before="220" w:after="0"/>
        <w:jc w:val="left"/>
        <w:rPr>
          <w:rFonts w:ascii="Times New Roman" w:hAnsi="Times New Roman"/>
          <w:sz w:val="20"/>
        </w:rPr>
      </w:pPr>
      <w:r>
        <w:rPr>
          <w:rFonts w:ascii="Times New Roman" w:hAnsi="Times New Roman"/>
          <w:sz w:val="20"/>
        </w:rPr>
        <w:t xml:space="preserve">See the sections titled Managements Discussion and Analysis of Financial Condition and Results of OperationsRecent Acquisitions of Assets and Managements Discussion and Analysis of Financial Condition and Results of OperationsStrategic License and Collaboration Agreements elsewhere in this prospectus for additional information regarding these agreements. </w:t>
      </w:r>
    </w:p>
    <w:p>
      <w:pPr>
        <w:pStyle w:val="TextBody"/>
        <w:bidi w:val="0"/>
        <w:spacing w:before="220" w:after="0"/>
        <w:jc w:val="left"/>
        <w:rPr>
          <w:rFonts w:ascii="Times New Roman" w:hAnsi="Times New Roman"/>
          <w:b/>
          <w:i/>
          <w:sz w:val="20"/>
        </w:rPr>
      </w:pPr>
      <w:r>
        <w:rPr>
          <w:rFonts w:ascii="Times New Roman" w:hAnsi="Times New Roman"/>
          <w:b/>
          <w:i/>
          <w:sz w:val="20"/>
        </w:rPr>
        <w:t xml:space="preserve">Our limited operating history may make it difficult to evaluate our prospects and likelihood of success. </w:t>
      </w:r>
    </w:p>
    <w:p>
      <w:pPr>
        <w:pStyle w:val="TextBody"/>
        <w:bidi w:val="0"/>
        <w:spacing w:before="240" w:after="0"/>
        <w:jc w:val="left"/>
        <w:rPr>
          <w:rFonts w:ascii="Times New Roman" w:hAnsi="Times New Roman"/>
          <w:sz w:val="20"/>
        </w:rPr>
      </w:pPr>
      <w:r>
        <w:rPr>
          <w:rFonts w:ascii="Times New Roman" w:hAnsi="Times New Roman"/>
          <w:sz w:val="20"/>
        </w:rPr>
        <w:t xml:space="preserve">We are a clinical-stage biotechnology company with a limited operating history upon which you can evaluate our business and prospects. Since our inception in November 2019, we have devoted substantially all of our resources and efforts to building our organization, acquiring technologies and companies, developing our precision neuroscience platform, identifying and developing potential product candidates, executing preclinical studies and clinical trials, organizing and staffing our company, business planning, establishing, maintaining and protecting our intellectual property portfolio, raising capital and providing general and administrative support for these operations. All of our product candidates are in either early clinical development or in preclinical stages of development, and we have not yet demonstrated our ability to successfully complete any late-stage or registration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period to period due to a variety of factors, many of which are beyond our control. Consequently, any predictions you may make about our future success or viability may not be as accurate as they could be if we had a longer operating history. </w:t>
      </w:r>
    </w:p>
    <w:p>
      <w:pPr>
        <w:pStyle w:val="TextBody"/>
        <w:bidi w:val="0"/>
        <w:spacing w:before="220" w:after="0"/>
        <w:jc w:val="left"/>
        <w:rPr>
          <w:rFonts w:ascii="Times New Roman" w:hAnsi="Times New Roman"/>
          <w:sz w:val="20"/>
        </w:rPr>
      </w:pPr>
      <w:r>
        <w:rPr>
          <w:rFonts w:ascii="Times New Roman" w:hAnsi="Times New Roman"/>
          <w:sz w:val="20"/>
        </w:rPr>
        <w:t xml:space="preserve">In addition, we may encounter unforeseen expenses, difficulties, complications, delays and other known and unknown factors and risks frequently experienced by clinical-stage biotechnology and biopharmaceutical companies in rapidly evolving fields. We also may need to transition from a company with a research focus to a company capable of supporting commercial activities. If we do not adequately address these risks and difficulties or successfully make such a transition, it could have a material adverse effect on our business. </w:t>
      </w:r>
    </w:p>
    <w:p>
      <w:pPr>
        <w:pStyle w:val="TextBody"/>
        <w:bidi w:val="0"/>
        <w:spacing w:before="220" w:after="0"/>
        <w:jc w:val="left"/>
        <w:rPr>
          <w:rFonts w:ascii="Times New Roman" w:hAnsi="Times New Roman"/>
          <w:b/>
          <w:i/>
          <w:sz w:val="20"/>
        </w:rPr>
      </w:pPr>
      <w:r>
        <w:rPr>
          <w:rFonts w:ascii="Times New Roman" w:hAnsi="Times New Roman"/>
          <w:b/>
          <w:i/>
          <w:sz w:val="20"/>
        </w:rPr>
        <w:t xml:space="preserve">Even if this offering is successful, we will require additional funding in order to finance operations. If we are unable to raise capital when needed, or on acceptable terms, we could be forced to delay, reduce or eliminate our product development programs or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Developing biopharmaceutical products, including conducting preclinical studies and clinical trials, is a very time-consuming, expensive and uncertain process that takes years to complete. We expect our expenses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continue to increase in connection with our ongoing activities, particularly as we conduct clinical trials of, and seek regulatory and marketing approval for, our product candidates. Even if one or more of our product candidates is approved for commercial sale, we anticipate incurring significant costs associated with commercializing any approved product candidate. To date, we have funded our operations principally through private financings. We expect our expenses to increase in connection with our ongoing activities, particularly as we continue the preclinical and clinical development of our product candidates, continue to advance our precision neuroscience platform, commence additional preclinical studies and clinical trials, and continue to identify and develop additional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we obtain regulatory approval for any of our product candidates, we expect to incur significant commercialization expenses related to product manufacturing, marketing, sales and distribution. Furthermore, upon the completion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regulatory approval or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2022, we had $363.4 million of cash, cash equivalents and marketable securities. Based upon our current operating plan, we believe that our existing cash, cash equivalents and marketable securities as of the date of this prospectus will enable us to fund our operating expenses and capital expenditure requirements through at least the next 12 months from the date of this offering. In addition, based upon our current operating plan, we believe that the net proceeds from this offering together with our existing cash, cash equivalents and marketable securities will enable us to fund our operating expenses and capital expenditure requirements through at least the next              months from the date of this offering. We have based this estimate on assumptions that may prove to be wrong, and we could utilize our available capital resources sooner than we expect. We may also raise additional financing on an opportunistic basis in the future. We expect to continue to expend significant resources for the foreseeable future.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future capital requirements will depend on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timing, progress, costs and results of discovery, preclinical development and clinical trials for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clinical trials required for regulatory approval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precision neuroscience platform at identifying target patient populations and utilizing the platform to enrich our patient population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review of any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acquiring or licensing additional product candidates, technologies or assets, including the timing and amount of any future milestone, royalty or other payments due in connection with such acquisition or license;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manufacturing clinical and commercial supplies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access additional multimodal patient datasets;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existing, and establish new, strategic collaborations or other arrangements and the financial terms of any such agreements, including the timing and amount of any future milestone, royalty or other payments due under any such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future commercialization activities, including manufacturing, marketing, sales and distribution, for any of our product candidates for which we receive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revenue, if any, received from commercial sales of our product candidates for which we receive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to attract, hire and retain skilled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operating as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 commercially viable pricing structure and obtain approval for coverage and adequate reimbursement from third-party and government payers;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addressing any potential interruptions or delays resulting from factors related to the COVID-19 pandemic;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technological and market developments;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we acquire or invest in business, products and technologies.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ability to raise additional funds will depend on financial, economic, political and market conditions and other factors, over which we may have no or limited control. Our ability to raise additional funds may be adversely impacted by potential worsening global economic conditions and the recent disruptions to, and volatility in, the credit and financial markets in the United States and worldwide resulting from the ongoing COVID-19 pandemic.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 </w:t>
      </w:r>
    </w:p>
    <w:p>
      <w:pPr>
        <w:pStyle w:val="TextBody"/>
        <w:bidi w:val="0"/>
        <w:spacing w:before="240" w:after="0"/>
        <w:jc w:val="left"/>
        <w:rPr>
          <w:rFonts w:ascii="Times New Roman" w:hAnsi="Times New Roman"/>
          <w:sz w:val="20"/>
        </w:rPr>
      </w:pPr>
      <w:r>
        <w:rPr>
          <w:rFonts w:ascii="Times New Roman" w:hAnsi="Times New Roman"/>
          <w:sz w:val="20"/>
        </w:rPr>
        <w:t xml:space="preserve">Accordingly, we will need to continue to rely on additional financing to achieve our business objectives and adequate additional financing may not be available to us on acceptable terms, or at all. </w:t>
      </w:r>
    </w:p>
    <w:p>
      <w:pPr>
        <w:pStyle w:val="TextBody"/>
        <w:bidi w:val="0"/>
        <w:spacing w:before="240" w:after="0"/>
        <w:jc w:val="left"/>
        <w:rPr>
          <w:rFonts w:ascii="Times New Roman" w:hAnsi="Times New Roman"/>
          <w:b/>
          <w:i/>
          <w:sz w:val="20"/>
        </w:rPr>
      </w:pPr>
      <w:r>
        <w:rPr>
          <w:rFonts w:ascii="Times New Roman" w:hAnsi="Times New Roman"/>
          <w:b/>
          <w:i/>
          <w:sz w:val="20"/>
        </w:rPr>
        <w:t xml:space="preserve">Raising additional capital may cause dilution to our stockholders, restrict our operations or require us to relinquish rights to our technologies or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Until such time, if ever, as we can generate substantial product revenue, we expect to finance our operations with our existing cash, cash equivalents and marketable securities, the net proceeds from this offering, any future equity or debt financings and upfront and milestone and royalties payments, if any, received under any future licenses or collaborations. If we raise additional capital through the sale of equity or convertible debt securities, your ownership interest will be diluted, and the terms of these securities may include liquidation or other preferences that adversely affect your rights as a holder of our common stock. In addition, the possibility of such issuance may cause the market price of our common stock to decline. 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If we raise additional funds through collaborations, strategic alliances or marketing, distribution or licensing arrangements with third parties,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Any of these occurrences may have a material adverse effect on our business, operating results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Business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are unable to successfully identify, develop and commercialize any product candidates, or experience significant delays in doing so, our business, financial condition and results of operations will be materially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generate revenue from sales of any of our approved product candidates, which we do not expect will occur for at least the next several years, if ever, depends heavily on the successful identification, development, regulatory approval and eventual commercialization of any product candidates, which may never occur. We have never generated revenue from sales of any products, and we may never be able to develop, obtain regulatory approval for, or commercialize, a marketable product. All of our product candidates will require significant clinical development, regulatory approval, establishment of sufficient manufacturing supply, including commercial manufacturing supply, and may require us to build a commercial organization and make substantial investment and significant marketing efforts before we generate any revenue from product sales. We are not permitted to market or promote any of our product candidates before we receive regulatory approval from the FDA or comparable foreign regulatory authorities, and we may never receive such regulatory approval for any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successful development of our product candidates will depend on several factors, including, but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and timely completion of preclinical studies and clinical trials for which the FDA, or any comparable foreign regulatory authority, agree with the design, endpoints, or implementation;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sufficiency of our financial and other resources to complete the necessary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receiving regulatory approvals or authorizations for conducting future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initiation and successful patient enrollment in, and completion of, clinical trials on a timely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demonstrate to the satisfaction of the FDA or any comparable foreign regulatory authority that the applicable product candidate is safe and effective as for its intended uses;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demonstrate to the satisfaction of the FDA or any comparable foreign regulatory authority that the applicable product candidates risk-benefit ratio for its proposed indication is acceptable;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timely receipt of marketing approvals for our product candidates from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addressing any potential interruptions or delays resulting from factors related to the COVID-19 pandemic;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of any required post-marketing approval commitments to applicable regulatory authorities;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scaling up and scaling out, either alone or with third-party manufacturers, manufacturing capabilities of clinical supply for our clinical trials and commercial manufacturing, if any of our product candidates are approved.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do not achieve one or more of these factors in a timely manner or at all, we could experience significant delays or an inability to successfully develop and commercialize our product candidates, which would materially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Additionally, clinical or regulatory setbacks to other companies developing similar products or within adjacent fields, including those in gene editing and gene therapy and allogenic cell-based therapies, may impact the clinical development of and regulatory pathway for our current or future product candidates, or may negatively impact the perceptions of value or risk of our technologies.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were founded with a mission to pioneer a new era of precision medicines for the treatment of neuropsychiatric disorders and neurodegenerative diseases, a field that has seen very limited success in drug development. The ability to successfully develop drugs in this field is extremely difficult and is subject to a number of unique challenges. </w:t>
      </w:r>
    </w:p>
    <w:p>
      <w:pPr>
        <w:pStyle w:val="TextBody"/>
        <w:bidi w:val="0"/>
        <w:spacing w:before="240" w:after="0"/>
        <w:jc w:val="left"/>
        <w:rPr>
          <w:rFonts w:ascii="Times New Roman" w:hAnsi="Times New Roman"/>
          <w:sz w:val="20"/>
        </w:rPr>
      </w:pPr>
      <w:r>
        <w:rPr>
          <w:rFonts w:ascii="Times New Roman" w:hAnsi="Times New Roman"/>
          <w:sz w:val="20"/>
        </w:rPr>
        <w:t xml:space="preserve">Drug development in the field of brain diseases, and neuropsychiatric disorders and neurodegenerative diseases in particular, has seen very limited success historically. We estimate over $110 billion have been spent on neuroscience research and development since 2019 in the United States alone, representing approximately 33% of all disease-specific spending. However, only approximately 12% of all new therapies approved during that time period have been for the treatment of brain diseases. From 2006 to 2015, clinical trial success rates for new drug candidates targeting broad neuropsychiatric disorders and other neuro-related diseases were approximately 6% and 8%, respectively, compared to success rates as high as 26% for certain other indications. Developing a product candidate for treatment of these brain diseases is extremely difficult and subjects us to a number of unique challenges, including obtaining regulatory approval from the FDA and other regulatory authorities who have only a limited set of precedents to rely on. The scientific research that forms the basis of our efforts to develop product candidates with our precision neuroscience platform is still ongoing, and we have not yet generated any clinical evidence to support the feasibility of developing therapeutic treatments based on our platform. Further, we are not aware of any FDA approved therapeutics utilizing the components of this data science based platform. </w:t>
      </w:r>
    </w:p>
    <w:p>
      <w:pPr>
        <w:pStyle w:val="TextBody"/>
        <w:bidi w:val="0"/>
        <w:spacing w:before="240" w:after="0"/>
        <w:jc w:val="left"/>
        <w:rPr>
          <w:rFonts w:ascii="Times New Roman" w:hAnsi="Times New Roman"/>
          <w:sz w:val="20"/>
        </w:rPr>
      </w:pPr>
      <w:r>
        <w:rPr>
          <w:rFonts w:ascii="Times New Roman" w:hAnsi="Times New Roman"/>
          <w:sz w:val="20"/>
        </w:rPr>
        <w:t xml:space="preserve">Given the novelty of our data science platform and technologies, we intend to work closely with the FDA and comparable foreign regulatory authorities to perform the requisite scientific analyses and evaluation of our methods in an effort to obtain regulatory approval for our product candidates; however, due to a lack of comparable experiences, the process of developing our product candidates may be more complex and time-consuming relative to other more well-known approaches to drug development. We cannot be certain that our approach will lead to the development of product candidates that effectively and safely address the underlying brain diseases. </w:t>
      </w:r>
    </w:p>
    <w:p>
      <w:pPr>
        <w:pStyle w:val="TextBody"/>
        <w:bidi w:val="0"/>
        <w:spacing w:before="240" w:after="0"/>
        <w:jc w:val="left"/>
        <w:rPr>
          <w:rFonts w:ascii="Times New Roman" w:hAnsi="Times New Roman"/>
          <w:sz w:val="20"/>
        </w:rPr>
      </w:pPr>
      <w:r>
        <w:rPr>
          <w:rFonts w:ascii="Times New Roman" w:hAnsi="Times New Roman"/>
          <w:sz w:val="20"/>
        </w:rPr>
        <w:t xml:space="preserve">Moreover, given the history of clinical failures in this field, future clinical or regulatory failures by us or others may have result in further negative perception of the likelihood of success in this field, which may significantly and adversely affect the market price of our common stock.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precision neuroscience platform is based on a novel approach and unique technologies that are collectively unproven and may never prove to be successful or only provide varying degrees of success, including the ability to consistently identify and match target or distinct patient populations with precision medicines. </w:t>
      </w:r>
    </w:p>
    <w:p>
      <w:pPr>
        <w:pStyle w:val="TextBody"/>
        <w:bidi w:val="0"/>
        <w:spacing w:before="240" w:after="0"/>
        <w:jc w:val="left"/>
        <w:rPr>
          <w:rFonts w:ascii="Times New Roman" w:hAnsi="Times New Roman"/>
          <w:sz w:val="20"/>
        </w:rPr>
      </w:pPr>
      <w:r>
        <w:rPr>
          <w:rFonts w:ascii="Times New Roman" w:hAnsi="Times New Roman"/>
          <w:sz w:val="20"/>
        </w:rPr>
        <w:t xml:space="preserve">Our approach aims to redefine neuroscience research and development. We plan to do this by using patient enrichment strategies developed from our Precision Toolbox of advanced data science capabilities and translational neuroscience tools and methods to cut through patient heterogeneity in order to match defined patient populations with targeted therapeutics designed to address the underlying drivers of their disease. We have not yet proven that this strategy can be successful. For example, we may not be able to accurately identify enriched patient populations using our platform on a consistent basis, or establish feasible enrollment screening criteria or recruit sufficient eligible patients meeting our screening criteria for our clinical trials to be able to efficiently and effectively conduct a trial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a key element of our strategy is to use and expand our precision data science platform to build a pipeline of product candidates through (i) the development of drug signatures, (ii) the formation of groups of patients with shared features or characteristics, which we refer to as patient clusters, and (iii) the alignment of drug signatures with optimal patient clusters to form a Precision Phenotype as the basis for predictive enrichment. We have not yet generated any clinical evidence that we can successfully use our precision neuroscience platform to identify targets that can be safely or effectively drugged using our product candidates. The potential product candidates that we identify may not be suitable for clinical development, including as a result of being shown to have harmful side effects or other characteristics that indicate that they are unlikely to be approvable or marketable products that will receive marketing approval and achieve market acceptance.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while we may successfully define a patient population for a product candidate in a disease, such success may not be replicated across other diseases or product candidates. Given the complexity and variability of brain diseases, our approach may have varying degrees of success.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have invested and expect to continue to invest in acquiring product candidates, technologies and assets, as well as research and development efforts, that further enhance our product pipeline and precision neuroscience platform. Such investments may affect our operating results, and, if the return on these investments is lower or develops more slowly than we expect, our revenue and operating results may suffer. </w:t>
      </w:r>
    </w:p>
    <w:p>
      <w:pPr>
        <w:pStyle w:val="TextBody"/>
        <w:bidi w:val="0"/>
        <w:spacing w:before="240" w:after="0"/>
        <w:jc w:val="left"/>
        <w:rPr>
          <w:rFonts w:ascii="Times New Roman" w:hAnsi="Times New Roman"/>
          <w:sz w:val="20"/>
        </w:rPr>
      </w:pPr>
      <w:r>
        <w:rPr>
          <w:rFonts w:ascii="Times New Roman" w:hAnsi="Times New Roman"/>
          <w:sz w:val="20"/>
        </w:rPr>
        <w:t xml:space="preserve">We have invested and expect to continue to invest in acquiring potential product candidates to enhance our product pipeline and technologies and assets to advance our precision neuroscience approach. These activities and investments involve significant time, risks, and uncertainties, including the risk that the associated expenses may affect our operating results, that such investments may not generate products that can be successfully developed or technologies that can be effectively integrated into or enhance our precision neuroscience platform, and cause significant drains on capital resources and commit us to substantial financial obligations. While we believe that we must continue to invest a significant amount of time and resources in the development of our product pipeline and precision neuroscience platform, if we do not achieve the benefits anticipated from these investments, or if the achievement of these benefits is delayed, our business, operating results and prospects may be materially adversely affected.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initiation of the Phase 2a trial of NMRA-140 occurred prior to our acquisition of BlackThorn, and will provide limited evidence to support any conclusion with regard to the precision neuroscience platform and approach we have subsequently developed. </w:t>
      </w:r>
    </w:p>
    <w:p>
      <w:pPr>
        <w:pStyle w:val="TextBody"/>
        <w:bidi w:val="0"/>
        <w:spacing w:before="240" w:after="0"/>
        <w:jc w:val="left"/>
        <w:rPr>
          <w:rFonts w:ascii="Times New Roman" w:hAnsi="Times New Roman"/>
          <w:sz w:val="20"/>
        </w:rPr>
      </w:pPr>
      <w:r>
        <w:rPr>
          <w:rFonts w:ascii="Times New Roman" w:hAnsi="Times New Roman"/>
          <w:sz w:val="20"/>
        </w:rPr>
        <w:t xml:space="preserve">When we acquired BlackThorn in September 2020, BlackThorn had already initiated the Phase 2a trial of NMRA-140, in adult patients with MDD utilizing their specific computational psychiatry and data platform to support patient stratification and objective clinical trial endpoints. Although our approach leverages parts of the platform we acquired from BlackThorn, this trial was initiated prior to the development and implementation of our full precision neuroscience platform and thus before the identification of a Precision Phenotype for evaluation of the activity of NMRA-140. We subsequently modified the trial to generate a multimodal drug signature by increasing the target enrollment to 204 patients and adding additional digital instrumentation tools to further augment and support our precision neuroscience approach, and we plan to leverage the multimodal drug signature from this trial to define a Precision Phenotype for future development of NMRA-140. However, because the trial was initiated by BlackThorn prior to the development and application of our Precision Phenotyping approach, the actual data results from the trial may not be reflective of the breadth of our full precision neuroscience platform or provide evidence to support our approach, which may not be fully understood by some investors or market participants, potentially leading to negative effects on our stock price.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have experienced rapid growth since our inception in November 2019, and expect to continue to grow in the future. If we fail to effectively manage our growth, we may not be able to execute on our business objectives. </w:t>
      </w:r>
    </w:p>
    <w:p>
      <w:pPr>
        <w:pStyle w:val="TextBody"/>
        <w:bidi w:val="0"/>
        <w:spacing w:before="240" w:after="0"/>
        <w:jc w:val="left"/>
        <w:rPr>
          <w:rFonts w:ascii="Times New Roman" w:hAnsi="Times New Roman"/>
          <w:sz w:val="20"/>
        </w:rPr>
      </w:pPr>
      <w:r>
        <w:rPr>
          <w:rFonts w:ascii="Times New Roman" w:hAnsi="Times New Roman"/>
          <w:sz w:val="20"/>
        </w:rPr>
        <w:t xml:space="preserve">We have experienced rapid growth since our inception in November 2019, and expect to continue to grow in the future. As of March 31, 2021, we had 60 full-time employees and, as of March 31, 2022, we had grown to 94 full-time employees. We expect continued growth in the number of our employees and the scope of our operations, particularly as we continue our current and future clinical trials and preclinical studies, initiate and conduct investigational new drug (IND)-enabling studies and build out our clinical operations, regulatory, quality and manufacturing infrastructure. In addition, to headcount growth, we have made a number of acquisitions of assets, and entered into a significant strategic collaboration with Amgen and in-licensed programs from Amgen and Vanderbilt. These activities have added significant complexity to our organization, including a number of clinical and preclinical programs that we are now developing. These programs require significant infrastructure and headcount to effectively prosecute.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manage our anticipated future growth, we will continue to implement and improve our managerial, operational, and financial systems, expand our facilities, and continue to recruit and train additional qualified personnel. Due to the complexity in managing a company that has scaled very quickly and anticipates continued growth, we may not be able to scale our headcount and operations effectively to manage the expansion of our product pipeline or recruit and train the necessary additional personnel. The expansion of our operations may lead to significant costs and may divert our management and business development resources. Any inability to manage growth could delay the execution of our business plans or disrupt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future growth imposes significant added responsibilities on members of management, including: identifying, recruiting, integrating, maintaining, and motivating additional employees; managing our internal development efforts effectively, including the clinical and FDA review process for our product candidates, while complying with our contractual obligations to contractors and other third parties; and improving and scaling our operational, financial and management controls, reporting systems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We currently rely on certain independent organizations, advisors, and consultants to provide certain services, including strategic, financial, business development, and research and development services, as well as certain aspects of regulatory approval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or contract manufacturing organizations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reasonable terms, or at all.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ability to develop our data driven, precision neuroscience platform and products and our future growth depends on attracting, hiring and retaining our key personnel and recruiting additional qualified personnel. </w:t>
      </w:r>
    </w:p>
    <w:p>
      <w:pPr>
        <w:pStyle w:val="TextBody"/>
        <w:bidi w:val="0"/>
        <w:spacing w:before="240" w:after="0"/>
        <w:jc w:val="left"/>
        <w:rPr>
          <w:rFonts w:ascii="Times New Roman" w:hAnsi="Times New Roman"/>
          <w:sz w:val="20"/>
        </w:rPr>
      </w:pPr>
      <w:r>
        <w:rPr>
          <w:rFonts w:ascii="Times New Roman" w:hAnsi="Times New Roman"/>
          <w:sz w:val="20"/>
        </w:rPr>
        <w:t xml:space="preserve">Our success depends upon the continued contributions of our key management, scientific, and data science personnel, many of whom have been instrumental for us and have substantial experience with our data driven, precision neuroscience platform, underlying technologies and related product candidates. Given the specialized nature of our platform and brain diseases, there is an inherent scarcity of experienced personnel in these fields. As we continue developing our product candidates in our pipeline, we will require personnel with medical, scientific, or technical qualifications specific to each program. The loss of key personnel, in particular our senior data scientists and neuroscientists, would delay our research and development activities. Despite our efforts to retain valuable employees, members of our team may terminate their employment with us on short notice. The competition for qualified personnel in the biotechnology and pharmaceutical industries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would have a material adverse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research and development programs, data science and clinical operations efforts depend on our ability to attract and retain highly skilled scientists, data scientists, and engineers, particularly in Massachusetts and California. There is powerful competition for skilled personnel in these geographical markets, and we have from time to time experienced, and we expect to continue to experience, difficulty in hiring and retaining employees with appropriate qualifications on acceptable terms, or at all, particularly in the data science field.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recruit and retain highly skilled employees. If we fail to attract new personnel or fail to retain and motivate our current personnel, our business and future growth prospects would be harmed.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not realize the benefits of technologies that we have acquired, or will acquire in the future, or other strategic transactions that we have or will consummate. </w:t>
      </w:r>
    </w:p>
    <w:p>
      <w:pPr>
        <w:pStyle w:val="TextBody"/>
        <w:bidi w:val="0"/>
        <w:spacing w:before="240" w:after="0"/>
        <w:jc w:val="left"/>
        <w:rPr>
          <w:rFonts w:ascii="Times New Roman" w:hAnsi="Times New Roman"/>
          <w:sz w:val="20"/>
        </w:rPr>
      </w:pPr>
      <w:r>
        <w:rPr>
          <w:rFonts w:ascii="Times New Roman" w:hAnsi="Times New Roman"/>
          <w:sz w:val="20"/>
        </w:rPr>
        <w:t xml:space="preserve">Our platform represents an aggregation of innovation and technology from multiple companies and academic institutions, including BlackThorn, Syllable and Alairion as well as Amgen, TSRI, Harvard and Vanderbilt. Further, a key component of our strategy is to acquire and in-license assets and technologies to support the growth of our product pipeline and to enhance our precision neuroscience platform. As such, we actively evaluate various strategic transactions on an ongoing basis. We may acquire other assets, businesses, products or technologies, as well as pursue joint ventures or investments in complementary businesses. The success of our strategic transactions and any future strategic transactions depends on the risks and uncertainties involved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unanticipated liabilities related to acquired companies or joint ventures;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integrating acquired personnel, technologies, and operations into our existing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retention of key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diversion of management time and focus from operating our business to the management of acquisition and integration efforts, strategic alliances or joint ventures challenges;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our expenses and reductions in our cash available for operations and other uses;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 in our relationships with collaborators or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write-offs or impairment charges relating to acquired businesses or joint ventures;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challenges resulting from the COVID-19 pandemic making it more difficult to integrate acquisitions into our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of these risks or uncertainties occur, we may not realize the anticipated benefit of any acquisition or strategic transaction. For example, less than one year following the acquisition of Propellex, we terminated and are no longer developing the program we acquired from Propellex. We have recently paused the development of our NMRA-094 product candidate for the treatment of obstructive sleep apnea that we acquired from Alairion while we assess pre-IND feedback we received from the FDA relating to our focus on the low arousal threshold-obstructive sleep apnea subtype, and consider alternative options for the program. Additionally, foreign acquisitions and joint ventures are subject to additional risks, including those related to integration of operations across different cultures and languages, currency risks, potentially adverse tax consequences of overseas operations and the particular economic, political and regulatory risks associated with specific countries. </w:t>
      </w:r>
    </w:p>
    <w:p>
      <w:pPr>
        <w:pStyle w:val="TextBody"/>
        <w:bidi w:val="0"/>
        <w:spacing w:before="240" w:after="0"/>
        <w:jc w:val="left"/>
        <w:rPr>
          <w:rFonts w:ascii="Times New Roman" w:hAnsi="Times New Roman"/>
          <w:sz w:val="20"/>
        </w:rPr>
      </w:pPr>
      <w:r>
        <w:rPr>
          <w:rFonts w:ascii="Times New Roman" w:hAnsi="Times New Roman"/>
          <w:sz w:val="20"/>
        </w:rPr>
        <w:t xml:space="preserve">Future acquisitions or dispositions could result in potentially dilutive issuances of our equity securities, the incurrence of debt, contingent liabilities or amortization expenses, impairments or write-offs of goodwill or impairments and write-offs of in-process research and development assets, any of which could harm our financial condition.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have relied on, and in the future will continue to rely on, third-party datasets and databases to build and enhance our precision neuroscience platform data science. If we are not able to access additional data sets or develop enhancements to our precision neuroscience platform, our ability to execute on our strategy may be limited.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execute on our data driven drug development strategy depends in large part on our ability to enhance and improve our precision neuroscience platform. As part of this approach, we interrogate public, partnered and proprietary datasets across neuropsychiatric and neurodegenerative diseases, currently encompassing genetic, imaging, electroencephalogram (EEG), digital and clinical data. We rely on these datasets and data analytics for identifying or validating some of our biomarker-target relationships. The success of our precision neuroscience platform and any enhancement to our platform depends on several factors,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access to and generation of additional multimodal patient datasets, whether public, partnered or proprietary, development of more advanced proprietary machine learning capabilities and increased computational storage and processing capacity. If we are unable to access additional datasets or they are not available on acceptable terms, or if we otherwise unsuccessful in enhancing our platform, we may be limited in our precision neuroscience capabilities and not be able to fully utilize a data driven precision medicine drug development strategy. </w:t>
      </w:r>
    </w:p>
    <w:p>
      <w:pPr>
        <w:pStyle w:val="TextBody"/>
        <w:bidi w:val="0"/>
        <w:spacing w:before="240" w:after="0"/>
        <w:jc w:val="left"/>
        <w:rPr>
          <w:rFonts w:ascii="Times New Roman" w:hAnsi="Times New Roman"/>
          <w:sz w:val="20"/>
        </w:rPr>
      </w:pPr>
      <w:r>
        <w:rPr>
          <w:rFonts w:ascii="Times New Roman" w:hAnsi="Times New Roman"/>
          <w:sz w:val="20"/>
        </w:rPr>
        <w:t xml:space="preserve">In addition, access to public data sets may be limited by governmental or other restrictions, including restrictions on commercial application by government or government sponsored organizations or privacy related restrictions. See the risk factor We face potential liability related to the privacy of health information we utilize in the development of product candidates, as well as information we obtain from clinical trials sponsored by us from research institutions and directly from individuals for additional information on privacy related considerations.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ongoing pandemic caused by COVID-19, could materially and adversely affect our preclinical studies and development, any clinical trials we subsequently commence, and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2019, the coronavirus disease, COVID-19, was identified in Wuhan, China. Since then, COVID-19 has spread globally. In March 2020, the World Health Organization declared COVID-19 a global pandemic and the United States declared a national emergency with respect to COVID-19. In response to the COVID-19 pandemic, shelter in place orders and other public health guidance measures have been implemented across much of the United States, including in the locations of our offices and those of key vendors and partners. As a result of the COVID-19 pandemic, or similar pandemics, and related shelter in place orders and other public health guidance measures, we have and may in the future experience disruptions that could materially and adversely impact our preclinical studies and development, any clinical trials we subsequently commence, and our business, financial condition, and results of operations. Potential disruptions to the development of our product candidates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interruption of key clinical trial activities, such as clinical trial site data monitoring and efficacy and safety data collection, processing and analyses, due to limitations on travel imposed or recommended by federal, state, or local governments, employers and others or interruption of clinical trial subject visits, which may impact the collection and integrity of subject data and clinical trial endpoints;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or difficulties in initiating or expanding clinical trials, including delays or difficulties with clinical site initiation and recruiting clinical site investigators and clinical site staff;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or difficulties in enrolling and retaining patients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rates of patients withdrawing from our clinical trials following enrollment as a result of contracting COVID-19 or other health conditions or being forced to quarantine;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interruption of, or delays in receiving, supplies of our product candidates from our contract manufacturing organizations due to staffing shortages, production slowdowns, or stoppages and disruptions in materials and reagents;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diversion of healthcare resources away from the conduct of clinical trials, including the diversion of hospitals serving as our clinical trial sites and hospital staff supporting the conduct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interruption or delays in the operations of the FDA and comparable foreign regulatory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regulations as part of a response to the COVID-19 pandemic which may require us to change the ways in which our clinical trials are conducted, which may result in unexpected costs, or to discontinue the clinical trials altogether;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receiving approval from local regulatory authorities to initiate our planned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or disruptions in preclinical experiments and IND-enabling studies due to restrictions of on-site staff, limited or no access to animal facilities, ongoing supply chain issues that are impacting supplies of laboratory reagants and unforeseen circumstances at contract research organizations (CROs) and vendors;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employee or other resources that would otherwise be focused on the conduct of our and preclinical work, including because of sickness of employees or their families, the desire of employees to avoid travel or contact with large groups of people, an increased reliance on working from home, school closures, or mass transit disruptions;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necessary interactions with regulators, ethics committees, and other important agencies and contractors due to limitations in employee resources or forced furlough of government or contractor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in maintaining our corporate culture that facilitates the transfer of institutional knowledge within our organization and fosters innovation, teamwork, and a focus on execution;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employee resources that would otherwise be focused on the conduct of our preclinical studies and clinical trials, including because of sickness of employees or their families or the desire of employees to avoid contact with large groups of people;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interruption of, or delays in receiving, supplies of our product candidates from our contract manufacturing organizations due to staffing shortages, production slowdowns or stoppages and disruptions in delivery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or comparable regulatory authorities to accept data from clinical trials in affected geographies;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delays, difficulties or interruptions as a result of current or future shutdowns due to the COVID-19 pandemic in countries where we or our third-party service providers operate.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date, the COVID-19 pandemic has delayed patient enrollment in our ongoing clinical trials, caused difficulties in accessing animal models for our preclinical evaluation of our product candidates and has recently posed challenges to the development timeline of preclinical studies and manufacturing services provided to us by third party vendors located in China. The ongoing pandemic may further delay our initiation of preclinical studies and clinical trials, interrupt our supply chain, disrupt regulatory activities or have other adverse effects on our business and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COVID-19 pandemic continues to rapidly evolve. Although many countries, including certain countries in Europe and the United States, have lifted certain restrictions on travel, rises in new cases have caused certain countries to re-initiate restrictions. The extent to which the outbreak may affect our preclinical studies, clinical trials, business, financial condition and results of operations will depend on future developments, which are highly uncertain and cannot be predicted at this time, such as the ultimate geographic spread of the disease, the duration of the outbreak, travel restrictions and actions to contain the outbreak or treat its impact, such as social distancing and quarantines or lock-downs in the United States and other countries, business closures or business disruptions and the effectiveness of actions taken in the United States and other countries to contain and treat the disease. Additionally, we are unable to predict if a different pandemic could have similar or different impacts on our business, financial condition or share price. Future developments in these and other areas present material uncertainty and risk with respect to our clinical trials, business, financial condition and results of operations.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operate in highly competitive and rapidly changing industries, which may result in others discovering, developing or commercializing competing products before or more successfully than we do. </w:t>
      </w:r>
    </w:p>
    <w:p>
      <w:pPr>
        <w:pStyle w:val="TextBody"/>
        <w:bidi w:val="0"/>
        <w:spacing w:before="240" w:after="0"/>
        <w:jc w:val="left"/>
        <w:rPr>
          <w:rFonts w:ascii="Times New Roman" w:hAnsi="Times New Roman"/>
          <w:sz w:val="20"/>
        </w:rPr>
      </w:pPr>
      <w:r>
        <w:rPr>
          <w:rFonts w:ascii="Times New Roman" w:hAnsi="Times New Roman"/>
          <w:sz w:val="20"/>
        </w:rPr>
        <w:t xml:space="preserve">The biotechnology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pharmaceutical and biotechnology companies, academic institutions, government agencies and other public and private research organizations. These organizations may have significantly greater resources than we do and conduct similar research, seek patent protection and establish collaborative arrangements for research, development, manufacturing, and marketing of products that compete with our product candidates. Mergers and acquisitions in the biotechnology and pharmaceutical industries may result in even more resources being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concentrated in our competitors. Competition may increase further as a result of advances in the commercial applicability of technologies and greater availability of capital for investment in these industries. </w:t>
      </w:r>
    </w:p>
    <w:p>
      <w:pPr>
        <w:pStyle w:val="TextBody"/>
        <w:bidi w:val="0"/>
        <w:spacing w:before="240" w:after="0"/>
        <w:jc w:val="left"/>
        <w:rPr>
          <w:rFonts w:ascii="Times New Roman" w:hAnsi="Times New Roman"/>
          <w:sz w:val="20"/>
        </w:rPr>
      </w:pPr>
      <w:r>
        <w:rPr>
          <w:rFonts w:ascii="Times New Roman" w:hAnsi="Times New Roman"/>
          <w:sz w:val="20"/>
        </w:rPr>
        <w:t xml:space="preserve">With the proliferation of new drugs and therapies for our target indications, we expect to face increasingly intense competition as new technologies become available. If we fail to stay at the forefront of technological change, we may be unable to compete effectively. Any product candidates that we successfully develop and commercialize will compete with existing therapies and new therapies that may become available in the future. The highly competitive nature of and rapid technological changes in the biotechnology and pharmaceutical industries could render our product candidates or our technology obsolete, less competitive or uneconomical. Our competitors may,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significantly greater financial, manufacturing, marketing, drug development, technical, and human resources than we do;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 and commercialize products that are safer, more effective, less expensive, more convenient or easier to administer, or have fewer or less severe side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quicker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superior proprietary positions covering our products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 more effective approaches to sales and marketing;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more advantageous strategic alliances.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any of these factors occur, our business, financial condition, and results of operations could be materially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collaborators may decide to market and sell products that compete with the product candidates that we have agreed to license to them, and any competition by our collaborators could also have a material adverse effect on our future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developing or acquiring technologies complementary to, or necessary for, our programs.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expend our limited resources to pursue a particular product candidate or indication and fail to capitalize on product candidates or indications that may be more profitable or for which there is a greater likelihood of success. </w:t>
      </w:r>
    </w:p>
    <w:p>
      <w:pPr>
        <w:pStyle w:val="TextBody"/>
        <w:bidi w:val="0"/>
        <w:spacing w:before="240" w:after="0"/>
        <w:jc w:val="left"/>
        <w:rPr>
          <w:rFonts w:ascii="Times New Roman" w:hAnsi="Times New Roman"/>
          <w:sz w:val="20"/>
        </w:rPr>
      </w:pPr>
      <w:r>
        <w:rPr>
          <w:rFonts w:ascii="Times New Roman" w:hAnsi="Times New Roman"/>
          <w:sz w:val="20"/>
        </w:rPr>
        <w:t xml:space="preserve">Because we have limited financial and managerial resources, we focus on research programs, therapeutic platforms, and product candidates that we identify for specific indications. Additionally, we have contractual commitments under the agreements for various product candidate assets that we acquired from third parties, as well as our license and collaboration agreements, to use commercially reasonable efforts to develop certain programs and, thus, do not have unilateral discretion to vary from such agreed to efforts. In addition, we have contractual commitments to conduct certain development plans, and thus may not have discretion to modify such development plans, including clinical trial designs, without agreement from our collaboration partner. As a result, we may forego or delay pursuit of opportunities with other therapeutic platforms or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Defects or disruptions in our precision neuroscience platform could result in diminishing our value and prospects. </w:t>
      </w:r>
    </w:p>
    <w:p>
      <w:pPr>
        <w:pStyle w:val="TextBody"/>
        <w:bidi w:val="0"/>
        <w:spacing w:before="240" w:after="0"/>
        <w:jc w:val="left"/>
        <w:rPr>
          <w:rFonts w:ascii="Times New Roman" w:hAnsi="Times New Roman"/>
          <w:sz w:val="20"/>
        </w:rPr>
      </w:pPr>
      <w:r>
        <w:rPr>
          <w:rFonts w:ascii="Times New Roman" w:hAnsi="Times New Roman"/>
          <w:sz w:val="20"/>
        </w:rPr>
        <w:t xml:space="preserve">Our precision neuroscience platform depends upon the continuous, effective, and reliable operation of our software, hardware, databases, and related tools and functions and the integrity of our data. Our proprietary software tools, hardware, and datasets are inherently complex and may contain defects or errors. Errors may result from the interface of our proprietary software and hardware tools with our data or third-party systems and data, which we did not develop. The risk of errors is particularly significant when new software or hardware is first introduced or when new versions or enhancements of existing software or hardware are implemented. We have, from time to time, found defects in our software and hardware, and new errors in our existing software and hardware may be detected in the future. Any errors, defects, disruptions, or other performance problems with our software, hardware, or datasets could hurt our ability to gather valuable insights that drive our drug discoveries. Furthermore, our platform may produce therapeutic application insights that are inaccurate which could result in a material adverse effect on our ability to discover or develop new product candidates. Such discovery and development are dependent on the integrity and completeness of our data. The occurrence of any of these events could result in diminishing value of our platform and data and have a material adverse effect on our business, operating results and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rely upon third-party providers of cloud-based infrastructure to host our platforms. Any disruption in the operations of these third-party providers, limitations on capacity, or interference with our use could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outsource substantially all of the technological infrastructure relating to our hosted platform to third-party hosting services, such as Amazon Web Services. We have no control over any of these third parties, and while we attempt to reduce risk by minimizing reliance on any single third party or its operations, we cannot guarantee that such third-party providers will not experience system interruptions, outages or delays, or deterioration in their performance. We need to be able to access our computational platform at any time, without interruption or degradation of performance. Our hosted platform depends on protecting the virtual cloud infrastructure hosted by third-party hosting services by maintaining its configuration, architecture, features, and interconnection specifications, as well as protecting the information stored in these virtual data centers, which is transmitted by third-party Internet service providers. We have experienced, and expect that in the future we may again experience interruptions, delays and outages in service and availability from time to time due to a variety of factors, including infrastructure changes, human or software errors, website hosting disruptions and capacity constraints. Any limitation on the capacity of our third-party hosting services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terrorist or other attacks, and other disruptive events beyond our control could negatively affect our cloud-based solutions. A prolonged service disruption affecting our cloud-based solutions could damage our reputation or otherwise harm our business. We may also incur significant costs for using alternative equipment or taking other actions in preparation for, or in reaction to, events that damage the third-party hosting services we use.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the our platform as well as significant delays and additional expense in arranging or creating new facilities and services and/or re-architecting our hosted software solutions for deployment on a different cloud infrastructure service provider, which could adversely affect our business, financial condition, and results of operations.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our security measures are breached or unauthorized access to our other data is otherwise obtained, our data may be perceived as not being secure and we may incur significant liabilities. </w:t>
      </w:r>
    </w:p>
    <w:p>
      <w:pPr>
        <w:pStyle w:val="TextBody"/>
        <w:bidi w:val="0"/>
        <w:spacing w:before="240" w:after="0"/>
        <w:jc w:val="left"/>
        <w:rPr>
          <w:rFonts w:ascii="Times New Roman" w:hAnsi="Times New Roman"/>
          <w:sz w:val="20"/>
        </w:rPr>
      </w:pPr>
      <w:r>
        <w:rPr>
          <w:rFonts w:ascii="Times New Roman" w:hAnsi="Times New Roman"/>
          <w:sz w:val="20"/>
        </w:rPr>
        <w:t xml:space="preserve">We use a set of proprietary tools to generate, analyze, and derive novel insights from our data. As a result, unauthorized access to or security breaches of our data, as a result of third-party action, employee or contractor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error, malfeasance, or otherwise could result in the loss or corruption of, or other damage to information, claims and litigation, indemnity obligations, damage to our reputation, and other liability. Our collaborators and other third parties we work with may also suffer similar security breaches of data that we rely on. Because the techniques used to obtain unauthorized access or sabotage systems change frequently and generally are not identified until they are launched against a target, we and those we collaborate with may be unable to anticipate these techniques or implement adequate preventative measures. In addition, if our employees or contractors fail to adhere to practices we have established to maintain a firewall between our internal drug discovery team and our teams that work with external individuals, including our collaborators, or if the technical solutions we have adopted to maintain the firewall malfunction, our collaborators may lose confidence in our ability to maintain the confidentiality of their intellectual property, we may have trouble attracting new collaborators, we may be subject to breach of contract claims by our collaborators, and we may suffer reputational and other harm as a result. Any or all of these issues could result in reputational damage or subject us to third-party lawsuits or other action or liability, which could adversely affect our operating results. Our insurance may not be adequate to cover losses associated with such events, and in any case, such insurance may not cover all of the types of costs, expenses, and losses we could incur to respond to and remediate a security breach. For more information see Risk FactorsOur business and operations would suffer in the event of computer system failures, cyber-attacks or deficiencies in our or third parties cyber security.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solutions utilize third-party open source software, and any failure to comply with the terms of one or more of these open source software licenses could adversely affect our business, subject us to litigation, or create potential liability. </w:t>
      </w:r>
    </w:p>
    <w:p>
      <w:pPr>
        <w:pStyle w:val="TextBody"/>
        <w:bidi w:val="0"/>
        <w:spacing w:before="240" w:after="0"/>
        <w:jc w:val="left"/>
        <w:rPr>
          <w:rFonts w:ascii="Times New Roman" w:hAnsi="Times New Roman"/>
          <w:sz w:val="20"/>
        </w:rPr>
      </w:pPr>
      <w:r>
        <w:rPr>
          <w:rFonts w:ascii="Times New Roman" w:hAnsi="Times New Roman"/>
          <w:sz w:val="20"/>
        </w:rPr>
        <w:t xml:space="preserve">Our solutions include software licensed by third parties under any one or more open source licenses, and we expect to continue to incorporate open source software in our solutions in the future. While we have a process in place for monitoring the use of open source software by our employees, we cannot ensure we are aware of every instance of such use or have validated the quality or source of such software, or that we are in compliance with the terms of the applicable open source licenses or our current policies and procedures. There have been claims against companies that use open source software in their products and services asserting that the use of such open source software infringes the claimants intellectual property rights. As a result, we could be subject to suits by third parties claiming that what we believe to be licensed open source software infringes such third parties intellectual property rights. Additionally,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and required to comply with onerous conditions or restrictions on these solutions, which could disrupt the distribution and sale of these solutions. Litigation could be costly for us to defend, have a negative effect on our business, financial condition, and results of operations, or require us to devote additional research and development resources to change our solutions. Furthermore, these third-party open source providers could experience service outages, data loss, privacy breaches, cyber-attacks, and other events relating to the applications and services they provide that could diminish the utility of these services and which could harm our business as a result. </w:t>
      </w:r>
    </w:p>
    <w:p>
      <w:pPr>
        <w:pStyle w:val="TextBody"/>
        <w:bidi w:val="0"/>
        <w:spacing w:before="240" w:after="0"/>
        <w:jc w:val="left"/>
        <w:rPr>
          <w:rFonts w:ascii="Times New Roman" w:hAnsi="Times New Roman"/>
          <w:sz w:val="20"/>
        </w:rPr>
      </w:pPr>
      <w:r>
        <w:rPr>
          <w:rFonts w:ascii="Times New Roman" w:hAnsi="Times New Roman"/>
          <w:sz w:val="20"/>
        </w:rPr>
        <w:t xml:space="preserve">Use of open source software may entail greater risks than use of third-party commercial software, as open source licensors generally do not provide warranties or other contractual protections regarding infringement claims or the quality of the code, including with respect to security vulnerabilities where open source software may be more susceptible. In addition, certain open source licenses require that source code for software programs that interact with such open source software be made available to the public at no cost and that any modifications or derivative works to such open source software continue to be licensed under the same terms as the open source software license. The terms of various open source licenses to which we are subject have not been interpreted by courts in the relevant jurisdictions, and there is a risk that such licenses could be construed in a manner that imposes unanticipated conditions or restrictions on our ability to market or provide our software and data. By the terms of certain open source licenses, we could be required to release the source code of our proprietary software, and to make our proprietary software available under open source licenses, if we combine our proprietary software with open source software in a certain manner. In the event that portions of our proprietary software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determined to be subject to an open source license, we could be required to publicly release the affected portions of our source code, re-engineer all or a portion of our solutions, or otherwise be limited in the licensing of our solutions, each of which could reduce or eliminate the value of our solutions. Disclosing our proprietary source code could allow our competitors to create similar products with lower development effort and time and ultimately could result in a loss of sales. Furthermore, any such re-engineering or other remedial efforts could require significant additional research and development resources, and we may not be able to successfully complete any such re-engineering or other remedial efforts. Any of these events could create liability for us and damage our reputation, which could have a material adverse effect on our revenue, business, results of operations, and financial condition and the market price of our shares.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Development and Clinical Testing of Our Product Candidates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Preclinical and clinical drug development is a lengthy and expensive process, with an uncertain outcome. Our preclinical and clinical programs have experienced delays and may experience additional delays or may never advance, which would adversely affect ability to obtain regulatory approvals or commercialize our product candidates on a timely basis or at all, which could have an adverse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obtain FDA approval to market our product candidates, we must demonstrate the safety and efficacy of our product candidates in humans to the satisfaction of the FDA. To meet these requirements, we will have to conduct adequate and well-controlled clinical trials. Clinical testing is expensive, time-consuming and subject to uncertainty. Conducting preclinical testing and clinical trials represents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The commencement and rate of completion of preclinical studies and clinical trials for a product candidate may be delayed by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generate sufficient preclinical or other </w:t>
            </w:r>
            <w:r>
              <w:rPr>
                <w:rFonts w:ascii="Times New Roman" w:hAnsi="Times New Roman"/>
                <w:i/>
                <w:sz w:val="20"/>
              </w:rPr>
              <w:t>in vivo</w:t>
            </w:r>
            <w:r>
              <w:rPr>
                <w:rFonts w:ascii="Times New Roman" w:hAnsi="Times New Roman"/>
                <w:sz w:val="20"/>
              </w:rPr>
              <w:t xml:space="preserve"> or </w:t>
            </w:r>
            <w:r>
              <w:rPr>
                <w:rFonts w:ascii="Times New Roman" w:hAnsi="Times New Roman"/>
                <w:i/>
                <w:sz w:val="20"/>
              </w:rPr>
              <w:t>in vitro</w:t>
            </w:r>
            <w:r>
              <w:rPr>
                <w:rFonts w:ascii="Times New Roman" w:hAnsi="Times New Roman"/>
                <w:sz w:val="20"/>
              </w:rPr>
              <w:t xml:space="preserve"> data to support the initiation of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the approvals needed to conduct preclinical studies in animals (e.g., Institutional Animal Care and Use Committee (IACUC)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timely completion of preclinical laboratory tests, animal studies and formulation studies in accordance with FDAs Good Laboratory Practice (GLP) requirements and other applicable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Institutional Review Board (IRB) ethics committee at each clinical site before each trial may be initiated;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reaching a consensus with regulatory agencies on study design and obtaining regulatory authorization to commence clinical trials; delays in reaching agreement on acceptable terms with prospective CROs, and clinical trial sites, the terms of which can be subject to extensive negotiation and may vary significantly among different CROs and clinical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identifying, recruiting and training suitable clinical investigators;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recruiting suitable patients to participate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manufacturing, testing, releasing, validating or importing/exporting sufficient stable quantities of our product candidates for use in clinical trials or the inability to do any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insufficient or inadequate supply or quality of product candidates or other materials necessary for use in clinical trials, or delays in sufficiently developing, characterizing or controlling a manufacturing process suitable for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imposition of a temporary or permanent clinical hold by regulatory authorities;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recruiting, screening and enrolling patients and delays caused by patients withdrawing from clinical trials or failing to return for post-treatment follow-up;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difficulty collaborating with patient groups and investigators;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our CROs, other third parties or us to adhere to clinical trial protocols; failure to perform in accordance with the FDAs or any other regulatory authoritys good clinical practice (GCP) requirements, or applicable regulatory guidelines in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occurrence of adverse events associated with the product candidate that are viewed to outweigh its potential benefits, or occurrence of adverse events in trial of the same class of agents conducted by other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the clinical trial protocols;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sites deviating from trial protocol or dropping out of a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requirements and guidance that require amending or submitting new clinical protocols;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standard of care on which a clinical development plan was based, which may require new or additional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selection of clinical endpoints that require prolonged periods of observation or analyses of resulting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clinical trials of our product candidates being greater than we anticipate;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of our product candidates producing negative or inconclusive results, which may result in our deciding, or regulators requiring us, to conduct additional clinical trials or abandon development of such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of manufacturing processes to larger-scale facilities operated by a contract manufacturing organization (CMO) and delays or failure by our CMOs or us to make any necessary changes to such manufacturing process;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parties being unwilling or unable to satisfy their contractual obligations to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disruptions caused by the COVID-19 pandemic may increase the likelihood that we encounter such difficulties or delays in initiating, enrolling, conducting or completing our planned and ongoing preclinical studies and clinical trials. In particular, as a result of the COVID-19 pandemic, we have experienced difficulty in accessing animal models, specifically non-human primate models, for the preclinical evaluation of our product candidates. Delays caused by the inability to access these models may cause our development timeline to be extended beyond what we anticipate.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must be conducted in accordance with the FDA and other applicable regulatory authorities legal requirements, regulations or guidelines, and are subject to oversight by these governmental agencies and Ethics Committees or IRBs at the medical institutions where the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adequate funding to continue the clinical trial. For example, nonclinical safety pharmacology studies of NMRA-511 indicate that the dose limiting toxicities were CNS observations including tremor and convulsions, which led to a partial clinical hold on our IND that was removed when we amended the protocol to include tremors as a stopping criteria. More recently, in response to a pre-IND submission for a preclinical program focused on sleep disorders, feedback from the FDA related to the target indication led us to pause that program indefinitely.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w:t>
      </w:r>
    </w:p>
    <w:p>
      <w:pPr>
        <w:pStyle w:val="TextBody"/>
        <w:bidi w:val="0"/>
        <w:spacing w:before="240" w:after="0"/>
        <w:jc w:val="left"/>
        <w:rPr>
          <w:rFonts w:ascii="Times New Roman" w:hAnsi="Times New Roman"/>
          <w:sz w:val="20"/>
        </w:rPr>
      </w:pPr>
      <w:r>
        <w:rPr>
          <w:rFonts w:ascii="Times New Roman" w:hAnsi="Times New Roman"/>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Delays in the completion of any preclinical studies or clinical trials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preclinical studies or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 </w:t>
      </w:r>
    </w:p>
    <w:p>
      <w:pPr>
        <w:pStyle w:val="TextBody"/>
        <w:bidi w:val="0"/>
        <w:spacing w:before="240" w:after="0"/>
        <w:jc w:val="left"/>
        <w:rPr>
          <w:rFonts w:ascii="Times New Roman" w:hAnsi="Times New Roman"/>
          <w:b/>
          <w:i/>
          <w:sz w:val="20"/>
        </w:rPr>
      </w:pPr>
      <w:r>
        <w:rPr>
          <w:rFonts w:ascii="Times New Roman" w:hAnsi="Times New Roman"/>
          <w:b/>
          <w:i/>
          <w:sz w:val="20"/>
        </w:rPr>
        <w:t xml:space="preserve">Results of preclinical studies or clinical trials of any product candidates may not be predictive of the results of future preclinical studies or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To obtain the requisite regulatory approvals to market and sell any of our product candidates, we or any collaborator for such product candidate must demonstrate through extensive preclinical studies and clinical trials that the product candidate is safe and effective in humans. Before an IND can be submitted to the FDA and become effective, which is a prerequisite for conducting clinical trials on human subjects, a product candidate must successfully progress through extensive preclinical studies, which include preclinical laboratory testing, animal studies, and formulation studies in accordance with GLP. We cannot be certain of the timely completion or outcome of any preclinical studies. For example, we identified the formation of reactive metabolites in the lead chemical series for our preclinical GRIN2B negative allosteric modulator program that raised a potential safety issue and led us to terminate that program entirely. We expect these findings to be specific to this lead chemical series in the GRIN2B program and to not affect any of our other development programs including our NMRA-GRIN2A positive allosteric modulator program. We also cannot predict if the FDA or comparable regulatory authorities will allow our proposed clinical programs to proceed or if the outcome of our preclinical studies will ultimately support further development of our programs. Additionally, we cannot be sure that we will be able to submit INDs or similar applications with respect to our product candidates on the timelines we expect, if at all, and we cannot be sure that submission of IND or similar applications will result in the FDA or other regulatory authorities allowing clinical trials to begin.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success in preclinical studies or early clinical trials does not ensure that later preclinical studies or clinical trials will be successful. A number of companies in the biotechnology and pharmaceutical industries have suffered significant setbacks in clinical trials, even after positive results in earlier preclinical studies. These setbacks have been caused by, among other things, preclinical findings made while clinical trials were underway and safety or efficacy observations made in clinical trials, including previously unreported adverse events. The design of a clinical trial can determine whether its results will support approval of a product, and flaws in the design of a clinical trial may not become apparent until the clinical trial is well advanced. In addition, preclinical and clinical data are often susceptible to varying interpretations and analyses. Notwithstanding any potential promising results in earlier studies, we cannot be certain that we will not face similar setbacks. In addition, the results of our preclinical animal studies, including our non-human primate studies, may not be predictive of the results of outcomes in subsequent clinical trials on human subjects. Product candidates in clinical trials may fail to show the desired pharmacological properties or safety and efficacy traits despite having progressed through preclinical studies. </w:t>
      </w:r>
    </w:p>
    <w:p>
      <w:pPr>
        <w:pStyle w:val="TextBody"/>
        <w:bidi w:val="0"/>
        <w:spacing w:before="240" w:after="0"/>
        <w:jc w:val="left"/>
        <w:rPr>
          <w:rFonts w:ascii="Times New Roman" w:hAnsi="Times New Roman"/>
          <w:sz w:val="20"/>
        </w:rPr>
      </w:pPr>
      <w:r>
        <w:rPr>
          <w:rFonts w:ascii="Times New Roman" w:hAnsi="Times New Roman"/>
          <w:sz w:val="20"/>
        </w:rPr>
        <w:t xml:space="preserve">If we fail to receive positive results in preclinical studies or clinical trials of any product candidate, the development timeline and regulatory approval and commercialization prospects for that product candidate, and, correspondingly, our business and financial prospects, would be negatively impacted.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product candidates may have serious adverse, undesirable, or unacceptable side effects or other properties that may delay or prevent marketing approval. If such side effects are identified following approval, if any, the commercial profile of any approved label may be limited, or we may be subject to other significant negative consequences following marketing approval, if any. </w:t>
      </w:r>
    </w:p>
    <w:p>
      <w:pPr>
        <w:pStyle w:val="TextBody"/>
        <w:bidi w:val="0"/>
        <w:spacing w:before="240" w:after="0"/>
        <w:jc w:val="left"/>
        <w:rPr>
          <w:rFonts w:ascii="Times New Roman" w:hAnsi="Times New Roman"/>
          <w:sz w:val="20"/>
        </w:rPr>
      </w:pPr>
      <w:r>
        <w:rPr>
          <w:rFonts w:ascii="Times New Roman" w:hAnsi="Times New Roman"/>
          <w:sz w:val="20"/>
        </w:rPr>
        <w:t xml:space="preserve">Results of our clinical trials could reveal a high and unacceptable severity and prevalence of side effects or unexpected characteristics. Undesirable side effects that may be caused by our product candidates could cause us or regulatory authorities to interrupt, delay, or halt clinical trials and could result in a more restrictive label or the delay or denial of regulatory approval by the FDA or comparable foreign authorities. The drug-related side effects could affect patient recruitment or the ability of enrolled patients to complete the trial or result in potential product liability claims. Any of these occurrences may harm our business, financial condition and prospects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Moreover, if our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We may also be required to modify our study plans based on findings in our ongoing preclinical studies or clinical trials. For example, in a rat study, at its highest dose (100 mg/kg/day) NMRA-140 was observed to have skin-related phototoxicity of erythema, edema and flaking additionally ocular phototoxicity (corneal edema). While no phototoxicity has been observed in our Phase 1 clinical trials, we are monitoring visual acuity and corneal integrity in our ongoing Phase 2a clinical trial to confirm there is no phototoxicity in humans. If phototoxicity is experienced in our clinical trials, the labeling implications of such safety warnings may limit any future product sales, if NMRA-140 is approved. </w:t>
      </w:r>
    </w:p>
    <w:p>
      <w:pPr>
        <w:pStyle w:val="TextBody"/>
        <w:bidi w:val="0"/>
        <w:spacing w:before="240" w:after="0"/>
        <w:jc w:val="left"/>
        <w:rPr>
          <w:rFonts w:ascii="Times New Roman" w:hAnsi="Times New Roman"/>
          <w:sz w:val="20"/>
        </w:rPr>
      </w:pPr>
      <w:r>
        <w:rPr>
          <w:rFonts w:ascii="Times New Roman" w:hAnsi="Times New Roman"/>
          <w:sz w:val="20"/>
        </w:rPr>
        <w:t xml:space="preserve">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It is possible that as we test our product candidates in larger, longer and more extensive clinical trials, including with different dosing regimens, or as the use of these product candidates becomes more widespread if they receive regulatory approval, illnesses, injuries, discomforts and other adverse events that were observed in earlier trials, as well as conditions that did not occur or went undetected in previous trials, may be reported by subjects. If such side effects become known later in development or upon approval, if any, such findings may harm our business, financial condition and prospects significantly.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event that any of our product candidates receives marketing approval and we or others later identify undesirable or unacceptable side effects caused by such products, a number of potentially significant negative consequences could result,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withdraw or limit approvals of such products and require us to take our approved product off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the addition of labeling statements, specific warnings, a contraindication or field alerts to physicians and pharmacies, or issue other communications containing warnings or other safety information about the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a medication guide outlining the risks of such side effects for distribution to patients, or that we implement a risk evaluation and mitigation strategy (REMS), plan to ensure that the benefits of the product outweigh its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change the dose or the way the product is administered, conduct additional clinical trials, or change the labeling of the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limitations on how we may promote or manufacture the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the product may decrease significantly;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litigation or product liability claims;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reputation may suffer.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events could prevent us or our potential future partners from achieving or maintaining market acceptance of the affected product or could substantially increase commercialization costs and expenses, which in turn could delay or prevent us from generating significant revenue from the sale of any products.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Interim, topline, or preliminary data from our clinical trials that we announce or publish from time to time may change as more patient data becomes available or as we make changes to our manufacturing processes and are subject to audit and verification procedures that could result in material changes in the final data.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In particular, it will likely take additional time to fully analyze the results of our clinical studies data using our proprietary AI/ML methods in order to identify patient clusters to be matched to drug signatures to inform Precision Phenotypes. As a result, the topline or preliminary results that we report may differ from future results of the same studies, or different conclusions or considerations may qualify such results, once additional data have been received and fully evaluated, including through our data science platform and analytics.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vaccine candidates may be harmed, which could harm our business, prospects, financial condition or results of operations.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will depend on enrollment and retention of patients in our clinical trials for our product candidates. If we experience delays or difficulties enrolling or retaining patients in our clinical trials, our research and development efforts and business, financial condition and results of operations could be materially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Successful and timely completion of clinical trials will require that we enroll and retain a sufficient number of patient candidates. Any clinical trials we conduct may be subject to delays for a variety of reasons, including as a result of patient enrollment taking longer than anticipated, patient withdrawal or adverse events. These types of developments could cause us to delay the trial or halt further development. </w:t>
      </w:r>
    </w:p>
    <w:p>
      <w:pPr>
        <w:pStyle w:val="TextBody"/>
        <w:bidi w:val="0"/>
        <w:spacing w:before="240" w:after="0"/>
        <w:jc w:val="left"/>
        <w:rPr>
          <w:rFonts w:ascii="Times New Roman" w:hAnsi="Times New Roman"/>
          <w:sz w:val="20"/>
        </w:rPr>
      </w:pPr>
      <w:r>
        <w:rPr>
          <w:rFonts w:ascii="Times New Roman" w:hAnsi="Times New Roman"/>
          <w:sz w:val="20"/>
        </w:rPr>
        <w:t xml:space="preserve">Our clinical trials will compete with other clinical trials that are in the same therapeutic areas as our product candidates, and this competition reduces the number and types of patients available to us, as some patients who might have opted to enroll in our trials may instead opt to enroll in a trial being conducted by one of our competitors. </w:t>
      </w:r>
    </w:p>
    <w:p>
      <w:pPr>
        <w:pStyle w:val="TextBody"/>
        <w:bidi w:val="0"/>
        <w:spacing w:before="240" w:after="0"/>
        <w:jc w:val="left"/>
        <w:rPr>
          <w:rFonts w:ascii="Times New Roman" w:hAnsi="Times New Roman"/>
          <w:sz w:val="20"/>
        </w:rPr>
      </w:pPr>
      <w:r>
        <w:rPr>
          <w:rFonts w:ascii="Times New Roman" w:hAnsi="Times New Roman"/>
          <w:sz w:val="20"/>
        </w:rPr>
        <w:t xml:space="preserve">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The eligibility criteria of our clinical studies, and in particular, any eligibility criteria we may establish using our precision neuroscience approach, may limit the pool of available study participants as we will require that patients have specific characteristics that we can measure or to assure their disease is either severe enough or not too advanced to include them in a study. </w:t>
      </w:r>
    </w:p>
    <w:p>
      <w:pPr>
        <w:pStyle w:val="TextBody"/>
        <w:bidi w:val="0"/>
        <w:spacing w:before="240" w:after="0"/>
        <w:jc w:val="left"/>
        <w:rPr>
          <w:rFonts w:ascii="Times New Roman" w:hAnsi="Times New Roman"/>
          <w:sz w:val="20"/>
        </w:rPr>
      </w:pPr>
      <w:r>
        <w:rPr>
          <w:rFonts w:ascii="Times New Roman" w:hAnsi="Times New Roman"/>
          <w:sz w:val="20"/>
        </w:rPr>
        <w:t xml:space="preserve">Patient enrollment depends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nature of the patient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severity of the disease under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eligibility criteria for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proximity of patients to clinical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 of the clinical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obtain and maintain patient consents;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recruit clinical trial investigators with the appropriate competencies and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patients enrolled in clinical trials will drop out of the trials before the administration of our product candidates or trial completion;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competing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such patients during the COVID-19 pandemic;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new drugs approved for the indication the clinical trial is investigating;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clinicians and patients perceptions as to the potential advantages of the drug being studied in relation to other available therapies.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factors may make it difficult for us to enroll enough patients to complete our clinical trials in a timely and cost-effective manner. To date, the COVID-19 pandemic has delayed patient enrollment in our ongoing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clinical trials and may further delay our initiation of preclinical studies and clinical trials.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estimates of market opportunity and forecasts of market growth included in this prospectus may prove to be smaller than we believe, and even if the markets in which we compete achieve the forecasted growth, our business may not grow at similar rates, or at all. </w:t>
      </w:r>
    </w:p>
    <w:p>
      <w:pPr>
        <w:pStyle w:val="TextBody"/>
        <w:bidi w:val="0"/>
        <w:spacing w:before="240" w:after="0"/>
        <w:jc w:val="left"/>
        <w:rPr>
          <w:rFonts w:ascii="Times New Roman" w:hAnsi="Times New Roman"/>
          <w:sz w:val="20"/>
        </w:rPr>
      </w:pPr>
      <w:r>
        <w:rPr>
          <w:rFonts w:ascii="Times New Roman" w:hAnsi="Times New Roman"/>
          <w:sz w:val="20"/>
        </w:rPr>
        <w:t xml:space="preserve">We intend to initially focus our product candidate development on treatments for various neuropsychiatric disorders and neurodegenerative diseases. Our projections of addressable patient populations within any particular disease state that may benefit from treatment with our product candidates are based on our estimates. Market opportunity estimates and growth forecasts included in this prospectus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diseases.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Even if approved, our products may not gain market acceptance, in which case we may not be able to generate product revenues, which will materially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Even if the FDA or any comparable foreign regulatory authority approves the marketing of any product candidates that we develop, physicians, healthcare providers, patients, or the medical community may not accept or use them. Additionally, the product candidates that we are developing are based on our proprietary platforms, which are new technologies. If these products do not achieve an adequate level of acceptance, we may not generate significant product revenues or any profits from operations. The degree of market acceptance of any of our product candidates will depend on a variety of factors, including:</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market introduction of the product candidate as well as competitive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for which a product candidate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approvals and the countries in which approvals are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clinical profile of competing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and perceived advantages of our product candidates over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provide acceptable evidence of safety and efficacy;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side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an approved product candidate for use as a combination 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relative convenience and ease of administration;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cost-effectiveness;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diagnostics and screening infrastructure in each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sales and marketing efforts;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other new therapies for the same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marketing and distribution support;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about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coverage, adequate reimbursement and sufficient payment from health maintenance organizations and other insurers, both public and private, for our product candidates, or the procedures utilizing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patients to pay out-of-pocket in the absence of coverage by third-party payors and government authorities;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potential advantages over alternative treatment methods.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our product candidates fail to gain market acceptance, this will have a material adverse impact on our ability to generate revenues to provide a satisfactory, or any, return on our investments. Even if some products achieve market acceptance, the market may prove not to be large enough to allow us to generate significant revenues.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currently have no marketing, sales, or distribution infrastructure and we intend to either establish a sales and marketing infrastructure or outsource this function to a third party. Either of these commercialization strategies carries substantial risks to us. </w:t>
      </w:r>
    </w:p>
    <w:p>
      <w:pPr>
        <w:pStyle w:val="TextBody"/>
        <w:bidi w:val="0"/>
        <w:spacing w:before="240" w:after="0"/>
        <w:jc w:val="left"/>
        <w:rPr>
          <w:rFonts w:ascii="Times New Roman" w:hAnsi="Times New Roman"/>
          <w:sz w:val="20"/>
        </w:rPr>
      </w:pPr>
      <w:r>
        <w:rPr>
          <w:rFonts w:ascii="Times New Roman" w:hAnsi="Times New Roman"/>
          <w:sz w:val="20"/>
        </w:rPr>
        <w:t xml:space="preserve">Given our stage of development, we currently have no marketing, sale, and distribution capabilities. If any of our product candidates complete clinical development and are approved, we intend to either establish a sales and marketing organization with technical expertise and supporting distribution capabilities to commercialize our product candidates in a legally compliant manner, or to outsource this function to a third party. There are risks involved if we decide to establish our own sales and marketing capabilities or enter into arrangements with third parties to perform these services. To the extent that we enter into collaboration agreements with respect to marketing, sales or distribution, our product revenue may be lower than if we directly marketed or sold any approved products.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 which would have a material adverse effect on our business, financial condition, and results of operations.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become exposed to costly and damaging liability claims, either when testing our product candidates in the clinic or at the commercial stage, and our product liability insurance may not cover all damages from such claims. </w:t>
      </w:r>
    </w:p>
    <w:p>
      <w:pPr>
        <w:pStyle w:val="TextBody"/>
        <w:bidi w:val="0"/>
        <w:spacing w:before="240" w:after="0"/>
        <w:jc w:val="left"/>
        <w:rPr>
          <w:rFonts w:ascii="Times New Roman" w:hAnsi="Times New Roman"/>
          <w:sz w:val="20"/>
        </w:rPr>
      </w:pPr>
      <w:r>
        <w:rPr>
          <w:rFonts w:ascii="Times New Roman" w:hAnsi="Times New Roman"/>
          <w:sz w:val="20"/>
        </w:rPr>
        <w:t xml:space="preserve">We are exposed to potential product liability and professional indemnity risks that are inherent in the research, development, manufacturing, marketing, and use of pharmaceutical products. While we currently have no products that have commenced clinical trials or been approved for commercial sale, the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Even successful defense against product liability claims would require significant financial and management resources. Regardless of the merits or eventual outcome, liability claims may result in: decreased demand for our product candidates; injury to our reputation; withdrawal of clinical trial participants; initiation of investigations by regulators; costs to defend the related litigation; a diversion of managements time and our resources; substantial monetary awards to trial participants or patients; product recalls, withdrawals or labeling, marketing or promotional restrictions; loss of revenue; exhaustion of any available insurance and our capital resources; the inability to commercialize any product candidate; and a decline in our share price. </w:t>
      </w:r>
    </w:p>
    <w:p>
      <w:pPr>
        <w:pStyle w:val="TextBody"/>
        <w:bidi w:val="0"/>
        <w:spacing w:before="240" w:after="0"/>
        <w:jc w:val="left"/>
        <w:rPr>
          <w:rFonts w:ascii="Times New Roman" w:hAnsi="Times New Roman"/>
          <w:sz w:val="20"/>
        </w:rPr>
      </w:pPr>
      <w:r>
        <w:rPr>
          <w:rFonts w:ascii="Times New Roman" w:hAnsi="Times New Roman"/>
          <w:sz w:val="20"/>
        </w:rPr>
        <w:t xml:space="preserve">Although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be unable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Regulatory Environment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development and commercialization of drug products is subject to extensive regulation, and the regulatory approval processes of the FDA and comparable foreign authorities are lengthy, time-consuming, and inherently unpredictable. If we are ultimately unable to obtain regulatory approval for our product candidates on a timely basis if at all, our business will be substantially harmed. </w:t>
      </w:r>
    </w:p>
    <w:p>
      <w:pPr>
        <w:pStyle w:val="TextBody"/>
        <w:bidi w:val="0"/>
        <w:spacing w:before="240" w:after="0"/>
        <w:jc w:val="left"/>
        <w:rPr>
          <w:rFonts w:ascii="Times New Roman" w:hAnsi="Times New Roman"/>
          <w:sz w:val="20"/>
        </w:rPr>
      </w:pPr>
      <w:r>
        <w:rPr>
          <w:rFonts w:ascii="Times New Roman" w:hAnsi="Times New Roman"/>
          <w:sz w:val="20"/>
        </w:rPr>
        <w:t xml:space="preserve">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our product candidates are subject to extensive regulation. In the United States, obtaining marketing approval for a new drug requires the submission of a New Drug Application (NDA) to the FDA, and we are not permitted to market any product candidate in the United States until we obtain approval from the FDA of the NDA for that product candidate. An NDA must be supported by extensive clinical and preclinical data, as well as extensive information regarding pharmacology, chemistry, manufacturing, and controls. Outside the United States, many comparable foreign regulatory authorities employ similar approval processes. </w:t>
      </w:r>
    </w:p>
    <w:p>
      <w:pPr>
        <w:pStyle w:val="TextBody"/>
        <w:bidi w:val="0"/>
        <w:spacing w:before="240" w:after="0"/>
        <w:jc w:val="left"/>
        <w:rPr>
          <w:rFonts w:ascii="Times New Roman" w:hAnsi="Times New Roman"/>
          <w:sz w:val="20"/>
        </w:rPr>
      </w:pPr>
      <w:r>
        <w:rPr>
          <w:rFonts w:ascii="Times New Roman" w:hAnsi="Times New Roman"/>
          <w:sz w:val="20"/>
        </w:rPr>
        <w:t xml:space="preserve">We have not previously submitted an NDA to the FDA or similar marketing application to comparable foreign authorities, for any product candidate, and we cannot be certain that any of our product candidates will receive regulatory approval. Obtaining approval of an NDA can be a lengthy, expensive, and uncertain process, and as a company we have no experience with the preparation of an NDA submission or any other marketing application. In addition, the FDA has the authority to require a REMS as part of an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and requiring treated patients to enroll in a registry. </w:t>
      </w:r>
    </w:p>
    <w:p>
      <w:pPr>
        <w:pStyle w:val="TextBody"/>
        <w:bidi w:val="0"/>
        <w:spacing w:before="240" w:after="0"/>
        <w:jc w:val="left"/>
        <w:rPr>
          <w:rFonts w:ascii="Times New Roman" w:hAnsi="Times New Roman"/>
          <w:sz w:val="20"/>
        </w:rPr>
      </w:pPr>
      <w:r>
        <w:rPr>
          <w:rFonts w:ascii="Times New Roman" w:hAnsi="Times New Roman"/>
          <w:sz w:val="20"/>
        </w:rPr>
        <w:t>Our product candidates could fail to receive regulatory approval for many reasons, including the following:</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the design or implementation of our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to the satisfaction of the FDA or comparable foreign regulatory authorities that a product candidate is safe and effective for its proposed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clinical trials may not meet the level of statistical significance required by the FDA or comparable foreign regulatory authorities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that a product candidates clinical and other benefits outweigh its safety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our interpretation of data from preclinical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data collected from clinical trials of our product candidates may not be sufficient to support the submission of an NDA or other submission or to obtain regulatory approval in the United States or elsewhere, or regulatory authorities may not accept a submission due to, among other reasons, the content or formatting of the submission;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fail to approve our manufacturing processes or facilities or those of third-party manufacturers with which we contract for clinical and commercial supplies;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policies or regulations of the FDA or comparable foreign regulatory authorities may significantly change in a manner rendering our clinical data insufficient for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lengthy approval process, as well as the unpredictability of future clinical trial results, may result in our failing to obtain regulatory approval to market any of our product candidates, which would significantly harm our business, results of operations, and prospects. The FDA and comparable foreign regulatory authorities have substantial discretion in the approval process, and determining when or whether regulatory approval will be obtained for any of our product candidates. For example, regulatory authorities in various jurisdictions have in the past had, and may in the future have, differing requirements for, interpretations of and opinions on our preclinical and clinical data. As a result, we may be required to conduct additional preclinical studies, alter our proposed clinical trial designs, or conduct additional clinical trials to satisfy the regulatory authorities in each of the jurisdictions in which we hope to conduct clinical trials and develop and market our products, if approved. Further, even if we believe the data collected from clinical trials of our product candidates are promising, such data may not be sufficient to support approval by the FDA or any comparable foreign regulatory authority.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 </w:t>
      </w:r>
    </w:p>
    <w:p>
      <w:pPr>
        <w:pStyle w:val="TextBody"/>
        <w:bidi w:val="0"/>
        <w:spacing w:before="240" w:after="0"/>
        <w:jc w:val="left"/>
        <w:rPr>
          <w:rFonts w:ascii="Times New Roman" w:hAnsi="Times New Roman"/>
          <w:sz w:val="20"/>
        </w:rPr>
      </w:pPr>
      <w:r>
        <w:rPr>
          <w:rFonts w:ascii="Times New Roman" w:hAnsi="Times New Roman"/>
          <w:sz w:val="20"/>
        </w:rPr>
        <w:t xml:space="preserve">If the FDA or a comparable foreign regulatory authority approves any of our product candidates, the manufacturing processes, testing, safety, efficacy,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manufacture practices (cGMPs) and good clinical practices (GCPs) for any clinical trials that we conduct post-approval, all of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result in significant expense and limit our ability to commercialize such products. In addition,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approved marketing application. Accordingly, we and others with whom we work must continue to expend time, money, and effort in all areas of regulatory compliance, including manufacturing, quality control, and distribution. </w:t>
      </w:r>
    </w:p>
    <w:p>
      <w:pPr>
        <w:pStyle w:val="TextBody"/>
        <w:bidi w:val="0"/>
        <w:spacing w:before="240" w:after="0"/>
        <w:jc w:val="left"/>
        <w:rPr>
          <w:rFonts w:ascii="Times New Roman" w:hAnsi="Times New Roman"/>
          <w:sz w:val="20"/>
        </w:rPr>
      </w:pPr>
      <w:r>
        <w:rPr>
          <w:rFonts w:ascii="Times New Roman" w:hAnsi="Times New Roman"/>
          <w:sz w:val="20"/>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warning letters or untitled letters;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or require us to issue, safety-related communications, such as safety alerts, field alerts, Dear Doctor letters to healthcare professionals, or import alerts;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impose civil or criminal penalties;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suspend, limit, or withdraw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suspend any of our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refuse to approve pending applications or supplements to approved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impose restrictions on our operations, including closing our and our contract manufacturers facilities;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seize or detain products, refuse to permit the import or export of products, or require us to conduct a product recall.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government investigation of alleged violations of law could require us to expend significant time and resources in response and could generate adverse publicity. Any failure to comply with ongoing regulatory requirements may significantly and adversely affect our ability to commercialize and generate revenue from our products, if approved. If regulatory sanctions are applied or if regulatory approval is withdrawn, the value of our company and our operating results will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Moreover,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FDA and other regulatory agencies actively enforce the laws and regulations prohibiting the promotion of off-label uses. If we are found or alleged to have improperly promoted off-label uses, we may become subject to significant liability. </w:t>
      </w:r>
    </w:p>
    <w:p>
      <w:pPr>
        <w:pStyle w:val="TextBody"/>
        <w:bidi w:val="0"/>
        <w:spacing w:before="240" w:after="0"/>
        <w:jc w:val="left"/>
        <w:rPr>
          <w:rFonts w:ascii="Times New Roman" w:hAnsi="Times New Roman"/>
          <w:sz w:val="20"/>
        </w:rPr>
      </w:pPr>
      <w:r>
        <w:rPr>
          <w:rFonts w:ascii="Times New Roman" w:hAnsi="Times New Roman"/>
          <w:sz w:val="20"/>
        </w:rPr>
        <w:t>The FDA and other regulatory agencies strictly regulate the promotional claims that may be made about drug products. These regulations include standards and restrictions for direct-to-consumer advertising, industry-</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sponsored scientific and educational activities, promotional activities involving the internet and off-label promotion. For example, any regulatory approval that the FDA grants is limited to those indications and patient populations for which a drug is deemed to be safe and effective by the FDA. </w:t>
      </w:r>
    </w:p>
    <w:p>
      <w:pPr>
        <w:pStyle w:val="TextBody"/>
        <w:bidi w:val="0"/>
        <w:spacing w:before="240" w:after="0"/>
        <w:jc w:val="left"/>
        <w:rPr>
          <w:rFonts w:ascii="Times New Roman" w:hAnsi="Times New Roman"/>
          <w:sz w:val="20"/>
        </w:rPr>
      </w:pPr>
      <w:r>
        <w:rPr>
          <w:rFonts w:ascii="Times New Roman" w:hAnsi="Times New Roman"/>
          <w:sz w:val="20"/>
        </w:rPr>
        <w:t xml:space="preserve">While physicians in the United States may choose, and are generally permitted, to prescribe products in their independent medical judgment for uses that are not described in the products labeling and for uses that differ from those tested in clinical trials and approved by the regulatory authorities, our ability to promote any of our products candidates, if approved, will be narrowly limited to those indications and populations that are specifically approved by the FDA or such other regulatory agencies, and if we are found to have promoted such off-label uses, we may become subject to significant liability. For example, the federal government has levied large civil and criminal fines against companies for alleged improper promotion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w:t>
      </w:r>
    </w:p>
    <w:p>
      <w:pPr>
        <w:pStyle w:val="TextBody"/>
        <w:bidi w:val="0"/>
        <w:spacing w:before="240" w:after="0"/>
        <w:jc w:val="left"/>
        <w:rPr>
          <w:rFonts w:ascii="Times New Roman" w:hAnsi="Times New Roman"/>
          <w:sz w:val="20"/>
        </w:rPr>
      </w:pPr>
      <w:r>
        <w:rPr>
          <w:rFonts w:ascii="Times New Roman" w:hAnsi="Times New Roman"/>
          <w:sz w:val="20"/>
        </w:rPr>
        <w:t xml:space="preserve">Separately, in response to the COVID-19 pandemic, in March 2020 the FDA announced its intention to postpone most inspections of foreign manufacturing facilities and routine surveillance inspections of domestic manufacturing facilities. Subsequently, in July 2020, the FDA resumed on-site inspections of manufacturing facilities subject to a risk-based prioritization system. This risk-based assessment system is being used to identify the categories of regulatory activity that can occur within a given geographic area, ranging from mission critical inspections to resumption of all regulatory activities. Additionally, on April 15, 2021, the FDA issued a guidance document concerning voluntary remote interactive evaluations. According to the guidance, the FDA intends to request such remote interactive evaluations in situations where an in-person inspection would not be prioritized, deemed mission-critical, or where direct inspection is otherwise limited by travel restrictions, but where the FDA determines that remote evaluation would be appropriate. Regulatory authorities outside the United States may adopt similar restrictions or other policy measures in response to the COVID-19 pandemic. If a prolonged government shutdown occurs, or if global health concerns continue to prevent the FDA or comparable foreign regulatory authorities from conducting their regular inspections, reviews, or other regulatory activities, it could significantly impact the ability of the FDA or comparable foreign regulatory authorities to timely review and process our regulatory submissions, which could have a material adverse effect on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research and development activities could be affected or delayed as a result of possible restrictions on animal testing. </w:t>
      </w:r>
    </w:p>
    <w:p>
      <w:pPr>
        <w:pStyle w:val="TextBody"/>
        <w:bidi w:val="0"/>
        <w:spacing w:before="240" w:after="0"/>
        <w:jc w:val="left"/>
        <w:rPr>
          <w:rFonts w:ascii="Times New Roman" w:hAnsi="Times New Roman"/>
          <w:sz w:val="20"/>
        </w:rPr>
      </w:pPr>
      <w:r>
        <w:rPr>
          <w:rFonts w:ascii="Times New Roman" w:hAnsi="Times New Roman"/>
          <w:sz w:val="20"/>
        </w:rPr>
        <w:t xml:space="preserve">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business operations and current and future relationships with healthcare professionals, principal investigators, consultants, vendors, customers, and third-party payors in the United States and elsewhere are subject to applicable anti-kickback, fraud and abuse, false claims, physician payment transparency, and other healthcare laws and regulations, which could expose us to substantial penalties, contractual damages, reputation harm, administrative burdens, and diminished profits. </w:t>
      </w:r>
    </w:p>
    <w:p>
      <w:pPr>
        <w:pStyle w:val="TextBody"/>
        <w:bidi w:val="0"/>
        <w:spacing w:before="240" w:after="0"/>
        <w:jc w:val="left"/>
        <w:rPr>
          <w:rFonts w:ascii="Times New Roman" w:hAnsi="Times New Roman"/>
          <w:sz w:val="20"/>
        </w:rPr>
      </w:pPr>
      <w:r>
        <w:rPr>
          <w:rFonts w:ascii="Times New Roman" w:hAnsi="Times New Roman"/>
          <w:sz w:val="20"/>
        </w:rPr>
        <w:t>Healthcare providers, healthcare facilities and institutions and third-party payors in the United States and elsewhere will play a primary role in the recommendation and prescription of any product candidates for which we obtain marketing approval. Our current and future arrangements with healthcare professionals, healthcare facilities and institutions, principal investigators, consultants, customers, and third-party payors may expose us to broadly applicable fraud and abuse and other healthcare laws, including, without limitation, the federal Anti-Kickback Statute and the federal False Claims Act, that may constrain the business or financial arrangements and relationships through which we research, sell, market, and distribute any product candidates for which we obtain marketing approval. In addition, we may be subject to physician payment transparency laws and regulation by the federal government and by the states and foreign jurisdictions in which we conduct our business. The applicable federal, state, and foreign healthcare laws that affect our ability to operate include, but are not limited to, the following:</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 under any U.S. federal healthcare program, such as Medicare and Medicaid.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federal civil and criminal false claims laws, including the civil False Claims Act, which prohibit, among other things, including through civil whistleblower or qui tam actions,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Pharmaceutical manufacturers can cause false claims to be presented to the U.S. federal government by, among other things, engaging in impermissible marketing practices, such as the off-label promotion of a product for an indication for which it has not received FDA approval. In addition, the government may assert that a claim including items and services resulting from a violation of the federal Anti-Kickback Statute constitutes a false or fraudulent claim for purposes of the civil False Claims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healthcare fraud statute implemented under HIPAA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Physician Payments Sunshine Act and its implementing regulations, which requires, among other things, certain manufacturers of drugs, devices, biologics, and medical supplies that are reimbursable under Medicare, Medicaid, or the Childrens Health Insurance Program, with specific exceptions, to report annually to the Centers for Medicare and Medicaid Services, or CMS, information related to certain payments and other transfers of value to physicians (defined to include doctors, dentists, optometrists, podiatrists and chiropractors), other healthcare professionals (such as physician assistants and nurse practitioners), and teaching hospitals, as well as ownership and investment interests held by such physicians and their immediate family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requiring the registration of pharmaceutical sales representatives;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similar healthcare laws and regulations in foreign jurisdictions, including reporting requirements detailing interactions with and payments to healthcare providers.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Ensuring that our internal operations and future business arrangements with third parties comply with applicable healthcare laws and regulations will involve substantial costs.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such laws or regulations. Efforts to ensure that our business arrangements will comply with applicable healthcare laws may involve substantial costs. We have entered into consulting and scientific advisory board arrangements with physicians and other healthcare providers, including some who could influence the use of our product candidates, if approved. Compensation under some of these arrangements includes the provision of stock or stock options in addition to cash consideration. Because of the complex and far-reaching nature of these laws, it is possible that governmental authorities could conclude that our payments to physicians may not be fair market value for </w:t>
      </w:r>
      <w:r>
        <w:rPr>
          <w:rFonts w:ascii="Times New Roman" w:hAnsi="Times New Roman"/>
          <w:i/>
          <w:sz w:val="20"/>
        </w:rPr>
        <w:t>bona fide</w:t>
      </w:r>
      <w:r>
        <w:rPr>
          <w:rFonts w:ascii="Times New Roman" w:hAnsi="Times New Roman"/>
          <w:sz w:val="20"/>
        </w:rPr>
        <w:t xml:space="preserve"> services or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employees, independent contractors, principal investigators, consultants, commercial partners and vendors may engage in misconduct or other improper activities, including noncompliance with regulatory standards and requirements. </w:t>
      </w:r>
    </w:p>
    <w:p>
      <w:pPr>
        <w:pStyle w:val="TextBody"/>
        <w:bidi w:val="0"/>
        <w:spacing w:before="240" w:after="0"/>
        <w:jc w:val="left"/>
        <w:rPr>
          <w:rFonts w:ascii="Times New Roman" w:hAnsi="Times New Roman"/>
          <w:sz w:val="20"/>
        </w:rPr>
      </w:pPr>
      <w:r>
        <w:rPr>
          <w:rFonts w:ascii="Times New Roman" w:hAnsi="Times New Roman"/>
          <w:sz w:val="20"/>
        </w:rPr>
        <w:t xml:space="preserve">We are exposed to the risk of employee fraud or other misconduct. 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employment, foreign corrupt practices, trade restrictions and sanctions, environmental, competition, and patient privacy and other privacy laws and regulations. Misconduct by employees could include failures to comply with FDA regulations, provide accurate information to the FDA, comply with manufacturing standards we may establish,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labeling, marketing and promotion, sales commission, customer incentive programs, and other business arrangements. Employee misconduct could also involve the improper use of information obtained in the course of clinical trials, which could result in </w:t>
      </w:r>
    </w:p>
    <w:p>
      <w:pPr>
        <w:pStyle w:val="TextBody"/>
        <w:bidi w:val="0"/>
        <w:spacing w:before="0" w:after="0"/>
        <w:jc w:val="left"/>
        <w:rPr>
          <w:rFonts w:ascii="Times New Roman" w:hAnsi="Times New Roman"/>
          <w:sz w:val="20"/>
        </w:rPr>
      </w:pPr>
      <w:r>
        <w:rPr>
          <w:rFonts w:ascii="Times New Roman" w:hAnsi="Times New Roman"/>
          <w:sz w:val="20"/>
        </w:rPr>
        <w:t xml:space="preserve">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civil, criminal and administrative penalties, damages, monetary fines, individual imprisonment, disgorgement of profits,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Current and future legislation may increase the difficulty and cost for us and any future collaborators to obtain marketing approval of and commercialize our product candidates and affect the prices we, or they, may obtain. </w:t>
      </w:r>
    </w:p>
    <w:p>
      <w:pPr>
        <w:pStyle w:val="TextBody"/>
        <w:bidi w:val="0"/>
        <w:spacing w:before="240" w:after="0"/>
        <w:jc w:val="left"/>
        <w:rPr>
          <w:rFonts w:ascii="Times New Roman" w:hAnsi="Times New Roman"/>
          <w:sz w:val="20"/>
        </w:rPr>
      </w:pPr>
      <w:r>
        <w:rPr>
          <w:rFonts w:ascii="Times New Roman" w:hAnsi="Times New Roman"/>
          <w:sz w:val="20"/>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(collectively, the ACA), was enacted, which substantially changed the way healthcare is financed by both governmental and private payors. Among the provisions of the ACA of importance to the pharmaceutical and biotechnology industries are the following:</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manufacturers and importers of certain branded prescription drugs are required to pay an annual, nondeductible fee according to their market share of all such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increase in the statutory minimum rebates a manufacturer must pay under the Medicaid Drug Rebate Program, to 23.1% of the average manufacturer price for most branded drugs, biologics, and biosimilars and to 13.0% for generic drug, and cap of the total rebate amount for innovator drugs at 100% of the Average Manufacturer Price (AMP);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new methodology by which rebates owed by manufacturers under the Medicaid Drug Rebate Program are calculated for certain drugs and biologics, including our product candidates, that are inhaled, infused, instilled, implanted, or injected;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extension of manufacturers Medicaid rebate liability to covered drugs dispensed to individuals who are enrolled in Medicaid managed care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expansion of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expansion of the entities eligible for discounts under the Public Health program, commonly referred to as the 340B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new Patient-Centered Outcomes Research Institute to oversee, identify priorities in, and conduct comparative clinical effectiveness research, along with funding for such research;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establishment of a Center for Medicare and Medicaid Innovation at CMS to test innovative payment and service delivery models to lower Medicare and Medicaid spending, potentially including prescription drug spending.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Since its enactment, there have been judicial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legislative changes have been proposed and adopted in the United States since the ACA was enacted. For example,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Further, in August 2011, the Budget Control Act of 2011, among other things, included aggregate reductions of Medicare payments to providers of 2% per fiscal year. These reductions went into effect in April 2013 and, due to subsequent legislative amendments to the statute, will remain in effect through 2031, with the exception of a temporary suspension from May 1, 2020 through March 31, 2022, unless additional action is taken by Congress. Under current legislation the actual reduction in Medicare payments will vary from 1% in 2022 to up to 3% in the fiscal year of this sequester. </w:t>
      </w:r>
    </w:p>
    <w:p>
      <w:pPr>
        <w:pStyle w:val="TextBody"/>
        <w:bidi w:val="0"/>
        <w:spacing w:before="240" w:after="0"/>
        <w:jc w:val="left"/>
        <w:rPr>
          <w:rFonts w:ascii="Times New Roman" w:hAnsi="Times New Roman"/>
          <w:sz w:val="20"/>
        </w:rPr>
      </w:pPr>
      <w:r>
        <w:rPr>
          <w:rFonts w:ascii="Times New Roman" w:hAnsi="Times New Roman"/>
          <w:sz w:val="20"/>
        </w:rPr>
        <w:t xml:space="preserve">Moreover, there has recently been heightened governmental scrutiny over the manner in which manufacturers set prices for their marketed products, which has resulted in several Congressional inquiries, proposed and enacted legislation and executive orders issued by the President designed to, among other things, bring more transparency to product pricing, review the relationship between pricing and manufacturer patient programs, and reform government program reimbursement methodologies for drug products.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It is also possible that additional governmental action is taken in response to the COVID-19 pandemic. Additionally, individual states in the United States have passed legislation and implemented regulations designed to control pharmaceutical and biological product pricing and costs. Similar developments have occurred outside of the United States, including in the European Union where healthcare budgetary constraints have resulted in restrictions on the pricing and reimbursement of medicines by relevant health service providers. To obtain reimbursement or pricing approval in some European Union member states, we may be required to conduct studies that compare the cost-effectiveness of our product candidates to other therapies that are considered the local standard of care.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the likelihood, nature, or extent of government regulation that may arise from future legislation or administrative action in the United States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withdrawal of the United Kingdom from the European Union, commonly referred to as Brexit, may adversely impact our ability to obtain regulatory approvals of our product candidates in the European Union, result in restrictions or imposition of taxes and duties for importing our product candidates into the European Union, and may require us to incur additional expenses in order to develop, manufacture and commercialize our product candidates in the European Union.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result of a referendum in 2016, the United Kingdom left the European Union on January 31, 2020, commonly referred to as Brexit. Pursuant to the formal withdrawal arrangements agreed between the United Kingdom and the European Union, the United Kingdom was subject to a transition period until December 31, 2020 (the Transition Period), during which EU rules continued to apply. Negotiations between the United Kingdom and the European Union are expected to continue in relation to the customs and trading relationship between the United Kingdom and the European Union following the expiry of the Transition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Since a significant proportion of the regulatory framework in the United Kingdom applicable to our business and our product candidates is derived from EU directives and regulations, Brexit, following the Transition Period, could materially impact the regulatory regime with respect to the development, manufacture, importation, approval and commercialization of our product candidates in the United Kingdom or the European Union. For example, as a result of the uncertainty surrounding Brexit, the EMA relocated to Amsterdam from London. Following the Transition Period, the United Kingdom will no longer be covered by the centralized procedures for obtaining EU-wide marketing authorization from the EMA and, unless a specific agreement is entered into, a separate process for authorization of drug products, including our product candidates, will be required in the United Kingdom, the potential process for which is currently unclear. Any delay in obtaining, or an inability to obtain, any marketing approvals, as a result of Brexit or otherwise, would prevent us from commercializing our product candidates in the United Kingdom or the European Union and restrict our ability to generate revenue and achieve and sustain profitability. In addition, we may be required to pay taxes or duties or be subjected to other hurdles in connection with the importation of our product candidates into the European Union, or we may incur expenses in establishing a manufacturing facility in the European Union in order to circumvent such hurdles. If any of these outcomes occur, we may be forced to restrict or delay efforts to seek regulatory approval in the United Kingdom or the European Union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w:t>
      </w:r>
    </w:p>
    <w:p>
      <w:pPr>
        <w:pStyle w:val="TextBody"/>
        <w:bidi w:val="0"/>
        <w:spacing w:before="240" w:after="0"/>
        <w:jc w:val="left"/>
        <w:rPr>
          <w:rFonts w:ascii="Times New Roman" w:hAnsi="Times New Roman"/>
          <w:b/>
          <w:i/>
          <w:sz w:val="20"/>
        </w:rPr>
      </w:pPr>
      <w:r>
        <w:rPr>
          <w:rFonts w:ascii="Times New Roman" w:hAnsi="Times New Roman"/>
          <w:b/>
          <w:i/>
          <w:sz w:val="20"/>
        </w:rPr>
        <w:t xml:space="preserve">Even if we are able to commercialize any product candidate, coverage and adequate reimbursement may not be available or such product candidate may become subject to unfavorable pricing regulations or third-party coverage and reimbursement policies, which would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The regulations that govern regulatory approvals, pricing, and reimbursement for drug products vary widely from country to country. Some countries require approval of the sale price of a drug product before it can be marketed. In many countries, the pricing review period begins after marketing approval is granted. In some foreign markets, prescription drug product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commercialize any products successfully also will depend in part on the extent to which coverage and adequate reimbursement for these products and related treatments will be available from third-party payors, such as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coverage and reimbursement. Increasingly, the third-party payors who reimburse patients or healthcare providers are requiring that drug companies provide them with predetermined discounts from list prices, and are seeking to reduce the prices charged or the amounts reimbursed for drug products. If the price we are able to charge for any products we develop, or the coverage and reimbursement provided for such products, is inadequate in light of our development and other costs, our return on investment could be affected adversely. </w:t>
      </w:r>
    </w:p>
    <w:p>
      <w:pPr>
        <w:pStyle w:val="TextBody"/>
        <w:bidi w:val="0"/>
        <w:spacing w:before="240" w:after="0"/>
        <w:jc w:val="left"/>
        <w:rPr>
          <w:rFonts w:ascii="Times New Roman" w:hAnsi="Times New Roman"/>
          <w:sz w:val="20"/>
        </w:rPr>
      </w:pPr>
      <w:r>
        <w:rPr>
          <w:rFonts w:ascii="Times New Roman" w:hAnsi="Times New Roman"/>
          <w:sz w:val="20"/>
        </w:rPr>
        <w:t xml:space="preserve">There may be significant delays in obtaining reimbursement for newly-approved drug products, and coverage may be more limited than the purposes for which the drug product is approved by the FDA or comparable foreign regulatory authorities. Moreover, eligibility for reimbursement does not imply that any drugs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will be reimbursed in all cases or at a rate that covers our costs, including research, development, manufacture, sale, and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Interim reimbursement levels for new drug products, if applicable, may also be insufficient to cover our costs and may not be made permanent. Reimbursement rates may be based on payments allowed for lower cost drug products that are already reimbursed, may be incorporated into existing payments for other services and may reflect budgetary constraints or imperfections in Medicare data. Net prices for drug products may be reduced by mandatory discounts or rebates required by third-party payors and by any future relaxation of laws that presently restrict imports of drug products from countries where they may be sold at lower prices than in the United States. Obtaining coverage and adequate reimbursement for our product candidates may be particularly difficult because of the higher prices often associated with drugs administered under the supervision of a physician. </w:t>
      </w:r>
    </w:p>
    <w:p>
      <w:pPr>
        <w:pStyle w:val="TextBody"/>
        <w:bidi w:val="0"/>
        <w:spacing w:before="240" w:after="0"/>
        <w:jc w:val="left"/>
        <w:rPr>
          <w:rFonts w:ascii="Times New Roman" w:hAnsi="Times New Roman"/>
          <w:sz w:val="20"/>
        </w:rPr>
      </w:pPr>
      <w:r>
        <w:rPr>
          <w:rFonts w:ascii="Times New Roman" w:hAnsi="Times New Roman"/>
          <w:sz w:val="20"/>
        </w:rPr>
        <w:t xml:space="preserve">Further, no uniform policy for coverage and reimbursement exists in the United States, and coverage and reimbursement can differ significantly from payor to payor. Third-party payors often follow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Decisions regarding the extent of coverage and amount of reimbursement to be provided for any product candidates that we develop will be made on a payor-by-payor basis.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w:t>
      </w:r>
    </w:p>
    <w:p>
      <w:pPr>
        <w:pStyle w:val="TextBody"/>
        <w:bidi w:val="0"/>
        <w:spacing w:before="240" w:after="0"/>
        <w:jc w:val="left"/>
        <w:rPr>
          <w:rFonts w:ascii="Times New Roman" w:hAnsi="Times New Roman"/>
          <w:sz w:val="20"/>
        </w:rPr>
      </w:pPr>
      <w:r>
        <w:rPr>
          <w:rFonts w:ascii="Times New Roman" w:hAnsi="Times New Roman"/>
          <w:sz w:val="20"/>
        </w:rPr>
        <w:t>There have been, and likely will continue to be, legislative and regulatory proposals at the foreign, federal, and state levels directed at broadening the availability of healthcare and containing or lowering the cost of healthcare.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for our product candidates, if we obtain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set a price that we believe is fair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coverage and reimbursement approval for a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revenue and achieve or maintain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taxes that we are required to pay;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inability to promptly obtain coverage and adequate reimbursement from both third-party payors for the product candidates that we may develop and for which we obtain regulatory approval could have a material and adverse effect on our business, financial condition, results of operations, and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face potential liability related to the privacy of health information we utilize in the development of product candidates, as well as information we obtain from clinical trials sponsored by us from research institutions and directly from individuals. </w:t>
      </w:r>
    </w:p>
    <w:p>
      <w:pPr>
        <w:pStyle w:val="TextBody"/>
        <w:bidi w:val="0"/>
        <w:spacing w:before="240" w:after="0"/>
        <w:jc w:val="left"/>
        <w:rPr>
          <w:rFonts w:ascii="Times New Roman" w:hAnsi="Times New Roman"/>
          <w:sz w:val="20"/>
        </w:rPr>
      </w:pPr>
      <w:r>
        <w:rPr>
          <w:rFonts w:ascii="Times New Roman" w:hAnsi="Times New Roman"/>
          <w:sz w:val="20"/>
        </w:rPr>
        <w:t xml:space="preserve">We and our partners and vendors are subject to various federal, state, and foreign data protection laws and regulations (i.e., laws and regulations that address data privacy and security). If we fail to comply with these laws and regulations we may be subject to litigation, regulatory investigations, enforcement notices, enforcement actions, fines, and criminal or civil penalties, as well as adverse publicity and a potential loss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United States, numerous federal and state laws and regulations, including state data breach notification laws, state health information privacy laws, and federal and state consumer protection laws and regulations that govern the collection, use, disclosure, and protection of health-related and other personal information could apply to our operations or the operations of our partners. For example, most healthcare providers, including research institutions from which we obtain patient health information, are subject to privacy and security regulations promulgated under HIPAA, as amended by the Health Information Technology for Economic and Clinical Health Act of 2009. HIPAA imposes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We could potentially face substantial criminal or civil penalties if we violate HIPAA. For example, we could be subject to significant penalties if we knowingly receive individually identifiable health information from a HIPAA-covered healthcare provider or research institution that has not satisfied HIPAAs requirements for disclosure of individually identifiable health information, or otherwise violate applicable HIPAA requirements related to the protection of such information. Even when HIPAA does not apply, according to the Federal Trade Commission (FTC) violating consumers privacy rights or failing to take appropriate steps to keep consumers personal information secure may constitute a violation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For our clinical trials,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governing the privacy of personal information or requiring notification of affected individuals and state regulators in the event of a breach of personal information. For example, the California Consumer Privacy Act (CCPA) went into effect on January 1, 2020, which establishes additional data privacy rights for residents of the State of California.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Although there are limited exemptions for health-related information, including clinical trial data, the CCPA may increase our compliance costs and potential liability. Further, the California Privacy Rights Act (CPRA) recently passed, which will significantly expand the CCPA. Most CPRA provisions will take effect on January 1, 2023, though the obligations will apply to any personal information collected after January 1, 2022.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New legislation proposed or enacted in various other states will continue to shape the data privacy environment nationally. For example, on March 2, 2021, Virginia enacted the Virginia Consumer Data Protection Act (CDPA), which becomes effective on January 1, 2023, and on June 8, 2021, Colorado enacted the Colorado Privacy Act (CPA), which takes effect on July 1, 2023. The CPA and CDPA are similar to the CCPA and CPRA but aspects of these state privacy statutes remain unclear, resulting in further legal uncertainty and potentially requiring us to modify our data practices and policies and to incur substantial additional costs and expenses in an effort to comply. Complying with the GDPR, CCPA, CPRA, CDPA, CPA or other laws, regulations, amendments to or re-interpretations of existing laws and regulations and contractual or other obligations relating to privacy, data protection, data transfers, data localization or information security may require us to make changes to our processes, incur substantial operational costs, modify our data practices and policies and restrict our business operations. Any actual or perceived failure by us to comply with these laws, regulations or other obligations may lead to significant fines, penalties, regulatory investigations, lawsuits, significant costs for remediation, damage to our reputation or other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clinical trial programs and research collaborations that we engage in outside the United States may implicate international data protection laws, including, in the European Economic Area (EEA), the General Data Protection Regulation (GDPR), which became effective in 2018. The GDPR imposes stringent operational requirements for processors and controllers of personal data. Among other things, the GDPR requires detailed notices for clinical trial subjects and investigators, as well as requirements regarding the security of personal data and notification of data processing obligations or security incidents to appropriate data protection authorities or data subjects. If our privacy or data security measures fail to comply with the GDPR requirements, we may be subject to litigation, regulatory investigations, enforcement notices, and/or enforcement actions requiring us to change the way we use personal data and/or fines. In addition to statutory enforcement, a personal data breach can lead to adverse publicity and a potential loss of business. Further, from January 1, 2021, companies have had to comply with both the GDPR and the United Kingdom GDPR (UK GDPR), which, together with the amended UK Data Protection Act 2018, retains the GDPR in United Kingdom national law. The UK GDPR mirrors the fines under the GDPR, imposing fines up to the greater of 20 million (£17.5 million) or 4% of global turnover. The European Commission has adopted an adequacy decision in favor of the United Kingdom, enabling data transfers from European Union (EU) member states to the United Kingdom without additional safeguards. However, the United Kingdom adequacy decision will automatically expire in June 2025 unless the European Commission re-assesses and renews/extends that decision, and remains under review by the Commission during this period. The relationship between the United Kingdom and the EU in relation to certain aspects of data protection law remains unclear, and it is unclear how United Kingdom data protection laws and regulations will develop in the medium to longer term. If we fail to comply with United Kingdom data protection laws, we may be subject to litigation, regulatory investigations, enforcement notices, and/or enforcement actions, as well as adverse publicity and a potential loss of business.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Schrems II case judgment on July 16, 2020, in which the Court of Justice of the European Union invalidated the EU-US Privacy Shield Framework, the European Commission has published revised standard contractual clauses for data transfers from the EEA and guidance on how to assess whether transfers can be legally made using them. There is some uncertainty around whether the revised clauses can be used for all types of data transfers, particularly whether they can be relied on for data transfers to non-EEA entities subject to the GDPR, and the UK has not yet approved their use. As government authorities issue further guidance on personal data export mechanisms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These laws and regulations may apply, not only to us, but also to vendors that store or otherwise process data on our behalf, such as information technology vendors. If such a vendor misuses data we have provided to it, or fails to safeguard such data, we may be subject to litigation, regulatory investigations, enforcement notices, and/or enforcement actions, as well as adverse publicity and a potential loss of business. </w:t>
      </w:r>
    </w:p>
    <w:p>
      <w:pPr>
        <w:pStyle w:val="TextBody"/>
        <w:bidi w:val="0"/>
        <w:spacing w:before="240" w:after="0"/>
        <w:jc w:val="left"/>
        <w:rPr>
          <w:rFonts w:ascii="Times New Roman" w:hAnsi="Times New Roman"/>
          <w:sz w:val="20"/>
        </w:rPr>
      </w:pPr>
      <w:r>
        <w:rPr>
          <w:rFonts w:ascii="Times New Roman" w:hAnsi="Times New Roman"/>
          <w:sz w:val="20"/>
        </w:rPr>
        <w:t xml:space="preserve">We are likely to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 Moreover, even if we take all necessary action to comply with regulatory requirements, we could be subject to a hack or data breach, which could subject us to fines and penalties, as well as reputational damage. </w:t>
      </w:r>
    </w:p>
    <w:p>
      <w:pPr>
        <w:pStyle w:val="TextBody"/>
        <w:bidi w:val="0"/>
        <w:spacing w:before="240" w:after="0"/>
        <w:jc w:val="left"/>
        <w:rPr>
          <w:rFonts w:ascii="Times New Roman" w:hAnsi="Times New Roman"/>
          <w:sz w:val="20"/>
        </w:rPr>
      </w:pPr>
      <w:r>
        <w:rPr>
          <w:rFonts w:ascii="Times New Roman" w:hAnsi="Times New Roman"/>
          <w:sz w:val="20"/>
        </w:rPr>
        <w:t xml:space="preserve">If we fail to comply with applicable federal, state, or local regulatory requirements, we could be subject to a range of regulatory actions that could affect our or any collaborators ability to seek to commercialize our clinical candidates. Any threatened or actual government enforcement action could also generate adverse publicity and require that we devote substantial resources that could otherwise be used in other aspects of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Dependence on Third Parties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contract with third parties for the manufacture of our product candidates. This reliance on third parties increases the risk that we will not have sufficient quantities of our product candidates or drugs or such quantities at an acceptable cost, which could delay, prevent or impair our development or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We do not have long-term supply agreements. Furthermore, while the raw materials for our product candidates are sourced from multiple suppliers, in some cases, the drug product is sourced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products and product candidates will depend on the severity and duration of the spread of the virus, and the actions undertaken to contain COVID-19 or treat its effects. </w:t>
      </w:r>
    </w:p>
    <w:p>
      <w:pPr>
        <w:pStyle w:val="TextBody"/>
        <w:bidi w:val="0"/>
        <w:spacing w:before="240" w:after="0"/>
        <w:jc w:val="left"/>
        <w:rPr>
          <w:rFonts w:ascii="Times New Roman" w:hAnsi="Times New Roman"/>
          <w:sz w:val="20"/>
        </w:rPr>
      </w:pPr>
      <w:r>
        <w:rPr>
          <w:rFonts w:ascii="Times New Roman" w:hAnsi="Times New Roman"/>
          <w:sz w:val="20"/>
        </w:rPr>
        <w:t xml:space="preserve">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reduction or termination of production or deliveries by suppliers, or the raising of prices or renegotiation of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termination or nonrenewal of arrangements or agreements by our third-party contractors at a time that is costly or inconvenient for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breach by the third-party contractors of our agreements with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third-party contractors to comply with applicable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the third party to manufacture our product candidates according to our specifications;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mislabeling of clinical supplies, potentially resulting in the wrong dose amounts being supplied or study drug or placebo not being properly identified;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supplies not being delivered to clinical sites on time, leading to clinical trial interruptions, or of drug supplies not being distributed to commercial vendors in a timely manner, resulting in lost sales;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misappropriation of our proprietary information, including our trade secrets and know-how.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successfully manufacture material that conforms to our specifications and the strict regulatory requirements of the FDA or a comparable foreign regulatory authority,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 </w:t>
      </w:r>
    </w:p>
    <w:p>
      <w:pPr>
        <w:pStyle w:val="TextBody"/>
        <w:bidi w:val="0"/>
        <w:spacing w:before="240" w:after="0"/>
        <w:jc w:val="left"/>
        <w:rPr>
          <w:rFonts w:ascii="Times New Roman" w:hAnsi="Times New Roman"/>
          <w:b/>
          <w:i/>
          <w:sz w:val="20"/>
        </w:rPr>
      </w:pPr>
      <w:r>
        <w:rPr>
          <w:rFonts w:ascii="Times New Roman" w:hAnsi="Times New Roman"/>
          <w:b/>
          <w:i/>
          <w:sz w:val="20"/>
        </w:rPr>
        <w:t xml:space="preserve">Supply sources could be interrupted from time to time and, if interrupted, there is no guarantee that supplies could be resumed within a reasonable time frame and at an acceptable cost or at all. </w:t>
      </w:r>
    </w:p>
    <w:p>
      <w:pPr>
        <w:pStyle w:val="TextBody"/>
        <w:bidi w:val="0"/>
        <w:spacing w:before="240" w:after="0"/>
        <w:jc w:val="left"/>
        <w:rPr>
          <w:rFonts w:ascii="Times New Roman" w:hAnsi="Times New Roman"/>
          <w:sz w:val="20"/>
        </w:rPr>
      </w:pPr>
      <w:r>
        <w:rPr>
          <w:rFonts w:ascii="Times New Roman" w:hAnsi="Times New Roman"/>
          <w:sz w:val="20"/>
        </w:rPr>
        <w:t xml:space="preserve">We rely on our manufacturers to purchase from third-party suppliers the materials necessary to produce our product candidates for our preclinical studies and intend to continue to rely on these third parties for any clinical trials that we undertake. There are a limited number of suppliers for raw materials that we use to manufacture our drugs and there may be a need to assess alternate suppliers to prevent a possible disruption of the manufacture of the materials necessary to produce our product candidates for our preclinical studies, clinical trials, and if approved, ultimately for commercial sale. We do not have any control over the process or timing of the acquisition of these raw materials by our manufacturers. Moreover, we currently do not have any agreements for the commercial production of these raw materials. We cannot be sure that these suppliers will remain in business, or that they will not be purchased by one of our competitors or another company that is not interested in continuing to produce these materials for our intended purpose. In addition, the lead time needed to establish a relationship with a new supplier can be lengthy, and we may experience delays in meeting demand in the event a new supplier must be used. The time and effort to qualify a new supplier could result in additional costs, diversion of resources, or reduced manufacturing yields, any of which would negatively impact our operating results. Although we generally do not begin a clinical trial unless we believe we have a sufficient supply of a product candidate to complete the clinical trial, any significant delay in the supply of a product candidate, or the raw material components thereof, for an ongoing clinical trial due to the need to replace a third-party manufacturer could considerably delay completion of our clinical trials, product testing, and potential regulatory approval of our product candidates. If our manufacturers or we are unable to purchase these raw materials after regulatory approval has been obtained for our product candidates, the commercial launch of our product candidates would be delayed or there would be a shortage in supply, which would impair our ability to generate revenues from the sale of our product candidates.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rely, and expect to continue to rely, on third parties, including independent clinical investigators and CROs, to conduct our preclinical studies and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 </w:t>
      </w:r>
    </w:p>
    <w:p>
      <w:pPr>
        <w:pStyle w:val="TextBody"/>
        <w:bidi w:val="0"/>
        <w:spacing w:before="240" w:after="0"/>
        <w:jc w:val="left"/>
        <w:rPr>
          <w:rFonts w:ascii="Times New Roman" w:hAnsi="Times New Roman"/>
          <w:sz w:val="20"/>
        </w:rPr>
      </w:pPr>
      <w:r>
        <w:rPr>
          <w:rFonts w:ascii="Times New Roman" w:hAnsi="Times New Roman"/>
          <w:sz w:val="20"/>
        </w:rPr>
        <w:t xml:space="preserve">We do not currently have the ability to independently conduct any clinical trials. We have relied upon and plan to continue to rely upon third parties, including independent clinical investigators and third-party CROs, to conduct our preclinical studies and clinical trials and to monitor and manage data for our ongoing preclinical and clinical programs. We rely on these parties for execution of our preclinical studies and clinical trials, and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all of our products candidates in clinical development. Regulatory authorities enforce these GCPs through periodic inspections of trial sponsors, principal investigators, and trial sites. If we or any of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Further, these investigators and CROs are not our employees and we will not be able to control, other than by contract, the amount of resources, including time, that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may require us to disclose our proprietary information to these parties, which could increase the risk that this information will be misappropriated. Additionally, disruptions caused by the COVID-19 pandemic may increase the likelihood that our CROs encounter difficulties or delays in initiating, enrolling, conducting, or completing our planned clinical trials. In particular, as a result of the pandemic, we have experienced difficulty in accessing animal models, specifically non-human primate models, for the preclinical evaluation of our product candidates. Delays caused by the inability to access these models may cause our development timeline to be extended beyond what we anticipate. </w:t>
      </w:r>
    </w:p>
    <w:p>
      <w:pPr>
        <w:pStyle w:val="TextBody"/>
        <w:bidi w:val="0"/>
        <w:spacing w:before="240" w:after="0"/>
        <w:jc w:val="left"/>
        <w:rPr>
          <w:rFonts w:ascii="Times New Roman" w:hAnsi="Times New Roman"/>
          <w:sz w:val="20"/>
        </w:rPr>
      </w:pPr>
      <w:r>
        <w:rPr>
          <w:rFonts w:ascii="Times New Roman" w:hAnsi="Times New Roman"/>
          <w:sz w:val="20"/>
        </w:rPr>
        <w:t xml:space="preserve">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 Further, some of these agreements may also be terminated by such third parties on short notice, or under certain circumstances, including our insolvency. </w:t>
      </w:r>
    </w:p>
    <w:p>
      <w:pPr>
        <w:pStyle w:val="TextBody"/>
        <w:bidi w:val="0"/>
        <w:spacing w:before="240" w:after="0"/>
        <w:jc w:val="left"/>
        <w:rPr>
          <w:rFonts w:ascii="Times New Roman" w:hAnsi="Times New Roman"/>
          <w:sz w:val="20"/>
        </w:rPr>
      </w:pPr>
      <w:r>
        <w:rPr>
          <w:rFonts w:ascii="Times New Roman" w:hAnsi="Times New Roman"/>
          <w:sz w:val="20"/>
        </w:rPr>
        <w:t xml:space="preserve">There is a limited number of third-party service providers that specialize or have the expertise required to achieve our business objectives. Many of the third parties with whom we contract may also have relationships with other commercial entities, including our competitors, for whom they may also be conducting clinical trials or other drug development activities that could harm our competitive position.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contracted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laboratories and CROs, there can be no assurance that we will not encounter similar challenges or delays in the future or that these delays or challenges will not have a material adverse impact on our business, financial condition, and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not realize the benefits of any collaborative or licensing arrangement, and if we fail to enter into new strategic relationships our business, financial condition, commercialization prospects, and results of operations may be materially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Our product development programs and the potential commercialization of our product candidates will require substantial additional cash to fund expenses. Therefore, for some of our product candidates, we have entered into, and in the future may decide to enter into, collaborations with pharmaceutical or biopharmaceutical companies for the development and potential commercialization of those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We face significant competition in seeking appropriate collaborators. Collaborations are complex and time-consuming to negotiate and document. We may also be restricted under existing and future collaboration agreements from entering into agreements on certain terms with other potential collaborators. We may not be able to negotiate collaborations on acceptable terms, or at all. If our strategic collaborations do not result in the successful development and commercialization of product candidates, or if one of our collaborators terminates its agreement with us, we may not receive any future research funding or milestone or royalty payments under the collaboration. Moreover, our estimates of the potential revenue we are eligible to receive under any strategic collaborations we may enter into may include potential payments related to therapeutic programs for which our collaborators may discontinue development in the future. If that were to occur, we may have to curtail the development of a particular product candidate, reduce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w:t>
      </w:r>
    </w:p>
    <w:p>
      <w:pPr>
        <w:pStyle w:val="TextBody"/>
        <w:bidi w:val="0"/>
        <w:spacing w:before="240" w:after="0"/>
        <w:jc w:val="left"/>
        <w:rPr>
          <w:rFonts w:ascii="Times New Roman" w:hAnsi="Times New Roman"/>
          <w:sz w:val="20"/>
        </w:rPr>
      </w:pPr>
      <w:r>
        <w:rPr>
          <w:rFonts w:ascii="Times New Roman" w:hAnsi="Times New Roman"/>
          <w:sz w:val="20"/>
        </w:rPr>
        <w:t xml:space="preserve">In instances where we do enter into collaborations, we could be subject to the following risks, each of which may materially harm our business, commercialization prospects, and financial condition: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control the amount and timing of resources that is required of us to complete our development obligations or that the collaboration partner devotes to the product development or marketing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collaboration partner may experience financial difficulties;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relinquish important rights such as marketing, distribution, and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infringe the intellectual property rights of third parties, which may expose us to litigation and potential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collaborator could move forward with a competing product developed either independently or in collaboration with third parties, including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our collaboration partner may disagree regarding the development plan for research and development projects or product candidates on which we are collaborating (for example, we may disagree with a collaboration partner regarding target indications or inclusion or exclusion criteria for a clinical trial);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combinations or significant changes in a collaborators business strategy may adversely affect our willingness to complete our obligations under any arrangement.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license products or businesses, we may not be able to realize the benefit of such transactions if we are unable to successfully integrate them with our existing operations and company culture. We cannot be certain that, following a strategic transaction or license, we will achieve the results, revenue, or specific net income that justifies such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Intellectual Property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depend on intellectual property licensed from third parties and we are currently party to in-license agreements under which we acquired rights to use, develop, manufacture and/or commercialize certain of our proprietary technologies and product candidates. If we breach our obligations under these agreements or if any of these agreements is terminated, or otherwise experience disruptions to our business relationships with our licensors, we may be required to pay damages, lose our rights to such intellectual property and technology, or both, which would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are dependent on patents, know-how, and proprietary technology, both our own and licensed from others. We are a party to intellectual property license agreements and in the future, we may enter into additional license agreements. For example, with respect to developing our product candidates, we have licensed certain intellectual property from Amgen, TSRI and Vanderbilt. These license agreements impose, and we expect that future license and acquisition agreements will impose, various diligence, milestone payment, royalty and other obligations on us. If we fail to comply with our obligations under these agreements, we may be required to pay damages and the licensor may have the right to terminate the license. Any termination of these licenses could result in the loss of significant rights and could harm our ability to develop, manufacture and/or commercialize our product candidates. See the section titled BusinessIntellectual PropertyIn-Licensing and Collaboration Agreements for additional information regarding these key agreements.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Our business also would suffer if any current or future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or otherwise violating the licensors rights.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successfully obtain rights to required third-party intellectual property rights or maintain the existing intellectual property rights we have, we may have to abandon development of the relevant research programs or product candidates and our business, financial condition, results of operations and prospects could suffer.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Licensing of intellectual property is of critical importance to our business and involves complex legal, business and scientific issues and is complicated by the rapid pace of scientific discovery in our industry. Disputes may also arise between us and our current and future licensors regarding intellectual property subject to a license or collaboration agreement, including those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license or collaboration agreement and other interpretation-related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the extent to which our technology and processes infringe on intellectual property of the licensor that is not subject to the license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to sublicense patent and other rights to third parties under collaborative development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are complying with our diligence obligations with respect to the use of the licensed technology in relation to our development and commercialization of our product candidates, and what activities satisfy those diligence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priority of invention of patented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upon termination of the license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and duration of exclusivity obligations of each party to the license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and timing of payments owed under license agreements;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allocation of ownership of inventions and know-how resulting from the joint creation or use of intellectual property by our licensors or collaborators and by us and our partners.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resolution of any contractual interpretation dispute that may arise, if unfavorable to us, could have a material adverse effect on our business, financial condition, results of operations and prospects. Such resolution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 Furthermore, if disputes over intellectual property that we have licensed prevent or impair our ability to maintain our current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our products could suffer.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depend, in part, on our licensors to file, prosecute, maintain, defend, and enforce certain patents and patent applications that are material to our business. </w:t>
      </w:r>
    </w:p>
    <w:p>
      <w:pPr>
        <w:pStyle w:val="TextBody"/>
        <w:bidi w:val="0"/>
        <w:spacing w:before="240" w:after="0"/>
        <w:jc w:val="left"/>
        <w:rPr>
          <w:rFonts w:ascii="Times New Roman" w:hAnsi="Times New Roman"/>
          <w:sz w:val="20"/>
        </w:rPr>
      </w:pPr>
      <w:r>
        <w:rPr>
          <w:rFonts w:ascii="Times New Roman" w:hAnsi="Times New Roman"/>
          <w:sz w:val="20"/>
        </w:rPr>
        <w:t xml:space="preserve">Certain patents and patent applications relating to our product candidates are owned or controlled by certain of our licensors. In some circumstances, we may not have the right to control the preparation, filing, prosecution, maintenance, and defense of patent applications or patents covering technology that we license from third parties. In such circumstances, our licensors generally have rights to file, prosecute, maintain, and defend the licensed patents in their name, generally with our right to comment on such filing, prosecution, maintenance, and defense, with some obligation for the licensor to consider or incorporate our comments. We generally have the first right to enforce our exclusively licensed patent rights against third parties, although our ability to settle such claims often requires the consent of the licensor. If our licensors or any future licensees having rights to file, prosecute, maintain, and defend our patent rights fail to conduct these activities for patents or patent applications covering any of our product candidates, including due to the impact of the COVID-19 pandemic on our licensors business operations, our ability to develop and commercialize those product candidates may be adversely affected and we may not be able to prevent competitors from making, using, or selling competing products. We cannot be certain that such activities by our licensors have been or will be conducted in compliance with applicable laws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in the circumstances where we have the right to pursue such enforcement or defense, we cannot ensure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In addition, even when we have the right to control patent prosecution of licensed patents and patent applications, enforcement of licensed patents, or defense of claims asserting the invalidity of those patents, we may still be adversely affected or prejudiced by actions or inactions of our licensors and their counsel that took place prior to or after our assuming control. This could cause us to lose rights in any applicable intellectual property that we in-license, and as a result our ability to develop and commercialize product candidates may be adversely affected and we may be unable to prevent competitors from making, using and selling competing products.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Given the breadth of the application of our precision neuroscience platform, in order to increase our ability to exploit our technologies, we may enter into collaborations and/or strategic partnerships in the future, and we may not realize the anticipated benefits of such collaborations or partnerships. We may not be able to do so or to realize the potential benefits of such transactions, which may cause us to alter or delay our development and commercialization plans.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collaborations and strategic partnerships are prevalent in the biotechnology industry. The breadth of the application of our precision neuroscience platform is an attractive technology for potential collaborations and/or strategic partnerships. These transactions are subject to numerous risks, which may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have significant discretion in determining the efforts and resources that they will apply to a collaboration, and may not commit sufficient efforts and resources, or may misapply those efforts and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pursue development and commercialization of collaboration product candidates or may elect not to continue or renew development or commercialization programs based on clinical trial results or changes in their strategic focus;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delay, provide insufficient resources to, or modify or stop clinical trials for collaboration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could develop or acquire products outside of the collaboration that compete directly or indirectly with our products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may arise between us and a collaborator that cause the delay or termination of the research, development or commercialization of our product candidates, or that result in costly litigation or arbitration that diverts management attention and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collaborations may be terminated and, if terminated, may result in a need for additional capital and personnel to pursue further development or commercialization of the applicable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own or co-own intellectual property covering our products that results from our collaborating with them, and in such cases, we may not have the exclusive right to commercialize such intellectual property.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development and potential commercialization of our product candidates will require substantial additional capital to fund expenses. We may form or seek further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including in territories outside the United States or for certain indications. These transactions can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As a result, if we enter into acquisition or in-license agreements or strategic partnerships, we may not be able to realize the benefit of such transactions if we are unable to successfully integrate them with our existing operations and company culture, or if there are materially adverse impacts on our or the counterpartys operations resulting from COVID-19, which could delay our timelines or otherwise adversely affect our business. We also cannot be certain that, following a strategic transaction or license, we will achieve the revenue or specific net income that justifies such transaction or such other benefits that led us to enter into the arrangement.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face significant competition in seeking appropriate strategic partners and the negotiation process is time-consuming and complex.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third-party for development and commercialization of a product candidate, we can expect to relinquish some or all of the control over the future success of that product candidate to the third-party.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agreements on certain terms or at all with potential collaborators.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these risks, we may not be able to realize the benefit of our existing collaboration or any future collaborations or licensing agreements we may enter into.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bidi w:val="0"/>
        <w:spacing w:before="240" w:after="0"/>
        <w:jc w:val="left"/>
        <w:rPr>
          <w:rFonts w:ascii="Times New Roman" w:hAnsi="Times New Roman"/>
          <w:sz w:val="20"/>
        </w:rPr>
      </w:pPr>
      <w:r>
        <w:rPr>
          <w:rFonts w:ascii="Times New Roman" w:hAnsi="Times New Roman"/>
          <w:sz w:val="20"/>
        </w:rPr>
        <w:t xml:space="preserve">Our product candidates may also require specific components to work effectively and efficiently, and rights to those components may be held by others. We may be unable to in-license any compositions, methods of use, processes or other third party intellectual property rights from third parties that we identify. We may fail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obtain any of these licenses at a reasonable cost or on reasonable terms, which would harm our business. In that event, we may be required to expend significant time and resources to develop or license replacement technology. Even if we are able to obtain a license, it may be non-exclusive, thereby giving our competitors access to the same technologies licensed to us. Any delays in entering into new collaborations or strategic partnership agreements related to our product candidates could delay the development and commercialization of our product candidates in certain geographies, which could harm our business prospects,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Moreover, some of our owned and in-licensed patents or patent applications or future patents are or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Furthermore, our owned and in-licensed patents may be subject to a reservation of rights by one or more third parties. Any of the foregoing could have a material adverse effect on our competitive position, business, financial condition, results of operations and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not be successful in obtaining or maintaining necessary rights for our product pipeline which may cause us to operate our business in a more costly or otherwise adverse manner that was not anticipated. </w:t>
      </w:r>
    </w:p>
    <w:p>
      <w:pPr>
        <w:pStyle w:val="TextBody"/>
        <w:bidi w:val="0"/>
        <w:spacing w:before="240" w:after="0"/>
        <w:jc w:val="left"/>
        <w:rPr>
          <w:rFonts w:ascii="Times New Roman" w:hAnsi="Times New Roman"/>
          <w:sz w:val="20"/>
        </w:rPr>
      </w:pPr>
      <w:r>
        <w:rPr>
          <w:rFonts w:ascii="Times New Roman" w:hAnsi="Times New Roman"/>
          <w:sz w:val="20"/>
        </w:rPr>
        <w:t xml:space="preserve">We own or license from third parties certain intellectual property rights necessary to develop our product candidates. The growth of our business will likely depend in part on our ability to acquire or in-license additional proprietary rights, including to expand our product pipeline. In that event, we may be required to expend considerable time and resources to develop or license replacement technology. For example, our programs may involve additional technologies or product candidates that may require the use of additional proprietary rights held by third parties. Furthermore, other pharmaceutical companies and academic institutions may also have filed or are planning to file patent applications potentially relevant to our business. Our product candidates may also require specific formulations or other technology to work effectively and efficiently. These formulations or technology may be covered by intellectual property rights held by others. From time to time, in order to avoid infringing these third-party rights, we may be required to license technology from additional third parties to further develop or commercialize our product candidates. We may be unable to acquire or in-license any relevant third-party intellectual property rights, including any such intellectual property rights required to manufacture, use or sell our product candidates, that we identify as necessary or important to our business operations. We may fail to obtain any of these licenses at a reasonable cost or on reasonable terms, if at all, and as a result we may be unable to develop or commercialize the affected product candidates,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access to the same technologies licensed to us.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 </w:t>
      </w:r>
    </w:p>
    <w:p>
      <w:pPr>
        <w:pStyle w:val="TextBody"/>
        <w:bidi w:val="0"/>
        <w:spacing w:before="240" w:after="0"/>
        <w:jc w:val="left"/>
        <w:rPr>
          <w:rFonts w:ascii="Times New Roman" w:hAnsi="Times New Roman"/>
          <w:sz w:val="20"/>
        </w:rPr>
      </w:pPr>
      <w:r>
        <w:rPr>
          <w:rFonts w:ascii="Times New Roman" w:hAnsi="Times New Roman"/>
          <w:sz w:val="20"/>
        </w:rPr>
        <w:t xml:space="preserve">The licensing and acquisition of third-party intellectual property rights is a competitive practice, and companies that may be more established, or have greater resources than we do, may also be pursuing strategies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be dependent on intellectual property licensed or sublicensed to us from, or for which development was funded or otherwise assisted by, the U.S. government and/or government agencies, such as the National Institutes of Health, for development of our technology and product candidates. Failure to meet our own obligations to our licensors or upstream licensors, including such government agencies, may result in the loss of our rights to such intellectual property, which could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The U.S. government and/or government agencies have provided, and in the future may provide, funding, facilities, personnel or other assistance in connection with the development of the intellectual property rights owned by or licensed to us. The U.S. government and/or government agencies may have retained rights in such intellectual property, including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For example, the research resulting in certain of our in-licensed patent rights and technology was funded in part by the U.S. government. As a result, the government may have certain rights, or march-in rights, to such patent rights and technology. These rights may permit the government to disclose our confidential information to third parties and to exercise march-in rights to use or allow third parties to use our licensed technology.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are unable to obtain and maintain sufficient intellectual property protection for our platform and product candidates, or if the scope of the intellectual property protection is not sufficiently broad, our competitors could develop and commercialize products similar or identical to ours, and our ability to successfully commercialize our products may be adversely affected. We cannot ensure that patent rights relating to inventions described and claimed in our pending patent applications will issue or that patents based on our patent applications will not be challenged and rendered invalid and/or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We or our licensors have filed, and we anticipate that in the future we will file additional patent applications both in the United States and in other countries, as appropriate. However, we cannot predict: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when any patents will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degree and range of protection any issued patents will afford us against competitors, including whether third parties will find ways to invalidate or otherwise circumvent our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others will apply for or obtain patents claiming aspects similar to those covered by our patents and patent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need to initiate litigation or administrative proceedings to defend our patent rights, which may be costly whether we win or lose;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patent applications that we own or in-license will result in issued patents with claims that cover our product candidates or uses thereof in the United States or in other foreign countries.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success depends in large part on our ability to obtain and maintain patent protection in the United States and other countries with respect to our platform and product candidates. We seek to protect our proprietary position by filing patent applications in the United States and abroad related to our novel discoveries and technologies that are important to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including as a result of the COVID-19 pandemic impacting our or our licensors operations.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seek patent protection.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enforce patent rights also depends on our ability to detect infringement. It may be difficult to detect infringers who do not advertise the components or methods that are used in connection with their products and services. Such proceedings could also provoke third parties to assert claims against us, including that some or all of the claims in one or more of our patents are invalid or otherwise unenforceable.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 If we initiate lawsuits to protect or enforce our patents, or litigate against third-party claims, such proceedings would be expensive and would divert the attention of our management and technical personnel. </w:t>
      </w:r>
    </w:p>
    <w:p>
      <w:pPr>
        <w:pStyle w:val="TextBody"/>
        <w:bidi w:val="0"/>
        <w:spacing w:before="240" w:after="0"/>
        <w:jc w:val="left"/>
        <w:rPr>
          <w:rFonts w:ascii="Times New Roman" w:hAnsi="Times New Roman"/>
          <w:sz w:val="20"/>
        </w:rPr>
      </w:pPr>
      <w:r>
        <w:rPr>
          <w:rFonts w:ascii="Times New Roman" w:hAnsi="Times New Roman"/>
          <w:sz w:val="20"/>
        </w:rPr>
        <w:t xml:space="preserve">Composition of matter patents for biological and pharmaceutical products often provide a strong form of intellectual property protection for those types of products, as such patents provide protection without regard to any method of use. We cannot be certain, however, that the claims in our pending patent applications covering the composition of matter of our product candidates will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for those uses that are covered by our method of use patents. Although off-label prescriptions may infringe or contribute to the infringement of method of use patents, the practice is common and such infringement can be difficult to prevent or prosecute. </w:t>
      </w:r>
    </w:p>
    <w:p>
      <w:pPr>
        <w:pStyle w:val="TextBody"/>
        <w:bidi w:val="0"/>
        <w:spacing w:before="240" w:after="0"/>
        <w:jc w:val="left"/>
        <w:rPr>
          <w:rFonts w:ascii="Times New Roman" w:hAnsi="Times New Roman"/>
          <w:sz w:val="20"/>
        </w:rPr>
      </w:pPr>
      <w:r>
        <w:rPr>
          <w:rFonts w:ascii="Times New Roman" w:hAnsi="Times New Roman"/>
          <w:sz w:val="20"/>
        </w:rPr>
        <w:t xml:space="preserve">The strength of patents in the biotechnology, pharmaceutical and data science fields can be uncertain, and evaluating the scope of such patents involves complex legal, factual and scientific analyses and has in recent years been the subject of much litigation, resulting in court decisions, including Supreme Court decisions, which have increased uncertainties as to the ability to enforce patent rights in the future.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In the event of litigation or administrative proceedings, we cannot be certain that the claims in any of our issued patents will be considered valid by courts in the United States or foreign countries. Furthermore, even if they are unchallenged, our patents and patent applications may not adequately protect our intellectual property or prevent others from designing their products to avoid being covered by our claims. If the breadth or strength of protection provided by the patent applications we hold with respect to our product candidates is threatened, this could dissuade companies from collaborating with us to develop, and could threaten our ability to commercialize, our product candidates. In addition, the laws of foreign countries may not protect our rights to the same extent as the laws of the United States, or vice versa. Further, if we encounter delays in our clinical trials, the period of time during which we could market our product candidates under patent protection would be reduced.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not identify relevant third-party patents or may incorrectly interpret the relevance, scope or expiration of a third-party patent, which might adversely affect our ability to develop and market our products. </w:t>
      </w:r>
    </w:p>
    <w:p>
      <w:pPr>
        <w:pStyle w:val="TextBody"/>
        <w:bidi w:val="0"/>
        <w:spacing w:before="240" w:after="0"/>
        <w:jc w:val="left"/>
        <w:rPr>
          <w:rFonts w:ascii="Times New Roman" w:hAnsi="Times New Roman"/>
          <w:sz w:val="20"/>
        </w:rPr>
      </w:pPr>
      <w:r>
        <w:rPr>
          <w:rFonts w:ascii="Times New Roman" w:hAnsi="Times New Roman"/>
          <w:sz w:val="20"/>
        </w:rPr>
        <w:t xml:space="preserve">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third-partys pending application will issue with claims of relevant scope. Our failure to identify and correctly interpret relevant patents may negatively impact our ability to develop and market our products. </w:t>
      </w:r>
    </w:p>
    <w:p>
      <w:pPr>
        <w:pStyle w:val="TextBody"/>
        <w:bidi w:val="0"/>
        <w:spacing w:before="240" w:after="0"/>
        <w:jc w:val="left"/>
        <w:rPr>
          <w:rFonts w:ascii="Times New Roman" w:hAnsi="Times New Roman"/>
          <w:sz w:val="20"/>
        </w:rPr>
      </w:pPr>
      <w:r>
        <w:rPr>
          <w:rFonts w:ascii="Times New Roman" w:hAnsi="Times New Roman"/>
          <w:sz w:val="20"/>
        </w:rPr>
        <w:t xml:space="preserve">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Because patent applications in the United States and most other countries are confidential for typically a period of 18 months after filing, or may not be published at all, we cannot be certain that we were the first to file any patent application related to our product candidates. As a result, the issuance, scope, validity, enforceability and commercial value of our patent rights are highly uncertain. Furthermore, for U.S. applications in which all claims are entitled to a priority date before March 16, 2013, an interference proceeding can be provoked by a third party or instituted by the USPTO to determine who was the first to invent any of the subject matter covered by the patent claims of our applications. For U.S. applications containing a claim not entitled to priority before March 16, 2013, there is a greater level of uncertainty in the patent law in view of the passage of the America Invents Act, which brought into effect significant changes to the U.S. patent laws, including new procedures for challenging pending patent applications and issued patents. </w:t>
      </w:r>
    </w:p>
    <w:p>
      <w:pPr>
        <w:pStyle w:val="TextBody"/>
        <w:bidi w:val="0"/>
        <w:spacing w:before="240" w:after="0"/>
        <w:jc w:val="left"/>
        <w:rPr>
          <w:rFonts w:ascii="Times New Roman" w:hAnsi="Times New Roman"/>
          <w:sz w:val="20"/>
        </w:rPr>
      </w:pPr>
      <w:r>
        <w:rPr>
          <w:rFonts w:ascii="Times New Roman" w:hAnsi="Times New Roman"/>
          <w:sz w:val="20"/>
        </w:rPr>
        <w:t xml:space="preserve">Our patents or pending patent applications may be challenged in the courts or patent offices in the United States and abroad. For example, we may be subject to a third-party pre-issuance submission of prior art to the USPTO or become involved in post-grant review procedures, oppositions, derivations, reexaminations, or </w:t>
      </w:r>
      <w:r>
        <w:rPr>
          <w:rFonts w:ascii="Times New Roman" w:hAnsi="Times New Roman"/>
          <w:i/>
          <w:sz w:val="20"/>
        </w:rPr>
        <w:t>inter partes</w:t>
      </w:r>
      <w:r>
        <w:rPr>
          <w:rFonts w:ascii="Times New Roman" w:hAnsi="Times New Roman"/>
          <w:sz w:val="20"/>
        </w:rPr>
        <w:t xml:space="preserve"> review proceedings, in the United States or elsewhere, challenging our patent rights or the patent rights of others.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Any failure to obtain or maintain patent protection with respect to our product candidates could have a material adverse effect on our business, financial condition, results of operations and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Intellectual property rights do not necessarily address all potential threats to our competitive advantage. </w:t>
      </w:r>
    </w:p>
    <w:p>
      <w:pPr>
        <w:pStyle w:val="TextBody"/>
        <w:bidi w:val="0"/>
        <w:spacing w:before="240" w:after="0"/>
        <w:jc w:val="left"/>
        <w:rPr>
          <w:rFonts w:ascii="Times New Roman" w:hAnsi="Times New Roman"/>
          <w:sz w:val="20"/>
        </w:rPr>
      </w:pPr>
      <w:r>
        <w:rPr>
          <w:rFonts w:ascii="Times New Roman" w:hAnsi="Times New Roman"/>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product candidates that are similar to ours but that are not covered by the claims of the patents that we own or have exclusively licensed;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our licensors or future collaborators might not have been the first to make the inventions covered by the issued patent or pending patent application that we own or have exclusively licensed;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our licensors or future collaborators might not have been the first to file patent applications covering certain of our inventions;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our technologies without infringing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our pending patent applications will not lead to issued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patents that we own or have exclusively licensed may be held invalid or unenforceable, as a result of legal challenges by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develop additional proprietary technologies that are patentable;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cannot predict the scope of protection of any patent issuing based on our patent applications, including whether the patent applications that we own or in-license will result in issued patents with claims that cover our product candidates or uses thereof in the United States or in other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claims of any patent issuing based on our patent applications may not provide protection against competitors or any competitive advantages, or may be challenged by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enforced, a court may not hold that our patents are valid, enforceable and infringed;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need to initiate litigation or administrative proceedings to enforce and/or defend our patent rights which will be costly whether we win or lose;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choose not to file a patent in order to maintain certain trade secrets or know-how, and a third party may subsequently file a patent covering such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fail to adequately protect and police our trademarks and trade secrets;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patents of others may have an adverse effect on our business, including if others obtain patents claiming subject matter similar to or improving that covered by our patents and patent applications.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any of these events occur, they could significantly harm our business, results of operations and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Confidentiality agreements with employees and third parties may not prevent unauthorized disclosure of trade secrets and other proprietary information. If we are unable to protect the confidentiality of our trade secrets, our business and competitive position would be harmed.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candidates, technology and product discovery and development processes that involve proprietary know-how, information, or technology that is not covered by patents.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Trade secrets and confidential information, however, may be difficult to protect. We seek to protect our trade secrets, know-how and confidential information, including our proprietary processes, in part, by entering into confidentiality agreements with our employees, consultants, outside scientific advisors, contractors, and collaborators. We require our employees to enter into written employment agreements containing provisions of confidentiality and obligations to assign to us any inventions generated in the course of their employment.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Although we use reasonable efforts to protect our trade secrets, our employees, consultants, outside scientific advisors, contractors, and collaborators might intentionally or inadvertently disclose our trade secret information to competitors. In addition, competitors may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any of our trade secrets were to be lawfully obtained or independently developed by a competitor or other third 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will not be able to establish or maintain a competitive advantage in our market, which could materially adversely affect our business, operating results, and financial condition.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Third-party claims of intellectual property infringement against us or our collaborators may prevent or delay our product discovery and development efforts. </w:t>
      </w:r>
    </w:p>
    <w:p>
      <w:pPr>
        <w:pStyle w:val="TextBody"/>
        <w:bidi w:val="0"/>
        <w:spacing w:before="240" w:after="0"/>
        <w:jc w:val="left"/>
        <w:rPr>
          <w:rFonts w:ascii="Times New Roman" w:hAnsi="Times New Roman"/>
          <w:sz w:val="20"/>
        </w:rPr>
      </w:pPr>
      <w:r>
        <w:rPr>
          <w:rFonts w:ascii="Times New Roman" w:hAnsi="Times New Roman"/>
          <w:sz w:val="20"/>
        </w:rPr>
        <w:t xml:space="preserve">Our commercial success depends in part on our avoiding infringement of the patents and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hAnsi="Times New Roman"/>
          <w:i/>
          <w:sz w:val="20"/>
        </w:rPr>
        <w:t>inter partes</w:t>
      </w:r>
      <w:r>
        <w:rPr>
          <w:rFonts w:ascii="Times New Roman" w:hAnsi="Times New Roman"/>
          <w:sz w:val="20"/>
        </w:rPr>
        <w:t xml:space="preserve"> review, post-grant review and reexamination proceedings before the USPTO or oppositions and other comparable proceedings in foreign jurisdictions. Furthermore, patent reform and changes to patent laws add uncertainty to the possibility of challenge to our patents in the future. We cannot assure you that our product candidates and other proprietary technologies we may develop will not infringe existing or future patents owned by third parties. Litigation or other legal proceedings relating to intellectual property claims, with or without merit, is unpredictable and generally expensive and time consuming and, even if resolved in our favor, is likely to divert significant resources from our core business, including distracting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w:t>
      </w:r>
    </w:p>
    <w:p>
      <w:pPr>
        <w:pStyle w:val="TextBody"/>
        <w:bidi w:val="0"/>
        <w:spacing w:before="240" w:after="0"/>
        <w:jc w:val="left"/>
        <w:rPr>
          <w:rFonts w:ascii="Times New Roman" w:hAnsi="Times New Roman"/>
          <w:sz w:val="20"/>
        </w:rPr>
      </w:pPr>
      <w:r>
        <w:rPr>
          <w:rFonts w:ascii="Times New Roman" w:hAnsi="Times New Roman"/>
          <w:sz w:val="20"/>
        </w:rPr>
        <w:t xml:space="preserve">Numerous U.S. and foreign issued patents and pending patent applications owned by third parties exist in the fields in which we are developing our product candidates. We cannot provide any assurances that third-party patents do not exist which might be enforced against our current product candidates or future products, resulting in either an injunction prohibiting our sales, or, with respect to our sales, an obligation on our part to pay royalties and/or other forms of compensation to third parties. As the biotechnology and pharmaceutical industries expand and more patents are issued, the risk increases that our product candidates may give rise to claims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infringement of the patent rights of others. Third parties may assert that we infringe their patents or other intellectual property, or that we are otherwise employing their proprietary technology without authorization, and may sue us. There may be third-party patents of which we are currently unaware with claims to compositions, formulations, methods of manufacture, or methods of use or treatment that cover our product candidates. It is also possible that patents owned by third parties of which we are aware, but which we do not believe are relevant to our product candidates and other proprietary technologies we may develop, could be found to be infringed by our product candidate. Because patent applications can take many years to issue, there may be currently pending patent applications that may later result in issued patents that our product candidates may infringe. In addition, third parties, our competitors in both the United States and abroad, many of which have substantially greater resources and have made substantial investments in patent portfolios and competing technologies, may obtain patents in the future that may prevent, limit or otherwise interfere with our ability to make, use and sell our product candidates, and may claim that use of our technologies or the manufacture, use, or sale of our product candidates infringes upon these patents. If any such third-party patents were held by a court of competent jurisdiction to cover our technologies or product candidates, or if we are found to otherwise infringe a third-partys intellectual property rights, the holders of any such patents may be able to block, including by court order, our ability to develop, manufacture or commercialize the applicable product candidate unless we obtain a license under the applicable patents or other intellectual property, or until such patents expire or are finally determined to be held invalid or unenforceable. Such a license may not be available on commercially reasonable terms or at all. Even if we were able to obtain a license, it could be non-exclusive, thereby giving our competitors access to the same technologies licensed to us. If we are unable to obtain a necessary license to a third-party patent on commercially reasonable terms, our ability to commercialize our product candidates may be impaired or delayed, which could in turn significantly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The pharmaceutical and biotechnology industries have produced a considerable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United States, proving invalidity in court requires a showing of clear and convincing evidence to overcome the presumption of validity enjoyed by issued patents, and there is no assurance that a court of competent jurisdiction would invalidate the claims of any such U.S. patent. Even if we are successful in these proceedings, we may incur substantial costs and the time and attention of our management and scientific personnel could be diverted in pursuing these proceedings, which could have a material adverse effect on our business and operations. In addition, we may not have sufficient resources to bring these actions to a successful conclusion. </w:t>
      </w:r>
    </w:p>
    <w:p>
      <w:pPr>
        <w:pStyle w:val="TextBody"/>
        <w:bidi w:val="0"/>
        <w:spacing w:before="240" w:after="0"/>
        <w:jc w:val="left"/>
        <w:rPr>
          <w:rFonts w:ascii="Times New Roman" w:hAnsi="Times New Roman"/>
          <w:sz w:val="20"/>
        </w:rPr>
      </w:pPr>
      <w:r>
        <w:rPr>
          <w:rFonts w:ascii="Times New Roman" w:hAnsi="Times New Roman"/>
          <w:sz w:val="20"/>
        </w:rPr>
        <w:t xml:space="preserve">Third parties asserting their patent or other intellectual property rights against us may seek and obtain injunctive or other equitable relief, which could effectively block our ability to further develop and commercialize our product candidates or force us to cease some of our business operations. Defense of these claims, regardless of their merit, would involve substantial litigation expense and would be a substantial diversion of management and other employee resources from our business, cause development delays, and may impact our reputation.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on a cost-effective basis or require substantial time and monetary expenditure. In that event, we would be unable to further develop and commercialize our product candidates, which could harm our business significantly. Claims that we have misappropriated the confidential information or trade secrets of third parties could have a similar negative impact on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not be able to protect our intellectual property rights throughout the world. </w:t>
      </w:r>
    </w:p>
    <w:p>
      <w:pPr>
        <w:pStyle w:val="TextBody"/>
        <w:bidi w:val="0"/>
        <w:spacing w:before="240" w:after="0"/>
        <w:jc w:val="left"/>
        <w:rPr>
          <w:rFonts w:ascii="Times New Roman" w:hAnsi="Times New Roman"/>
          <w:sz w:val="20"/>
        </w:rPr>
      </w:pPr>
      <w:r>
        <w:rPr>
          <w:rFonts w:ascii="Times New Roman" w:hAnsi="Times New Roman"/>
          <w:sz w:val="20"/>
        </w:rPr>
        <w:t xml:space="preserve">Patents are of national or regional effect, and filing, prosecuting, maintaining and defending patents on product candidates in all countries throughout the world would be prohibitively expensive, and our intellectual property rights in some countries outside the United States can have a different scope and strength than do those in the United States. In addition, the laws of some foreign countries, particularly certain developing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United States. These products may compete with our products and our patents or other intellectual property rights may not be effective or adequate to prevent them from competing. </w:t>
      </w:r>
    </w:p>
    <w:p>
      <w:pPr>
        <w:pStyle w:val="TextBody"/>
        <w:bidi w:val="0"/>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 and other intellectual property rights in foreign jurisdictions could result in substantial costs and divert our efforts and attention from other aspects of our business. Furthermore, such proceedings could put our patents at risk of being invalidated, held unenforceable, or interpreted narrowly,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 In addition, certain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third-party, which could materially diminish the value of those patents. In addition, many countries limit the enforceability of patents against government agencies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expense and uncertainty of litigation, we may conclude that even if a third-party is infringing our issued patents, any patents that may be issued as a result of our pending or future patent applications or other intellectual property rights, the risk-adjusted cost of bringing and enforcing such a claim or action, which typically last for years before they are concluded,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monetary cost of such litigation and the diversion of the attention of our management and scientific personnel could outweigh any benefit we receive as a result of the proceedings and that the more prudent course of action is to simply monitor the situation or initiate or seek some other non-litigious action or solution. In addition, the uncertainties associated with litigation could compromise our ability to raise the funds necessary to continue our clinical trials, continue our internal research programs, in-license needed technology or other product candidates, or enter into development partnerships that would help us bring our product candidates to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be involved in lawsuits to protect or enforce our patents or other intellectual property or the intellectual property of our licensors, which could be expensive, time-consuming, and unsuccessful. </w:t>
      </w:r>
    </w:p>
    <w:p>
      <w:pPr>
        <w:pStyle w:val="TextBody"/>
        <w:bidi w:val="0"/>
        <w:spacing w:before="240" w:after="0"/>
        <w:jc w:val="left"/>
        <w:rPr>
          <w:rFonts w:ascii="Times New Roman" w:hAnsi="Times New Roman"/>
          <w:sz w:val="20"/>
        </w:rPr>
      </w:pPr>
      <w:r>
        <w:rPr>
          <w:rFonts w:ascii="Times New Roman" w:hAnsi="Times New Roman"/>
          <w:sz w:val="20"/>
        </w:rPr>
        <w:t xml:space="preserve">Competitors may infringe our patents or other intellectual property or the intellectual property of our licensors. To cease such infringement or unauthorized use, we may be required to file patent infringement claims, which can be expensive and time-consuming and divert the time and attention of our management and scientific personnel. Our pending patent applications cannot be enforced against third parties practicing the technology claimed in such applications unless and until a patent issues from such applications. In addition, in an infringement proceeding or a declaratory judgment action,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t>
      </w:r>
    </w:p>
    <w:p>
      <w:pPr>
        <w:pStyle w:val="TextBody"/>
        <w:bidi w:val="0"/>
        <w:spacing w:before="240" w:after="0"/>
        <w:jc w:val="left"/>
        <w:rPr>
          <w:rFonts w:ascii="Times New Roman" w:hAnsi="Times New Roman"/>
          <w:sz w:val="20"/>
        </w:rPr>
      </w:pPr>
      <w:r>
        <w:rPr>
          <w:rFonts w:ascii="Times New Roman" w:hAnsi="Times New Roman"/>
          <w:sz w:val="20"/>
        </w:rPr>
        <w:t xml:space="preserve">Interference or derivation proceedings provoked by third parties or brought by the USPTO may be necessary to determine the priority of inventions with respect to, or the correct inventorship of,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Litigation, interference, derivation or other proceedings may result in a decision adverse to our interests and, even if we are successful, may result in substantial costs and distract our management and other employees. </w:t>
      </w:r>
    </w:p>
    <w:p>
      <w:pPr>
        <w:pStyle w:val="TextBody"/>
        <w:bidi w:val="0"/>
        <w:spacing w:before="240" w:after="0"/>
        <w:jc w:val="left"/>
        <w:rPr>
          <w:rFonts w:ascii="Times New Roman" w:hAnsi="Times New Roman"/>
          <w:sz w:val="20"/>
        </w:rPr>
      </w:pPr>
      <w:r>
        <w:rPr>
          <w:rFonts w:ascii="Times New Roman" w:hAnsi="Times New Roman"/>
          <w:sz w:val="20"/>
        </w:rPr>
        <w:t xml:space="preserve">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 </w:t>
      </w:r>
    </w:p>
    <w:p>
      <w:pPr>
        <w:pStyle w:val="TextBody"/>
        <w:bidi w:val="0"/>
        <w:spacing w:before="240" w:after="0"/>
        <w:jc w:val="left"/>
        <w:rPr>
          <w:rFonts w:ascii="Times New Roman" w:hAnsi="Times New Roman"/>
          <w:b/>
          <w:i/>
          <w:sz w:val="20"/>
        </w:rPr>
      </w:pPr>
      <w:r>
        <w:rPr>
          <w:rFonts w:ascii="Times New Roman" w:hAnsi="Times New Roman"/>
          <w:b/>
          <w:i/>
          <w:sz w:val="20"/>
        </w:rPr>
        <w:t xml:space="preserve">Issued patents covering our product candidates could be found invalid or unenforceable if challenged in court or before the USPTO or comparable foreign authority. </w:t>
      </w:r>
    </w:p>
    <w:p>
      <w:pPr>
        <w:pStyle w:val="TextBody"/>
        <w:bidi w:val="0"/>
        <w:spacing w:before="240" w:after="0"/>
        <w:jc w:val="left"/>
        <w:rPr>
          <w:rFonts w:ascii="Times New Roman" w:hAnsi="Times New Roman"/>
          <w:sz w:val="20"/>
        </w:rPr>
      </w:pPr>
      <w:r>
        <w:rPr>
          <w:rFonts w:ascii="Times New Roman" w:hAnsi="Times New Roman"/>
          <w:sz w:val="20"/>
        </w:rPr>
        <w:t xml:space="preserve">If we or one of our licensing partners initiate legal proceedings against a third party to enforce a patent covering one of our product candidates, the defendant could counterclaim we infringe their patents or that the patent covering our product candidate is invalid or unenforceable, or both. In patent litigation in the United States, defendant counterclaims alleging invalidity or unenforceability are commonplace, and there are numerous grounds upon which a third party can assert invalidity or unenforceability of a patent, including lack of novelty, obviousness, non-enablement or insufficient written description or that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w:t>
      </w:r>
      <w:r>
        <w:rPr>
          <w:rFonts w:ascii="Times New Roman" w:hAnsi="Times New Roman"/>
          <w:i/>
          <w:sz w:val="20"/>
        </w:rPr>
        <w:t>inter partes</w:t>
      </w:r>
      <w:r>
        <w:rPr>
          <w:rFonts w:ascii="Times New Roman" w:hAnsi="Times New Roman"/>
          <w:sz w:val="20"/>
        </w:rPr>
        <w:t xml:space="preserve">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invention at issue on the grounds that our patent claims do not cover the invention, or decide that the other partys use of our patented technology falls under the safe harbor to patent infringement under 35 U.S.C. § 271I(1). With respect to the validity of our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and such an outcome may limit our ability to assert our patents against those parties or other competitors and may curtail or preclude our ability to exclude third parties from making and selling similar or competitive products. Such a loss of patent protection could have a material adverse impact on our business.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before="240" w:after="0"/>
        <w:jc w:val="left"/>
        <w:rPr>
          <w:rFonts w:ascii="Times New Roman" w:hAnsi="Times New Roman"/>
          <w:b/>
          <w:i/>
          <w:sz w:val="20"/>
        </w:rPr>
      </w:pPr>
      <w:r>
        <w:rPr>
          <w:rFonts w:ascii="Times New Roman" w:hAnsi="Times New Roman"/>
          <w:b/>
          <w:i/>
          <w:sz w:val="20"/>
        </w:rPr>
        <w:t xml:space="preserve">Changes in U.S. patent law could diminish the value of patents in general, thereby impairing our ability to protect our products. </w:t>
      </w:r>
    </w:p>
    <w:p>
      <w:pPr>
        <w:pStyle w:val="TextBody"/>
        <w:bidi w:val="0"/>
        <w:spacing w:before="240" w:after="0"/>
        <w:jc w:val="left"/>
        <w:rPr>
          <w:rFonts w:ascii="Times New Roman" w:hAnsi="Times New Roman"/>
          <w:sz w:val="20"/>
        </w:rPr>
      </w:pPr>
      <w:r>
        <w:rPr>
          <w:rFonts w:ascii="Times New Roman" w:hAnsi="Times New Roman"/>
          <w:sz w:val="20"/>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United States could increase the uncertainties and costs, and may diminish our ability to protect our inventions, obtain, maintain, and enforce our intellectual property rights and, more generally, could affect the value of our intellectual property or narrow the scope of our owned and licensed patents. Recent patent reform legislation in the United States and other countries, including the Leahy-Smith America Invents Act, or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Times New Roman" w:hAnsi="Times New Roman"/>
          <w:i/>
          <w:sz w:val="20"/>
        </w:rPr>
        <w:t>inter partes</w:t>
      </w:r>
      <w:r>
        <w:rPr>
          <w:rFonts w:ascii="Times New Roman" w:hAnsi="Times New Roman"/>
          <w:sz w:val="20"/>
        </w:rPr>
        <w:t xml:space="preserve"> review, and derivation proceedings. 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third-party was the first to invent the claimed invention. A third party that files a patent application in the USPTO after March 2013, but before we file an application covering the same invention,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(1) file any patent application related to our product candidates and other proprietary technologies we may develop or (2) invent any of the inventions claimed in our or our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in a series of cases, the U.S. Supreme Court held that certain claims do not present patentable subject matter (</w:t>
      </w:r>
      <w:r>
        <w:rPr>
          <w:rFonts w:ascii="Times New Roman" w:hAnsi="Times New Roman"/>
          <w:i/>
          <w:sz w:val="20"/>
        </w:rPr>
        <w:t>Mayo Collaborative Services v. Prometheus Laboratories, Inc.</w:t>
      </w:r>
      <w:r>
        <w:rPr>
          <w:rFonts w:ascii="Times New Roman" w:hAnsi="Times New Roman"/>
          <w:sz w:val="20"/>
        </w:rPr>
        <w:t xml:space="preserve"> (2012); </w:t>
      </w:r>
      <w:r>
        <w:rPr>
          <w:rFonts w:ascii="Times New Roman" w:hAnsi="Times New Roman"/>
          <w:i/>
          <w:sz w:val="20"/>
        </w:rPr>
        <w:t>Assoc. for Molecular Pathology v. Myriad Genetics, Inc.</w:t>
      </w:r>
      <w:r>
        <w:rPr>
          <w:rFonts w:ascii="Times New Roman" w:hAnsi="Times New Roman"/>
          <w:sz w:val="20"/>
        </w:rPr>
        <w:t xml:space="preserve"> (2013); </w:t>
      </w:r>
      <w:r>
        <w:rPr>
          <w:rFonts w:ascii="Times New Roman" w:hAnsi="Times New Roman"/>
          <w:i/>
          <w:sz w:val="20"/>
        </w:rPr>
        <w:t>Alice Corp. v. CLS Bank International</w:t>
      </w:r>
      <w:r>
        <w:rPr>
          <w:rFonts w:ascii="Times New Roman" w:hAnsi="Times New Roman"/>
          <w:sz w:val="20"/>
        </w:rPr>
        <w:t xml:space="preserve"> (2014)). Although we do not believe that any of the patents owned or licensed by us will be found invalid based on this decision, we cannot predict how future decisions by Congress, the federal courts or the USPTO may impact the value of our patents. </w:t>
      </w:r>
    </w:p>
    <w:p>
      <w:pPr>
        <w:pStyle w:val="TextBody"/>
        <w:bidi w:val="0"/>
        <w:spacing w:before="240" w:after="0"/>
        <w:jc w:val="left"/>
        <w:rPr>
          <w:rFonts w:ascii="Times New Roman" w:hAnsi="Times New Roman"/>
          <w:b/>
          <w:i/>
          <w:sz w:val="20"/>
        </w:rPr>
      </w:pPr>
      <w:r>
        <w:rPr>
          <w:rFonts w:ascii="Times New Roman" w:hAnsi="Times New Roman"/>
          <w:b/>
          <w:i/>
          <w:sz w:val="20"/>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240" w:after="0"/>
        <w:jc w:val="left"/>
        <w:rPr>
          <w:rFonts w:ascii="Times New Roman" w:hAnsi="Times New Roman"/>
          <w:sz w:val="20"/>
        </w:rPr>
      </w:pPr>
      <w:r>
        <w:rPr>
          <w:rFonts w:ascii="Times New Roman" w:hAnsi="Times New Roman"/>
          <w:sz w:val="20"/>
        </w:rPr>
        <w:t xml:space="preserve">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Although an inadvertent lapse, including due to the effect of the COVID-19 pandemic on us or our patent maintenance vendors,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any such event, our competitors might be able to enter the market, which would have a material adverse effect on our business.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lives of our patents may not be sufficient to effectively protect our products and business. </w:t>
      </w:r>
    </w:p>
    <w:p>
      <w:pPr>
        <w:pStyle w:val="TextBody"/>
        <w:bidi w:val="0"/>
        <w:spacing w:before="240" w:after="0"/>
        <w:jc w:val="left"/>
        <w:rPr>
          <w:rFonts w:ascii="Times New Roman" w:hAnsi="Times New Roman"/>
          <w:sz w:val="20"/>
        </w:rPr>
      </w:pPr>
      <w:r>
        <w:rPr>
          <w:rFonts w:ascii="Times New Roman" w:hAnsi="Times New Roman"/>
          <w:sz w:val="20"/>
        </w:rPr>
        <w:t xml:space="preserve">Patents have a limited lifespan. In the United States, if all maintenance fees are paid timely, the natural expiration of a patent is generally 20 years after its first effective filing date. Although various extensions may be available, the life of a patent, and the protection it affords, is limited.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medications. The launch of a generic version of one of our products in particular would be likely to result in an immediate and substantial reduction in the demand for that product, which could have a material adverse effect on our business, financial condition, results of operations and prospects. As a result, our patent portfolio may not provide us with sufficient rights to exclude others from commercializing product candidates similar or identical to ours. In addition, although upon issuance in the United States a patents life can be increased based on certain delays caused by the USPTO, this increase can be reduced or eliminated based on certain delays caused by the patent applicant during patent prosecution. A patent term extension based on regulatory delay may be available in the United States.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case, and our revenue could be reduced, possibly materially. If we do not have sufficient patent life to protect our products, our business and results of operations will be adversely affected.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be subject to claims challenging the inventorship or ownership of our patents and other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For example, we may have inventorship disputes arise from conflicting obligations of consultants or others who are involved in developing our product candidates. Alternatively, or additionally, we may enter into agreements to clarify the scope of our rights in such intellectual property.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before="240" w:after="0"/>
        <w:jc w:val="left"/>
        <w:rPr>
          <w:rFonts w:ascii="Times New Roman" w:hAnsi="Times New Roman"/>
          <w:sz w:val="20"/>
        </w:rPr>
      </w:pPr>
      <w:r>
        <w:rPr>
          <w:rFonts w:ascii="Times New Roman" w:hAnsi="Times New Roman"/>
          <w:sz w:val="20"/>
        </w:rPr>
        <w:t xml:space="preserve">We or our licensors may have relied on third-party consultants or collaborators or on funds from third parties, such as the U.S. government, such that we or our licensors are not the sole and exclusive owners of the patents we in-licensed. If other third parties have ownership rights or other rights to our patents, including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our trademarks and trade names are not adequately protected, then we may not be able to build name recognition in our markets of interest and our business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Our current or future trademarks or trade names may be challenged, infringed, circumvented or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guidelines for how our trademarks and trade names may be used, a breach of these agreements or misuse of our trademarks and tradenames by our licensees may jeopardize our rights in or diminish the goodwill associated with our trademarks and trade names. </w:t>
      </w:r>
    </w:p>
    <w:p>
      <w:pPr>
        <w:pStyle w:val="TextBody"/>
        <w:bidi w:val="0"/>
        <w:spacing w:before="240" w:after="0"/>
        <w:jc w:val="left"/>
        <w:rPr>
          <w:rFonts w:ascii="Times New Roman" w:hAnsi="Times New Roman"/>
          <w:sz w:val="20"/>
        </w:rPr>
      </w:pPr>
      <w:r>
        <w:rPr>
          <w:rFonts w:ascii="Times New Roman" w:hAnsi="Times New Roman"/>
          <w:sz w:val="20"/>
        </w:rPr>
        <w:t xml:space="preserve">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internal computer systems, or those used by our third-party research institution collaborators, CROs, CDMOs or other contractors or consultants, may fail or suffer security breaches. </w:t>
      </w:r>
    </w:p>
    <w:p>
      <w:pPr>
        <w:pStyle w:val="TextBody"/>
        <w:bidi w:val="0"/>
        <w:spacing w:before="240" w:after="0"/>
        <w:jc w:val="left"/>
        <w:rPr>
          <w:rFonts w:ascii="Times New Roman" w:hAnsi="Times New Roman"/>
          <w:sz w:val="20"/>
        </w:rPr>
      </w:pPr>
      <w:r>
        <w:rPr>
          <w:rFonts w:ascii="Times New Roman" w:hAnsi="Times New Roman"/>
          <w:sz w:val="20"/>
        </w:rPr>
        <w:t xml:space="preserve">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Despite the implementation of security measures, our internal computer systems and those of our future CROs and CDMOs, and other contractors and consultants are vulnerable to damage from a variety of threats, including computer viruses and unauthorized access. Although to our knowledge we have not experienced any such material system failure, accident or security breach to date, if such an event were to occur and negatively affect our operations, it could result in a material disruption of our development programs and our business operations. Further, we cannot assure that our data protection efforts and our investment in information technology will prevent significant breakdowns, data leakages, breaches in our systems or other cyber incidents that could have a material adverse effect upon our reputation, business, operations or financial condition. For example, the loss of clinical trial data from completed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To the extent that any disruption or security incident were to result in an actual or perceived loss of, or damage to, our data or applications, or inappropriate disclosure of confidential or proprietary information or patient information, we could incur liability and the further development and commercialization of our product candidates could be delayed. </w:t>
      </w:r>
    </w:p>
    <w:p>
      <w:pPr>
        <w:pStyle w:val="TextBody"/>
        <w:bidi w:val="0"/>
        <w:spacing w:before="240" w:after="0"/>
        <w:jc w:val="left"/>
        <w:rPr>
          <w:rFonts w:ascii="Times New Roman" w:hAnsi="Times New Roman"/>
          <w:sz w:val="20"/>
        </w:rPr>
      </w:pPr>
      <w:r>
        <w:rPr>
          <w:rFonts w:ascii="Times New Roman" w:hAnsi="Times New Roman"/>
          <w:sz w:val="20"/>
        </w:rPr>
        <w:t xml:space="preserve">Furthermore, significant disruptions of our internal information technology systems or security breaches could result in the loss, misappropriation, and/or unauthorized access, use, or disclosure of, or the prevention of access to, confidential information (including trade secrets or other intellectual property, proprietary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have and will enter into collaboration, license, contract research and/or manufacturing relationships with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and enforce our intellectual property rights around the world may be inadequate to obtain a significant commercial advantage from the intellectual property that we develop or license, and we may be at heightened risk of losing our proprietary intellectual property rights around the world, including outside of such countries, to the extent such theft or intrusion destroy the proprietary nature of our intellectual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and Ownership of Our Common Stock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stock price may be volatile or may decline regardless of our operating performance, resulting in substantial losses for investors.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of our common stock may be highly volatile and may fluctuate substantially as a result of a variety of factors, some of which are related in complex ways. The market price of our common stock may fluctuate significantly in response to numerous factors, many of which are beyond our control, including the factors listed below and other factors described in this Risk Factors section: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commencement, enrollment, or results of current and future preclinical studies and clinical trials we may conduct, or changes in the development status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results or delays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unanticipated serious safety concerns related to the use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 in our regulatory filings for our product candidates and any adverse development or perceived adverse development with respect to the applicable regulatory authoritys review of such filings, including, without limitation, the issuance by the FDA of a refusal to file letter or a request for additional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or regulations, including, but not limited to, preclinical study or clinical trial requirements for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negative clinical outcomes or other adverse events related to product candidates being developed by others in the CNS field;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publication of research reports about us or our industry, or CNS programs in particular, or positive or negative recommendations or withdrawal of research coverage by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 from the COVID-19 pandemic on us or third parties with which we engage;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adverse changes to our relationship with manufacturers or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supply or distribution shortages;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commercialize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or other developments relating to proprietary rights, including patents, litigation matters, and our ability to obtain patent protection for our technologies;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our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cash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meet the estimates and projections of the investment community or that we may otherwise provide to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made by us or our competitors of new product and service offerings, acquisitions, strategic relationships,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establish collaborations, if needed;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effectively manage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press reports, whether or not true, about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or perceived potential sales of our common stock by us or our stockholders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overall fluctuations in the equity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ineffectiveness of our internal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or developments in the global regulatory environment;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involving us, our industry or both, or investigations by regulators into our operations or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political conditions, including but not limited to, geopolitical conflicts such as the war between Russia and the Ukraine and any sanctions or other repercussions that may result therefrom;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including but not limited to, rising inflation and increasing interest rates;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events or factors, many of which are beyond our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stock market in general and biotechnology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If the market price of our common stock after this offering does not exceed the initial public offering price, you may not realize any return on, and may lose some or all of, your investment.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quarterly operating results may fluctuate significantly or may fall below the expectations of investors or securities analysts, each of which may cause our stock price to fluctuate or decline. </w:t>
      </w:r>
    </w:p>
    <w:p>
      <w:pPr>
        <w:pStyle w:val="TextBody"/>
        <w:bidi w:val="0"/>
        <w:spacing w:before="240" w:after="0"/>
        <w:jc w:val="left"/>
        <w:rPr>
          <w:rFonts w:ascii="Times New Roman" w:hAnsi="Times New Roman"/>
          <w:sz w:val="20"/>
        </w:rPr>
      </w:pPr>
      <w:r>
        <w:rPr>
          <w:rFonts w:ascii="Times New Roman" w:hAnsi="Times New Roman"/>
          <w:sz w:val="20"/>
        </w:rPr>
        <w:t xml:space="preserve">We expect our operating results to be subject to quarterly fluctuations. Our net loss and other operating results will be affected by numerous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timing and variations in the level of expense related to the current or future development of our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stock-based compensation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enroll patients in clinical trials and timing and status of enrollment for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 from the COVID-19 pandemic on us or third parties with which we engage;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clinical trials, or the addition or termination of clinical trials or funding support by us or potential future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to conduct unanticipated clinical trials or trials that are larger or more complex than anticipated;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from products that compete with our product candidates, and changes in the competitive landscape of our industry, including consolidation among our competitors or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delays in regulatory review or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execution of any collaboration, licensing or similar arrangements, and the timing of payments we may make or receive under potential future arrangements or the termination or modification of any such potential future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intellectual property infringement, misappropriation or violation lawsuit or opposition, interference or cancellation proceeding in which we may become involved;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and departures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strategic decisions by us or our competitors, such as acquisitions, divestitures, spin-offs, joint ventures, strategic investments or changes in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product candidate we may develop receive regulatory approval, the timing and terms of such approval and market acceptance and demand for such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cost to establish a sales, marketing and distribution infrastructure to commercialize any products for which we may obtain marketing approval and intend to commercialize on our own or jointly with current or future collaborators;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risk/benefit profile, cost and reimbursement policies with respect to our product candidates, if approved, and existing and potential future products that compete with any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commercialize our product candidates, if approved, inside and outside of the United States, either independently or working with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collaborations, licensing or other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adequately support future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unforeseen business disruptions that increase our costs or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affecting current or future product candidates or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political conditions, including but not limited to, geopolitical conflicts such as the war between Russia and the Ukraine and any sanctions or other repercussions that may result therefrom;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conditions, including but not limited to, rising inflation and increasing interest rates.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principal stockholders and management own a significant percentage of our stock and will be able to exert significant control over matters subject to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Prior to this offering, as of March 31, 2022, our executive officers, directors, holders of 5% or more of our capital stock and their respective affiliates owned approximately        % of our outstanding voting stock and, upon the closing of this offering, that same group will own approximately        % of our outstanding voting stock (assuming no exercise of the underwriters option to purchase additional shares). Therefore, even after this offering these stockholders will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In addition, certain of our principal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including ARCH Venture Partners, have designated certain of our directors for election to the Board. This may prevent or discourage unsolicited acquisition proposals or offers for our common stock that you may feel are in your best interest as one of our stockholders. </w:t>
      </w:r>
    </w:p>
    <w:p>
      <w:pPr>
        <w:pStyle w:val="TextBody"/>
        <w:bidi w:val="0"/>
        <w:spacing w:before="240" w:after="0"/>
        <w:jc w:val="left"/>
        <w:rPr>
          <w:rFonts w:ascii="Times New Roman" w:hAnsi="Times New Roman"/>
          <w:b/>
          <w:i/>
          <w:sz w:val="20"/>
        </w:rPr>
      </w:pPr>
      <w:r>
        <w:rPr>
          <w:rFonts w:ascii="Times New Roman" w:hAnsi="Times New Roman"/>
          <w:b/>
          <w:i/>
          <w:sz w:val="20"/>
        </w:rPr>
        <w:t xml:space="preserve">Future sales of our common stock in the public market could cause our common stock price to fall.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price could decline as a result of sales of a large number of shares of common stock after this offering or the perception that these sales could occur. These sales, or the possibility that these sales may occur, might also make it more difficult for us to sell equity securities in the future at a time and price that we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Upon the completion of this offering,             shares of common stock will be outstanding (or              shares if the underwriters exercise their option to purchase additional shares from us in full), based on the number of shares outstanding as of March 31, 2022. </w:t>
      </w:r>
    </w:p>
    <w:p>
      <w:pPr>
        <w:pStyle w:val="TextBody"/>
        <w:bidi w:val="0"/>
        <w:spacing w:before="240" w:after="0"/>
        <w:jc w:val="left"/>
        <w:rPr>
          <w:rFonts w:ascii="Times New Roman" w:hAnsi="Times New Roman"/>
          <w:sz w:val="20"/>
        </w:rPr>
      </w:pPr>
      <w:r>
        <w:rPr>
          <w:rFonts w:ascii="Times New Roman" w:hAnsi="Times New Roman"/>
          <w:sz w:val="20"/>
        </w:rPr>
        <w:t xml:space="preserve">All shares of common stock expected to be sold in this offering will be freely tradable without restriction or further registration under the Securities Act unless held by our affiliates as defined in Rule 144 under the Securities Act. The resale of the remaining            shares, or        % of our outstanding shares of common stock following this offering, is currently prohibited or otherwise restricted, subject to certain limited exceptions, as a result of securities law provisions, market standoff agreements entered into by certain of our stockholders with us or lock-up agreements entered into by our stockholders with the underwriters in connection with this offering. However, subject to applicable securities law restrictions, these shares will be able to be sold in the public market beginning on the 181st day after the date of this prospectus. Shares issued upon the exercise of stock options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 For more information, see the section titled Shares Eligible for Future Sale. </w:t>
      </w:r>
    </w:p>
    <w:p>
      <w:pPr>
        <w:pStyle w:val="TextBody"/>
        <w:bidi w:val="0"/>
        <w:spacing w:before="240" w:after="0"/>
        <w:jc w:val="left"/>
        <w:rPr>
          <w:rFonts w:ascii="Times New Roman" w:hAnsi="Times New Roman"/>
          <w:sz w:val="20"/>
        </w:rPr>
      </w:pPr>
      <w:r>
        <w:rPr>
          <w:rFonts w:ascii="Times New Roman" w:hAnsi="Times New Roman"/>
          <w:sz w:val="20"/>
        </w:rPr>
        <w:t xml:space="preserve">Upon the completion of this offering, the holders of approximately            shares, or        % of our outstanding shares following this offering, of our common stock will have rights, subject to some conditions, to require us to file registration statements covering the sale of their shares or to include their shares in registration statements that we may file for ourselves or our other stockholders. We also intend to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the lock-up agreements described under Underwriting.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management team has broad discretion to use the net proceeds from this offering and its investment of these proceeds may not yield a favorable return. They may invest the net proceeds from this offering in ways with which investors disagree.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will have broad discretion over the use of net proceeds from this offering, and could spend the net proceeds in ways our stockholders may not agree with or that do not yield a favorable return, if at all. If we do not invest or apply the net proceeds from this offering in ways that improve our operating results, we may fail to achieve expected financial results, which could cause our stock price to decline. For additional details see the section titled Use of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you purchase shares of our common stock in our initial public offering, you will experience substantial and immediate dilution. </w:t>
      </w:r>
    </w:p>
    <w:p>
      <w:pPr>
        <w:pStyle w:val="TextBody"/>
        <w:bidi w:val="0"/>
        <w:spacing w:before="240" w:after="0"/>
        <w:jc w:val="left"/>
        <w:rPr>
          <w:rFonts w:ascii="Times New Roman" w:hAnsi="Times New Roman"/>
          <w:sz w:val="20"/>
        </w:rPr>
      </w:pPr>
      <w:r>
        <w:rPr>
          <w:rFonts w:ascii="Times New Roman" w:hAnsi="Times New Roman"/>
          <w:sz w:val="20"/>
        </w:rPr>
        <w:t xml:space="preserve">The assumed initial public offering price of $            per share, which is the midpoint of the price range set forth on the cover page of this prospectus, is substantially higher than the net tangible book value per share of our outstanding common stock immediately following the completion of this offering. If you purchase shares of common stock in this offering, you will experience substantial and immediate dilution in the pro forma net tangible book value per share of $            per share as of March 31, 2022. That is because the price that you pay will be substantially greater than the pro forma net tangible book value per share of the common stock that you acquire. This dilution is due in large part to the fact that our earlier investors paid substantially less than the assumed initial public offering price when they purchased their shares of our capital stock. You will experience additional dilution when those holding stock options exercise their right to purchase common stock under our equity incentive plans or when we otherwise issue additional shares of common stock. For additional details see the section titled Dilution.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do not currently intend to pay dividends on our common stock and, consequently, our stockholders ability to achieve a return on their investment will depend on appreciation of the value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 </w:t>
      </w:r>
    </w:p>
    <w:p>
      <w:pPr>
        <w:pStyle w:val="TextBody"/>
        <w:bidi w:val="0"/>
        <w:spacing w:before="240" w:after="0"/>
        <w:jc w:val="left"/>
        <w:rPr>
          <w:rFonts w:ascii="Times New Roman" w:hAnsi="Times New Roman"/>
          <w:b/>
          <w:i/>
          <w:sz w:val="20"/>
        </w:rPr>
      </w:pPr>
      <w:r>
        <w:rPr>
          <w:rFonts w:ascii="Times New Roman" w:hAnsi="Times New Roman"/>
          <w:b/>
          <w:i/>
          <w:sz w:val="20"/>
        </w:rPr>
        <w:t xml:space="preserve">Provisions in our amended and restated certificate of incorporation and our amended and restated bylaws and Delaware law might discourage, delay or prevent a change in control of our company or changes in our management and, therefore, depress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each to be in effect immediately prior to the completion of this offering, will contain provisions that could depress the market price of our common stock by acting to discourage, delay, or prevent a change in control of our company or changes in our management that the stockholders of our company may deem advantageous. These provisions,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 staggered Board divided into three classes serving staggered three-year terms, such that not all members of the Board will be elected at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our Board to issue new series of preferred stock without stockholder approval and create, subject to applicable law, a series of preferred stock with preferential rights to dividends or our assets upon liquidation, or with superior voting rights to our existing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eliminate the ability of our stockholders to call special meetings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eliminate the ability of our stockholders to fill vacancies on our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advance notice requirements for nominations for election to our Board or for proposing matters that can be acted upon by stockholders at our annual stockholder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 our Board to establish the number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our Board is expressly authorized to make, alter or repeal our amended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stockholders can remove directors only for cause and only upon the approval of not less than 66-2/3% of all outstanding shares of our voting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the approval of not less than 66-2/3% of all outstanding shares of our voting stock to amend our bylaws and specific provisions of our certificate of incorporation;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jurisdictions in which certain stockholder litigation may be brought.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Delaware corporation, we will be subject to the anti-takeover provisions of Section 203 of the Delaware General Corporation Law, which prohibits a Delaware corporation from engaging in a business combination specified in the statute with an interested stockholder (as defined in the statute) for a period of three years after the date of the transaction in which the person first becomes an interested stockholder, unless the business combination is approved in advance by a majority of the independent directors or by the holders of at least two-thirds of the outstanding disinterested shares. The application of Section 203 of the Delaware General Corporation Law could also have the effect of delaying or preventing a change of control of our company.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amended and restated certificate of incorporation will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to be in effect upon the completion of this offering will provide that, unless we consent in writing to the selection of an alternative forum, the sole and exclusive forum, to the fullest extent permitted by law, for (1) any derivative action or proceeding brought on our behalf, (2) any action asserting a breach of a fiduciary duty owed by any director, officer or other employee to us or our stockholders, (3) any action asserting a claim against us or any director, officer, or other employee arising pursuant to the Delaware General Corporation Law, (4) any action to interpret, apply, enforce, or determine the validity of our second amended and restated certificate of incorporation or amended and restated bylaws or (5) any other action asserting a claim that is governed by the internal affairs doctrine, shall be the Court of Chancery of the State of Delaware (or another state court or the federal court located within the State of Delaware if the Court of Chancery does not have or declines to accept jurisdiction), in all cases subject to the courts having jurisdiction over indispensable parties named as defendants. In addition, our amended and restated certificate of incorporation will provide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these provisions benefit us by providing increased consistency in the application of Delaware law for the specified types of actions and proceedings, the provisions may result in increased costs to stockholders to bring a claim for any such dispute and may have the effect of discouraging lawsuits against us or our directors and officers.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operating results.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ability to use our net operating loss carryforwards and other tax attributes may be limited. </w:t>
      </w:r>
    </w:p>
    <w:p>
      <w:pPr>
        <w:pStyle w:val="TextBody"/>
        <w:bidi w:val="0"/>
        <w:spacing w:before="240" w:after="0"/>
        <w:jc w:val="left"/>
        <w:rPr>
          <w:rFonts w:ascii="Times New Roman" w:hAnsi="Times New Roman"/>
          <w:sz w:val="20"/>
        </w:rPr>
      </w:pPr>
      <w:r>
        <w:rPr>
          <w:rFonts w:ascii="Times New Roman" w:hAnsi="Times New Roman"/>
          <w:sz w:val="20"/>
        </w:rPr>
        <w:t xml:space="preserve">Under Sections 382 and 383 of the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net operating loss carryforwards (NOLs) and other pre-change tax attributes (such as research and development tax credits) to offset its post-change income or taxes may be limited. We may have experienced ownership changes in the past and may experience ownership changes as a result of our acquisitions of assets and as a result of this offering and/or subsequent shifts in our stock ownership (some of which are outside our control). As a result, our ability to use our pre-change NOLs and tax credits to offset future taxable income, if any, could be subject to limitations. Similar provisions of state tax law may also apply. As a result, even if we attain profitability, we may be unable to use a material portion of our NOLs and tax credits.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Participation in this offering by our existing stockholders and/or their affiliated entities may reduce the public float for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General Risk Factors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 </w:t>
      </w:r>
    </w:p>
    <w:p>
      <w:pPr>
        <w:pStyle w:val="TextBody"/>
        <w:bidi w:val="0"/>
        <w:spacing w:before="240" w:after="0"/>
        <w:jc w:val="left"/>
        <w:rPr>
          <w:rFonts w:ascii="Times New Roman" w:hAnsi="Times New Roman"/>
          <w:sz w:val="20"/>
        </w:rPr>
      </w:pPr>
      <w:r>
        <w:rPr>
          <w:rFonts w:ascii="Times New Roman" w:hAnsi="Times New Roman"/>
          <w:sz w:val="20"/>
        </w:rPr>
        <w:t xml:space="preserve">The trading market for our common stock will be influenced in part by the research and reports that securities or industry analysts may publish about us, our business, our market, or our competitors. If one or more of these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There has been no prior public market for our common stock, and an active trading market may not develop or be sustained. </w:t>
      </w:r>
    </w:p>
    <w:p>
      <w:pPr>
        <w:pStyle w:val="TextBody"/>
        <w:bidi w:val="0"/>
        <w:spacing w:before="240" w:after="0"/>
        <w:jc w:val="left"/>
        <w:rPr>
          <w:rFonts w:ascii="Times New Roman" w:hAnsi="Times New Roman"/>
          <w:sz w:val="20"/>
        </w:rPr>
      </w:pPr>
      <w:r>
        <w:rPr>
          <w:rFonts w:ascii="Times New Roman" w:hAnsi="Times New Roman"/>
          <w:sz w:val="20"/>
        </w:rPr>
        <w:t xml:space="preserve">There has been no public market for our common stock prior to this offering. The initial public offering price for our common stock was determined through negotiations among the underwriters and us and may vary from the market price of our common stock following this offering. An active or liquid market in our common stock may not develop upon closing of this offering or, if it does develop, it may not be sustainable. The lack of an active market may impair the value of your shares, your ability to sell your shares at the time you wish to sell them and the prices that you may obtain for your shares. An inactive market may also impair our ability to raise capital by selling our common stock and our ability to acquire other companies, products, or technologies by using our common stock as consideration.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are an emerging growth company, and any decision on our part to comply only with certain reduced reporting and disclosure requirements applicable to emerging growth companies could make our common stock less attractive to investors.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have our independent registered public accounting firm audit our internal control over financial reporting under Section 404 of the Sarbanes-Oxley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in our periodic reports and annual report on Form 10-K;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non-binding advisory votes on executive compensation and stockholder approval of any golden parachute payments not previously approved.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could be an emerging growth company for up to five years following the completion of our initial public offering. Our status as an emerging growth company will end as soon as any of the following takes place: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the fiscal year in which we have more than $1.07 billion in annual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we qualify as a large accelerated filer, with at least $700 million of equity securities held by non-affiliates;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we have issued, in any three-year period, more than $1.0 billion in non-convertible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the fiscal year ending after the fifth anniversary of the completion of our initial public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cannot predict if investors will find our common stock less attractive if we choose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 volatile. </w:t>
      </w:r>
    </w:p>
    <w:p>
      <w:pPr>
        <w:pStyle w:val="TextBody"/>
        <w:bidi w:val="0"/>
        <w:spacing w:before="240" w:after="0"/>
        <w:jc w:val="left"/>
        <w:rPr>
          <w:rFonts w:ascii="Times New Roman" w:hAnsi="Times New Roman"/>
          <w:sz w:val="20"/>
        </w:rPr>
      </w:pPr>
      <w:r>
        <w:rPr>
          <w:rFonts w:ascii="Times New Roman" w:hAnsi="Times New Roman"/>
          <w:sz w:val="20"/>
        </w:rPr>
        <w:t xml:space="preserve">Under the JOBS Act, emerging growth companies can also delay adopting new or revised accounting standards until such time as those standards apply to private companies. We have elected to use this extended transition period for any new or revised accounting standards during the period in which we remain an emerging growth company; however, we may adopt certain new or revised accounting standards early. As a result, these financial statements may not be comparable to companies that comply with the new or revised accounting pronouncements as of public company effective dates.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requirements of being a public company may strain our resources, result in more litigation, and divert managements attention. </w:t>
      </w:r>
    </w:p>
    <w:p>
      <w:pPr>
        <w:pStyle w:val="TextBody"/>
        <w:bidi w:val="0"/>
        <w:spacing w:before="240" w:after="0"/>
        <w:jc w:val="left"/>
        <w:rPr>
          <w:rFonts w:ascii="Times New Roman" w:hAnsi="Times New Roman"/>
          <w:sz w:val="20"/>
        </w:rPr>
      </w:pPr>
      <w:r>
        <w:rPr>
          <w:rFonts w:ascii="Times New Roman" w:hAnsi="Times New Roman"/>
          <w:sz w:val="20"/>
        </w:rPr>
        <w:t xml:space="preserve">As a public company, we will be subject to the reporting requirements of the Exchange Act, the Sarbanes-Oxley Act, the Dodd-Frank Wall Street Reform and Consumer Protection Act, or the Dodd-Frank Act, the listing requirements of Nasdaq,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also need to hire additional employees or engage outside consultants to comply with these requirements, which will increase our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ambiguities related to their application and practice, regulatory authorities may initiate legal proceedings against us and our business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particularly to serve on our audit committee and compensation committee, and qualified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By disclosing information in this prospectus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Business disruptions could seriously harm our future revenue and financial condition and increase our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third-party manufacturers to produce our product candidates. Our ability to obtain clinical supplies of our product candidates could be disrupted if the operations of these suppliers were affected by a man-made or natural disaster or other business interruption. The occurrence of any of these business disruptions could seriously harm our operations and financial condition and increase our costs and expenses. </w:t>
      </w:r>
    </w:p>
    <w:p>
      <w:pPr>
        <w:pStyle w:val="TextBody"/>
        <w:bidi w:val="0"/>
        <w:spacing w:before="240" w:after="0"/>
        <w:jc w:val="left"/>
        <w:rPr>
          <w:rFonts w:ascii="Times New Roman" w:hAnsi="Times New Roman"/>
          <w:b/>
          <w:i/>
          <w:sz w:val="20"/>
        </w:rPr>
      </w:pPr>
      <w:r>
        <w:rPr>
          <w:rFonts w:ascii="Times New Roman" w:hAnsi="Times New Roman"/>
          <w:b/>
          <w:i/>
          <w:sz w:val="20"/>
        </w:rPr>
        <w:t xml:space="preserve">Unstable market and economic conditions may have serious adverse consequences on our business, financial condition and stock price.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future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fail to maintain proper and effective internal controls over financial reporting our ability to produce accurate and timely financial statements could be impaired.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404 of the Sarbanes-Oxley Act, our management will be required to report upon the effectiveness of our internal control over financial reporting when we lose our status as an emerging growth company and become an accelerated filer or a large accelerated filer. At that point, we will be required to have an independent registered public accounting firm attest to the effectiveness of our internal control over financial reporting. The rules governing the standards that must be met for management to assess our internal control over financial reporting are complex, judgmental and require significant documentation, testing and possible remediation. To comply with the requirements of being a reporting company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need to implement additional financial and management controls, reporting systems and procedures and hire additional accounting and finance staff.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we and/or our independent registered public accounting firm determines we have a material weakness or significant deficiency in our internal control over financial reporting, investors may lose confidence in the accuracy and completeness of our consolidated financial statements,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disclosure controls and procedures may not prevent or detect all errors or acts of fraud. </w:t>
      </w:r>
    </w:p>
    <w:p>
      <w:pPr>
        <w:pStyle w:val="TextBody"/>
        <w:bidi w:val="0"/>
        <w:spacing w:before="240" w:after="0"/>
        <w:jc w:val="left"/>
        <w:rPr>
          <w:rFonts w:ascii="Times New Roman" w:hAnsi="Times New Roman"/>
          <w:sz w:val="20"/>
        </w:rPr>
      </w:pPr>
      <w:r>
        <w:rPr>
          <w:rFonts w:ascii="Times New Roman" w:hAnsi="Times New Roman"/>
          <w:sz w:val="20"/>
        </w:rPr>
        <w:t xml:space="preserve">Upon the completion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our estimates or judgments relating to our critical accounting policies prove to be incorrect or financial reporting standards or interpretations change, our results of operations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 preparation of financial statements in conformity with generally accepted accounting principles in the United States (U.S. GAAP), requires management to make estimates and assumptions that affect the amounts reported in the consolidated financial statements and accompanying notes. We base our estimates on historical experience, known trends and events, and various other factors that we believe to be reasonable under the circumstances, as provided in Managements Discussion and Analysis of Financial Condition and Results of OperationsCritical Accounting Policies and Estimates. The results of these estimates form the basis for making judgments about the carrying values of assets and liabilities that are not readily apparent from other sources. Significant assumptions and estimates used in preparing our consolidated financial statements include but are not limited to stock-based compensation and evaluation of acquisitions of assets and other similar transactions as well as clinical trial accruals.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audited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unaudited condensed consolidated financial statements and related notes. Such changes to existing standards or changes in their interpretation may also have an adverse effect on our reputation, business, financial position, and profit.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internal computer systems, or those used by our third-party research institution collaborators, CROs or other contractors or consultants, may fail or suffer security breaches. </w:t>
      </w:r>
    </w:p>
    <w:p>
      <w:pPr>
        <w:pStyle w:val="TextBody"/>
        <w:bidi w:val="0"/>
        <w:spacing w:before="240" w:after="0"/>
        <w:jc w:val="left"/>
        <w:rPr>
          <w:rFonts w:ascii="Times New Roman" w:hAnsi="Times New Roman"/>
          <w:sz w:val="20"/>
        </w:rPr>
      </w:pPr>
      <w:r>
        <w:rPr>
          <w:rFonts w:ascii="Times New Roman" w:hAnsi="Times New Roman"/>
          <w:sz w:val="20"/>
        </w:rPr>
        <w:t xml:space="preserve">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Despite the implementation of security measures, our internal computer systems and those of our future CROs and other contractors and consultants are vulnerable to damage from cyberattacks, phishing attacks, computer viruses, unauthorized access, natural disasters, terrorism, war and telecommunication and electrical failures.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Furthermore, significant disruptions of our internal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be subject to claims that our employees, consultants, or independent contractors have wrongfully used or disclosed confidential information of third parties. </w:t>
      </w:r>
    </w:p>
    <w:p>
      <w:pPr>
        <w:pStyle w:val="TextBody"/>
        <w:bidi w:val="0"/>
        <w:spacing w:before="240" w:after="0"/>
        <w:jc w:val="left"/>
        <w:rPr>
          <w:rFonts w:ascii="Times New Roman" w:hAnsi="Times New Roman"/>
          <w:sz w:val="20"/>
        </w:rPr>
      </w:pPr>
      <w:r>
        <w:rPr>
          <w:rFonts w:ascii="Times New Roman" w:hAnsi="Times New Roman"/>
          <w:sz w:val="20"/>
        </w:rPr>
        <w:t xml:space="preserve">We have received confidential and proprietary information from third parties. In addition, we employ individuals who were previously employed at other biotechnology or pharmaceutical companies. Although we try to ensure that individuals working for or collaborating with us do not use the proprietary information or know-how of others in their work for us, we may be subject to claims that we or our employees, consultants, or independent contractors have inadvertently or otherwise used or disclosed confidential information proprietary to these third parties or our employees former employers, or that we caused an employee to breach the terms of 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her non-competition or non-solicitation agreement. We may be subject to claims that patents and applications we have filed to protect inventions of our employees, consultants, advisors or other third parties, even those related to one or more of our product candidates, are rightfully owned by their former or concurrent employer. Litigation may be necessary to defend against these claims. Even if we are successful in defending against these claims, litigation could result in substantial cost and be a distraction to our management and employees.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could be subject to securities class action litigation. </w:t>
      </w:r>
    </w:p>
    <w:p>
      <w:pPr>
        <w:pStyle w:val="TextBody"/>
        <w:bidi w:val="0"/>
        <w:spacing w:before="240" w:after="0"/>
        <w:jc w:val="left"/>
        <w:rPr>
          <w:rFonts w:ascii="Times New Roman" w:hAnsi="Times New Roman"/>
          <w:sz w:val="20"/>
        </w:rPr>
      </w:pPr>
      <w:r>
        <w:rPr>
          <w:rFonts w:ascii="Times New Roman" w:hAnsi="Times New Roman"/>
          <w:sz w:val="20"/>
        </w:rPr>
        <w:t xml:space="preserve">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rom241143_5"/>
      <w:bookmarkEnd w:id="7"/>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particularly in the sections titled Prospectus Summary, Risk Factors, Managements Discussion and Analysis of Financial Condition and Results of Operations and Business. In some cases, you can identify these statements by forward-looking words such as aim, anticipate, believe, continue, could, estimate, expect, intend, may, might, plan, potential, predict, should, would or will, the negative of these terms and other comparable terminology. These forward-looking statements, which are subject to risks,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potential market size and size of the potential patient populations for our product candidates and any future product candidates, if approved for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clinical and regulatory development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clinical trials to demonstrate safety and efficacy of our product candidates, and other positive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with regard to the results of our clinical studies, preclinical studies and research and development programs, including the timing and availability of data from such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the number of patients that we will enroll in our clinical trials and the timing of their enrollment;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commencement of future preclinical studies and clinical trials and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acquire, discover, develop and advance product candidates into, and successfully complete,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reduce the time or increase the likelihood of success of our research and development relative to the traditional drug discovery paradigm using our precision neuroscience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improve, and the rate of improvement in, our precision neuroscience platform, including any improvements to our multimodal patient datasets and our AI/ML methods, or to realize benefits from such improvements;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translate patient data into Data Biopsy Signatures, to develop an encyclopedia of Precision Phenotypes, as well as any improved clinical trial outcomes or therapeutic benefit for patients derived therefrom;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related to our precision neuroscience platform, including but not limited to whether it will have the same impact as data-driven precision medicine has had on the oncology field;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our mission to conquer one of the greatest medical challenges of our generation;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scale our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intentions and our ability to establish collaborations and/or partnerships, and whether such collaborations and/or partnerships are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likelihood of regulatory filings and approvals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commercialization, marketing and manufacturing, including any capabilities and expectations related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keep pace with new technological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 from future regulatory, judicial, and legislative changes or developments in the United States and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intentions with respect to the commercialization of our product candidates, if approved;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effects of the COVID-19 pandemic, or other public health crises, on our preclinical and clinical programs and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business and product candidates, including additional indications for which we may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our technical operations infrastructure to avoid errors, delays, or cybersecurity breaches;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effectively manage our growth, including our ability to retain and recruit personnel, and maintain our culture;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covering our product candidates, including the projected terms of patent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expenses, future revenue, capital requirements, our needs for additional financing and our ability to obtain additional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expected use of proceeds from this offering and our existing cash, cash equivalents and marketable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over which we estimate our existing cash, cash equivalents, and marketable securities will be sufficient to fund our future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of our third-party suppliers and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time during which we will be an emerging growth company under the JOBS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to our business from general political conditions, including but not limited to, geopolitical conflicts such as the war between Russia and Ukraine and any sanctions or other repercussions that may result therefrom;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to our business from general economic conditions, including but not limited to, rising inflation and increasing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and projections relating to our competitors and our industry, including competing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including those listed under the caption Risk Factors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You should refer to the section titled Risk Factors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 The Private Securities Litigation Reform Act of 1995 and Section 27A of the Securities Act do not protect any forward-looking statements that we make in connection with this offering.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rom241143_6"/>
      <w:bookmarkEnd w:id="8"/>
      <w:r>
        <w:rPr>
          <w:rFonts w:ascii="Times New Roman" w:hAnsi="Times New Roman"/>
          <w:b/>
          <w:sz w:val="20"/>
        </w:rPr>
        <w:t xml:space="preserve">INDUSTRY AND MARKET DATA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such information and other, similar sources and on our knowledge of, and expectations about, the markets for our products. In some cases, we do not expressly refer to the sources from which this data is derived. This information involves a number of assumptions and limitations, and you are cautioned not to give undue weight to such estimates. Projections, assumptions and estimates of our future performance and the future performance of the industry in which we operate are necessarily subject to a high degree of uncertainty and risk due to a variety of factors, including but not limited to those described in the section titled Risk Factors and elsewhere in this prospectus. These and other factors could cause results to differ materially from those expressed in the estimates made by independent third parties and by 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rom241143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this offering will be approximately $            million (or approximately $            million if the underwriters exercise their option to purchase additional shares in full), assuming an initial public offering price of $            per share, which is the midpoint of the price range set forth on the cover page of this prospectus, after deducting estimated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Each $1.00 increase or decrease in the initial public offering price per share would increase or decrease, as applicable, our net proceeds, after deducting estimated underwriting discounts and commissions, by $            million (assuming no exercise of the underwriters option to purchase additional shares). Each increase or decrease of 1.0 million shares in the number of shares offered by us would increase or decrease, as applicable, our net proceeds by $            million, assuming an initial public offering price of $            per share, which is the midpoint of the price range set forth on the cover page of this prospectus, and after deducting estimated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The principal purposes of this offering are to obtain additional capital to fund our operations, create a public market for our common stock, facilitate our future access to the public equity markets, and increase awareness of our company among potential partners.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net proceeds from this offering, together with our existing cash, cash equivalents and marketable securities,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            million to fund the clinical and preclinical development of our current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            million to advance our precision neuroscience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            million to fund research and development activities for additional programs;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for working capital and other general corporate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use a portion of the net proceeds to in-license, acquire, or invest in, complementary technologies, assets, or intellectual property. We regularly evaluate strategic opportunities; however, we have no current commitments to enter into any such license arrangements or acquisition agreements or to make any such investments. </w:t>
      </w:r>
    </w:p>
    <w:p>
      <w:pPr>
        <w:pStyle w:val="TextBody"/>
        <w:bidi w:val="0"/>
        <w:spacing w:before="240" w:after="0"/>
        <w:jc w:val="left"/>
        <w:rPr>
          <w:rFonts w:ascii="Times New Roman" w:hAnsi="Times New Roman"/>
          <w:sz w:val="20"/>
        </w:rPr>
      </w:pPr>
      <w:r>
        <w:rPr>
          <w:rFonts w:ascii="Times New Roman" w:hAnsi="Times New Roman"/>
          <w:sz w:val="20"/>
        </w:rPr>
        <w:t xml:space="preserve">Based on our current operating plan, we believe that our existing cash, cash equivalents and marketable securities, together with the net proceeds from this offering, will be sufficient to meet our working capital and capital expenditure needs for at least the next             months. Our expected use of net proceeds from this offering represents our current intentions based upon present plans and business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from this offering, together with our existing cash, cash equivalents and marketable securities, will not be sufficient to fund any of our product candidates through regulatory approval, and we anticipate needing to raise additional capital to complete the development of and commercialize our product candidates. As of the date of this prospectus, we cannot predict with certainty all of the particular uses for the net proceeds to be received upon the completion of this offering, or the amounts that we will actually spend on the uses set forth above. The amounts and timing of any expenditures will vary depending on numerous factors, including the progress of our ongoing and planned clinical studies, the amount of cash used by our operations, competitive, scientific and data science developments, the rate of growth, if any, of our business, and other factors described in the section titled Risk Factors. Accordingly, our management will have significant discretion and flexibility in applying the net proceeds from this offering, and investors will be relying on the judgment of our management regarding the application of these net proceeds. Due to the many inherent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uncertainties in the development of our product candidates, the amounts and timing of our actual expenditures may vary significantly depending on numerous factors, including the progress of our research and development, our ability to obtain additional financing, the cost and results of our preclinical activities, the timing of clinical studies we may commence in the future, the timing of regulatory submissions, any collaborations that we may enter into with third parties for our product candidates or strategic opportunities that become available to us, and any unforeseen cash needs. </w:t>
      </w:r>
    </w:p>
    <w:p>
      <w:pPr>
        <w:pStyle w:val="TextBody"/>
        <w:bidi w:val="0"/>
        <w:spacing w:before="240" w:after="0"/>
        <w:jc w:val="left"/>
        <w:rPr>
          <w:rFonts w:ascii="Times New Roman" w:hAnsi="Times New Roman"/>
          <w:sz w:val="20"/>
        </w:rPr>
      </w:pPr>
      <w:r>
        <w:rPr>
          <w:rFonts w:ascii="Times New Roman" w:hAnsi="Times New Roman"/>
          <w:sz w:val="20"/>
        </w:rPr>
        <w:t xml:space="preserve">Pending the uses described above, we intend to invest the net proceeds from this offering in interest-bearing obligations, investment-grade instruments, certificates of deposit, or direct or guaranteed obligations of the U.S.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rom241143_8"/>
      <w:bookmarkEnd w:id="10"/>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any cash dividends on our capital stock and do not anticipate paying any cash dividends in the foreseeable future. We currently anticipate that we will retain all available funds for use in the operation and expansion of our business. Any future determination as to the declaration or payment of dividends on our common stock will be made at the discretion of our board of directors and will depend upon, among other factors, our financial condition, results from operations, current and anticipated cash needs, plans for expansion and other factors that our board of directors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rom241143_9"/>
      <w:bookmarkEnd w:id="11"/>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cash equivalents and marketable securities and total capitalization as of March 31,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pro forma basis to reflect the following immediately prior to the completion of this offering: (i) the conversion of all of our outstanding convertible preferred stock into an aggregate of                  shares of our common stock, (ii) the related reclassification of our convertible preferred stock aggregate carrying value to permanent equity, and (iii) the filing and effectiveness of our amended and restated certificate of incorporation, which will be effective immediately prior to the completion of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pro forma as adjusted basis to reflect: (i) the pro forma adjustments set forth above, and (ii) the issuance and sale of             shares of common stock by us in this offering at the assumed initial public offering price of $             per share, which is the midpoint of the price range set forth on the cover page of this prospectus, after deducting estimated underwriting discounts and commissions and estimated offering expenses payable by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 forma as adjusted information discussed below is illustrative only and will be adjusted based on the actual initial public offering price and other terms of this offering determined at pricing. This table should be read in conjunction with the section titled Managements Discussion and Analysis of Financial Condition and Results of Operations and our unaudited condensed consolidated financial statements and related notes included elsewhere in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66"/>
        <w:gridCol w:w="295"/>
        <w:gridCol w:w="140"/>
        <w:gridCol w:w="886"/>
        <w:gridCol w:w="155"/>
        <w:gridCol w:w="253"/>
        <w:gridCol w:w="140"/>
        <w:gridCol w:w="820"/>
        <w:gridCol w:w="60"/>
        <w:gridCol w:w="295"/>
        <w:gridCol w:w="177"/>
        <w:gridCol w:w="953"/>
        <w:gridCol w:w="65"/>
      </w:tblGrid>
      <w:tr>
        <w:trPr/>
        <w:tc>
          <w:tcPr>
            <w:tcW w:w="5966"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966"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387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March 31, 2022</w:t>
            </w:r>
          </w:p>
        </w:tc>
        <w:tc>
          <w:tcPr>
            <w:tcW w:w="65" w:type="dxa"/>
            <w:tcBorders/>
            <w:vAlign w:val="bottom"/>
          </w:tcPr>
          <w:p>
            <w:pPr>
              <w:pStyle w:val="TableContents"/>
              <w:bidi w:val="0"/>
              <w:spacing w:before="0" w:after="283"/>
              <w:jc w:val="left"/>
              <w:rPr/>
            </w:pPr>
            <w:r>
              <w:rPr/>
              <w:t> </w:t>
            </w:r>
          </w:p>
        </w:tc>
      </w:tr>
      <w:tr>
        <w:trPr/>
        <w:tc>
          <w:tcPr>
            <w:tcW w:w="5966"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0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w:t>
              <w:br/>
              <w:t>Forma</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w:t>
              <w:br/>
              <w:t>Forma as</w:t>
              <w:br/>
              <w:t>Adjusted(1)</w:t>
            </w:r>
          </w:p>
        </w:tc>
        <w:tc>
          <w:tcPr>
            <w:tcW w:w="65" w:type="dxa"/>
            <w:tcBorders/>
            <w:vAlign w:val="bottom"/>
          </w:tcPr>
          <w:p>
            <w:pPr>
              <w:pStyle w:val="TableContents"/>
              <w:bidi w:val="0"/>
              <w:spacing w:before="0" w:after="283"/>
              <w:jc w:val="left"/>
              <w:rPr/>
            </w:pPr>
            <w:r>
              <w:rPr/>
              <w:t> </w:t>
            </w:r>
          </w:p>
        </w:tc>
      </w:tr>
      <w:tr>
        <w:trPr/>
        <w:tc>
          <w:tcPr>
            <w:tcW w:w="5966"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3879" w:type="dxa"/>
            <w:gridSpan w:val="10"/>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(unaudited)</w:t>
            </w:r>
          </w:p>
          <w:p>
            <w:pPr>
              <w:pStyle w:val="TableContents"/>
              <w:bidi w:val="0"/>
              <w:spacing w:before="0" w:after="20"/>
              <w:jc w:val="center"/>
              <w:rPr>
                <w:rFonts w:ascii="Times New Roman" w:hAnsi="Times New Roman"/>
                <w:b/>
                <w:sz w:val="16"/>
              </w:rPr>
            </w:pPr>
            <w:r>
              <w:rPr>
                <w:rFonts w:ascii="Times New Roman" w:hAnsi="Times New Roman"/>
                <w:b/>
                <w:sz w:val="16"/>
              </w:rPr>
              <w:t>(in thousands, except</w:t>
              <w:br/>
              <w:t>share amounts)</w:t>
            </w:r>
          </w:p>
        </w:tc>
        <w:tc>
          <w:tcPr>
            <w:tcW w:w="65" w:type="dxa"/>
            <w:tcBorders/>
            <w:vAlign w:val="bottom"/>
          </w:tcPr>
          <w:p>
            <w:pPr>
              <w:pStyle w:val="TableContents"/>
              <w:bidi w:val="0"/>
              <w:spacing w:before="0" w:after="283"/>
              <w:jc w:val="left"/>
              <w:rPr/>
            </w:pPr>
            <w:r>
              <w:rPr/>
              <w:t> </w:t>
            </w:r>
          </w:p>
        </w:tc>
      </w:tr>
      <w:tr>
        <w:trPr/>
        <w:tc>
          <w:tcPr>
            <w:tcW w:w="5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Cash, cash equivalents and marketable securities </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6" w:type="dxa"/>
            <w:tcBorders/>
            <w:shd w:fill="CCEEFF" w:val="clear"/>
            <w:vAlign w:val="bottom"/>
          </w:tcPr>
          <w:p>
            <w:pPr>
              <w:pStyle w:val="TableContents"/>
              <w:bidi w:val="0"/>
              <w:spacing w:before="0" w:after="283"/>
              <w:jc w:val="right"/>
              <w:rPr/>
            </w:pPr>
            <w:r>
              <w:rPr/>
              <w:t>363,430</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953"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966"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95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966"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preferred stock warrant liability</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6" w:type="dxa"/>
            <w:tcBorders/>
            <w:vAlign w:val="bottom"/>
          </w:tcPr>
          <w:p>
            <w:pPr>
              <w:pStyle w:val="TableContents"/>
              <w:bidi w:val="0"/>
              <w:spacing w:before="0" w:after="283"/>
              <w:jc w:val="right"/>
              <w:rPr/>
            </w:pPr>
            <w:r>
              <w:rPr/>
              <w:t>448</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953"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5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 $0.0001 par value per share; 755,000 shares authorized, 743,126 shares issued and outstanding, actual; no shares authorized, issued or outstanding, pro forma and pro forma as adjusted</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729,858</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95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966"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(deficit) equity:</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95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per share; no shares authorized, issued or outstanding, actual;                 shares authorized, no shares issued or outstanding, pro forma and pro forma as adjusted</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95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966"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$0.0001 par value per share; 1,125,000 shares authorized, 251,475 shares issued and outstanding, actual;                 shares authorized and                 shares issued and outstanding, pro forma;                 shares authorized and                 shares issued and outstanding, pro forma as adjusted</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95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13,793</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95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966"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(178</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95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(379,647</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95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966"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966"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 equity</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(366,017</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95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966"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6" w:type="dxa"/>
            <w:tcBorders/>
            <w:shd w:fill="CCEEFF" w:val="clear"/>
            <w:vAlign w:val="bottom"/>
          </w:tcPr>
          <w:p>
            <w:pPr>
              <w:pStyle w:val="TableContents"/>
              <w:bidi w:val="0"/>
              <w:spacing w:before="0" w:after="283"/>
              <w:jc w:val="right"/>
              <w:rPr/>
            </w:pPr>
            <w:r>
              <w:rPr/>
              <w:t>364,289</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953"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966"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95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pro forma as adjusted information discussed above is illustrative only and will depend on the actual initial offering price and other terms of this offering determined at pricing. Each $1.00 increase or decrease in the assumed initial public offering price of $             per share, which is the midpoint of the price range set forth on the cover page of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would increase or decrease, as applicable, each of pro forma as adjusted cash, cash equivalents and marketable securities, additional paid-in capital, total stockholders equity and total capitalization by approximately $             million, assuming that the number of shares of common stock offered by us, as set forth on the cover page of this prospectus, remains the same, and after deducting estimated underwriting discounts and commissions and estimated offering expenses payable by us. Similarly, each increase or decrease of 1.0 million shares of common stock offered by us would increase or decrease, as applicable, each of pro forma as adjusted cash, cash equivalents and marketable securities, additional paid-in capital, total stockholders equity and total capitalization by approximately $             million, assuming that the assumed initial public offering price of $             per share, which is the midpoint of the price range set forth on the cover page of this prospectus, remains the same, and after deducting estimated underwriting discounts and commissions and estimated offering expenses payable by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exercise their option to purchase additional shares of our common stock in full, pro forma as adjusted cash, cash equivalents and marketable securities, additional paid-in capital, total stockholders equity, total capitalization and shares of common stock outstanding as of March 31, 2022 would be $             million, $             million, $            million, $             million, and             shares,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our common stock to be outstanding after this offering on a pro forma and pro forma as adjusted basis is based on                  shares of common stock outstanding as of March 31, 2022 (after giving effect to the conversion of all of our shares of convertible preferred stock outstanding as of March 31, 2022 into an aggregate of                  shares of our common stock immediately prior to the completion of this offering)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            </w:t>
            </w:r>
            <w:r>
              <w:rPr>
                <w:rFonts w:ascii="Times New Roman" w:hAnsi="Times New Roman"/>
                <w:sz w:val="20"/>
              </w:rPr>
              <w:t xml:space="preserve">shares of our common stock issuable upon the exercise of stock options outstanding as of March 31, 2022, with a weighted-average exercise price of $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            </w:t>
            </w:r>
            <w:r>
              <w:rPr>
                <w:rFonts w:ascii="Times New Roman" w:hAnsi="Times New Roman"/>
                <w:sz w:val="20"/>
              </w:rPr>
              <w:t xml:space="preserve">shares of our common stock issuable upon the exercise of stock options granted subsequent to March 31, 2022, with a weighted-average exercise price of $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 xml:space="preserve">             </w:t>
            </w:r>
            <w:r>
              <w:rPr>
                <w:rFonts w:ascii="Times New Roman" w:hAnsi="Times New Roman"/>
                <w:sz w:val="20"/>
              </w:rPr>
              <w:t xml:space="preserve">shares of common stock issuable upon the exercise of warrants outstanding as of March 31, 2022 to purchase shares of our Series A-1 convertible preferred stock with a weighted-average exercise price of $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            </w:t>
            </w:r>
            <w:r>
              <w:rPr>
                <w:rFonts w:ascii="Times New Roman" w:hAnsi="Times New Roman"/>
                <w:sz w:val="20"/>
              </w:rPr>
              <w:t xml:space="preserve">shares of our common stock reserved for future issuance under the 2020 Plan as of March 31,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            </w:t>
            </w:r>
            <w:r>
              <w:rPr>
                <w:rFonts w:ascii="Times New Roman" w:hAnsi="Times New Roman"/>
                <w:sz w:val="20"/>
              </w:rPr>
              <w:t xml:space="preserve">shares of our common stock reserved for future issuance under the 2015 Plan, which we assumed and have subsequently suspended in connection with the closing of our acquisition of BlackThorn;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            </w:t>
            </w:r>
            <w:r>
              <w:rPr>
                <w:rFonts w:ascii="Times New Roman" w:hAnsi="Times New Roman"/>
                <w:sz w:val="20"/>
              </w:rPr>
              <w:t xml:space="preserve">shares of our common stock reserved for future issuance under the 2022 Plan, which will become effective on the date immediately prior to the date our registration statement relating to this offering becomes effective, as well as any future increases in the number of shares of common stock reserved for issuance under the 2022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            </w:t>
            </w:r>
            <w:r>
              <w:rPr>
                <w:rFonts w:ascii="Times New Roman" w:hAnsi="Times New Roman"/>
                <w:sz w:val="20"/>
              </w:rPr>
              <w:t xml:space="preserve">shares of our common stock reserved for future issuance under the ESPP, which will become effective on the date immediately prior to the date our registration statement relating to this offering becomes effective, as well as any future increases in the number of shares of common stock reserved for issuance under the ESPP.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rom241143_10"/>
      <w:bookmarkEnd w:id="12"/>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purchase shares of our common stock in this offering, your ownership interest will be diluted to the extent of the difference between the initial public offering price per share of our common stock in this offering and the pro forma as adjusted net tangible book value per share of our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2022, we had a historical net tangible book value (deficit) of $             million, or $             per share of common stock. Our historical net tangible book value (deficit) represents our total tangible assets excluding deferred offering costs, less our total liabilities and convertible preferred stock, which is not included within stockholders equity (deficit), divided by the total number of shares of our common stock outstanding as of March 31, 2022. </w:t>
      </w:r>
    </w:p>
    <w:p>
      <w:pPr>
        <w:pStyle w:val="TextBody"/>
        <w:bidi w:val="0"/>
        <w:spacing w:before="240" w:after="0"/>
        <w:jc w:val="left"/>
        <w:rPr>
          <w:rFonts w:ascii="Times New Roman" w:hAnsi="Times New Roman"/>
          <w:sz w:val="20"/>
        </w:rPr>
      </w:pPr>
      <w:r>
        <w:rPr>
          <w:rFonts w:ascii="Times New Roman" w:hAnsi="Times New Roman"/>
          <w:sz w:val="20"/>
        </w:rPr>
        <w:t xml:space="preserve">Our pro forma net tangible book value as of March 31, 2022, was $             million, or $            per share. Pro forma net tangible book value represents our total tangible assets excluding deferred offering costs, less our total liabilities, after giving effect to the automatic conversion of all outstanding shares of our convertible preferred stock as of March 31, 2022 into an aggregate of              shares of our common stock as if such conversion had occurred on March 31, 2022. Pro forma net tangible book value per share represents pro forma net tangible book value divided by the total number of shares of common stock outstanding as of March 31, 2022, after giving effect to the conversion of our convertible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After giving further effect to the issuance and sale by us of the             shares of our common stock in this offering at the assumed initial public offering price of $             per share, which is the midpoint of the price range set forth on the cover page of this prospectus, and after deducting estimated underwriting discounts and commissions and estimated offering expenses payable by us, our pro forma as adjusted net tangible book value as of March 31, 2022 would be $             million, or $             per share. This represents an immediate increase in pro forma net tangible book value to our existing stockholders of $             per share and an immediate dilution to new investors of $            per share. Dilution per share to new investors represents the difference between the price per share to be paid by new investors for the shares of common stock sold in this offering and the pro forma as adjusted net tangible book value per share immediately after this offering. </w:t>
      </w:r>
    </w:p>
    <w:p>
      <w:pPr>
        <w:pStyle w:val="TextBody"/>
        <w:bidi w:val="0"/>
        <w:spacing w:before="360" w:after="0"/>
        <w:jc w:val="left"/>
        <w:rPr>
          <w:rFonts w:ascii="Times New Roman" w:hAnsi="Times New Roman"/>
          <w:sz w:val="20"/>
        </w:rPr>
      </w:pPr>
      <w:r>
        <w:rPr>
          <w:rFonts w:ascii="Times New Roman" w:hAnsi="Times New Roman"/>
          <w:sz w:val="20"/>
        </w:rPr>
        <w:t xml:space="preserve">The following table illustrates this dilution on a per share basis: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635"/>
        <w:gridCol w:w="379"/>
        <w:gridCol w:w="140"/>
        <w:gridCol w:w="796"/>
        <w:gridCol w:w="60"/>
        <w:gridCol w:w="379"/>
        <w:gridCol w:w="140"/>
        <w:gridCol w:w="796"/>
        <w:gridCol w:w="63"/>
      </w:tblGrid>
      <w:tr>
        <w:trPr/>
        <w:tc>
          <w:tcPr>
            <w:tcW w:w="6635"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63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Assumed initial public offering price per share</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6"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6635" w:type="dxa"/>
            <w:tcBorders/>
          </w:tcPr>
          <w:p>
            <w:pPr>
              <w:pStyle w:val="TableContents"/>
              <w:bidi w:val="0"/>
              <w:spacing w:before="0" w:after="0"/>
              <w:jc w:val="left"/>
              <w:rPr>
                <w:rFonts w:ascii="Times New Roman" w:hAnsi="Times New Roman"/>
                <w:sz w:val="18"/>
              </w:rPr>
            </w:pPr>
            <w:r>
              <w:rPr>
                <w:rFonts w:ascii="Times New Roman" w:hAnsi="Times New Roman"/>
                <w:sz w:val="18"/>
              </w:rPr>
              <w:t>Historical net tangible book value (deficit) per share as of March 31, 2022</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63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 forma increase in historical net tangible book value (deficit) per share as of March 31, 2022 attributable to the pro forma transactions described above</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9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635"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635" w:type="dxa"/>
            <w:tcBorders/>
          </w:tcPr>
          <w:p>
            <w:pPr>
              <w:pStyle w:val="TableContents"/>
              <w:bidi w:val="0"/>
              <w:spacing w:before="0" w:after="0"/>
              <w:jc w:val="left"/>
              <w:rPr>
                <w:rFonts w:ascii="Times New Roman" w:hAnsi="Times New Roman"/>
                <w:sz w:val="18"/>
              </w:rPr>
            </w:pPr>
            <w:r>
              <w:rPr>
                <w:rFonts w:ascii="Times New Roman" w:hAnsi="Times New Roman"/>
                <w:sz w:val="18"/>
              </w:rPr>
              <w:t>Pro forma net tangible book value per share as of March 31, 2022</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63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Increase in pro forma net tangible book value per share attributable to new investors participating in this offering</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9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635"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635" w:type="dxa"/>
            <w:tcBorders/>
          </w:tcPr>
          <w:p>
            <w:pPr>
              <w:pStyle w:val="TableContents"/>
              <w:bidi w:val="0"/>
              <w:spacing w:before="0" w:after="0"/>
              <w:jc w:val="left"/>
              <w:rPr>
                <w:rFonts w:ascii="Times New Roman" w:hAnsi="Times New Roman"/>
                <w:sz w:val="18"/>
              </w:rPr>
            </w:pPr>
            <w:r>
              <w:rPr>
                <w:rFonts w:ascii="Times New Roman" w:hAnsi="Times New Roman"/>
                <w:sz w:val="18"/>
              </w:rPr>
              <w:t>Pro forma as adjusted net tangible book value per share after this offering</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635"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63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Dilution in pro forma as adjusted net tangible book value per share to new investors participating in this offering</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6"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dilution information discussed above is illustrative only and will change based on the actual initial public offering price and other terms of this offering determined at pricing. Each $1.00 increase or decrease in the assumed initial public offering price of $             per share, which is the midpoint of the price range set forth on the cover page of this prospectus, would increase or decrease, as applicable, pro forma as adjusted net tangible book value per share to new investors by $            , and would increase or decrease, as applicable, dilution per share to new investors in this offering by $            , assuming that the number of shares offered by us, as set forth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the cover page of this prospectus, remains the same, and after deducting estimated underwriting discounts and commissions and estimated offering expenses payable by us. Similarly, each increase or decrease of 1.0 million shares in the number of shares offered by us would increase or decrease, as applicable, our pro forma as adjusted net tangible book value by approximately $             per share and increase or decrease, as applicable, the dilution to new investors by $             per share, assuming the assumed initial public offering price remains the same, and after deducting estimated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If the underwriters option to purchase additional shares is exercised in full, the pro forma as adjusted net tangible book value per share of our common stock would be $             per share, and the dilution in pro forma net tangible book value per share to new investors in this offering would be $             per share, in each case assuming an initial public offering price of $     per share, which is the midpoint of the price range set forth on the cover page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as of March 31, 2022, on a pro forma as adjusted basis, the number of shares of common stock purchased from us, the total consideration paid, or to be paid, and the average price per share paid, or to be paid, by existing stockholders and by the new investors, at the assumed initial public offering price of $             per share, the midpoint of the price range set forth on the cover page of this prospectus, before deducting estimated underwriting discounts and commissions and offering expenses payable by 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3"/>
        <w:gridCol w:w="188"/>
        <w:gridCol w:w="67"/>
        <w:gridCol w:w="858"/>
        <w:gridCol w:w="60"/>
        <w:gridCol w:w="188"/>
        <w:gridCol w:w="63"/>
        <w:gridCol w:w="798"/>
        <w:gridCol w:w="276"/>
        <w:gridCol w:w="137"/>
        <w:gridCol w:w="140"/>
        <w:gridCol w:w="834"/>
        <w:gridCol w:w="60"/>
        <w:gridCol w:w="188"/>
        <w:gridCol w:w="64"/>
        <w:gridCol w:w="796"/>
        <w:gridCol w:w="276"/>
        <w:gridCol w:w="137"/>
        <w:gridCol w:w="231"/>
        <w:gridCol w:w="1309"/>
        <w:gridCol w:w="72"/>
      </w:tblGrid>
      <w:tr>
        <w:trPr/>
        <w:tc>
          <w:tcPr>
            <w:tcW w:w="3463"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346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Purchased</w:t>
            </w:r>
          </w:p>
        </w:tc>
        <w:tc>
          <w:tcPr>
            <w:tcW w:w="2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0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 Consideration</w:t>
            </w:r>
          </w:p>
        </w:tc>
        <w:tc>
          <w:tcPr>
            <w:tcW w:w="276" w:type="dxa"/>
            <w:tcBorders/>
            <w:vAlign w:val="bottom"/>
          </w:tcPr>
          <w:p>
            <w:pPr>
              <w:pStyle w:val="TableContents"/>
              <w:bidi w:val="0"/>
              <w:spacing w:before="0" w:after="283"/>
              <w:jc w:val="left"/>
              <w:rPr/>
            </w:pPr>
            <w:r>
              <w:rPr/>
              <w:t> </w:t>
            </w:r>
          </w:p>
        </w:tc>
        <w:tc>
          <w:tcPr>
            <w:tcW w:w="137" w:type="dxa"/>
            <w:vMerge w:val="restart"/>
            <w:tcBorders/>
            <w:vAlign w:val="bottom"/>
          </w:tcPr>
          <w:p>
            <w:pPr>
              <w:pStyle w:val="TableContents"/>
              <w:bidi w:val="0"/>
              <w:spacing w:before="0" w:after="283"/>
              <w:jc w:val="left"/>
              <w:rPr/>
            </w:pPr>
            <w:r>
              <w:rPr/>
              <w:t> </w:t>
            </w:r>
          </w:p>
        </w:tc>
        <w:tc>
          <w:tcPr>
            <w:tcW w:w="154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Weighted-</w:t>
              <w:br/>
              <w:t>Average Price</w:t>
              <w:br/>
              <w:t>Per Share</w:t>
            </w:r>
          </w:p>
        </w:tc>
        <w:tc>
          <w:tcPr>
            <w:tcW w:w="72" w:type="dxa"/>
            <w:vMerge w:val="restart"/>
            <w:tcBorders/>
            <w:vAlign w:val="bottom"/>
          </w:tcPr>
          <w:p>
            <w:pPr>
              <w:pStyle w:val="TableContents"/>
              <w:bidi w:val="0"/>
              <w:spacing w:before="0" w:after="283"/>
              <w:jc w:val="left"/>
              <w:rPr/>
            </w:pPr>
            <w:r>
              <w:rPr/>
              <w:t> </w:t>
            </w:r>
          </w:p>
        </w:tc>
      </w:tr>
      <w:tr>
        <w:trPr/>
        <w:tc>
          <w:tcPr>
            <w:tcW w:w="346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6" w:type="dxa"/>
            <w:tcBorders/>
            <w:vAlign w:val="bottom"/>
          </w:tcPr>
          <w:p>
            <w:pPr>
              <w:pStyle w:val="TableContents"/>
              <w:bidi w:val="0"/>
              <w:spacing w:before="0" w:after="283"/>
              <w:jc w:val="left"/>
              <w:rPr/>
            </w:pPr>
            <w:r>
              <w:rPr/>
              <w:t> </w:t>
            </w:r>
          </w:p>
        </w:tc>
        <w:tc>
          <w:tcPr>
            <w:tcW w:w="137" w:type="dxa"/>
            <w:vMerge w:val="continue"/>
            <w:tcBorders/>
            <w:vAlign w:val="bottom"/>
          </w:tcPr>
          <w:p>
            <w:pPr>
              <w:pStyle w:val="Normal"/>
              <w:bidi w:val="0"/>
              <w:jc w:val="left"/>
              <w:rPr/>
            </w:pPr>
            <w:r>
              <w:rPr/>
            </w:r>
          </w:p>
        </w:tc>
        <w:tc>
          <w:tcPr>
            <w:tcW w:w="1540" w:type="dxa"/>
            <w:gridSpan w:val="2"/>
            <w:vMerge w:val="continue"/>
            <w:tcBorders>
              <w:bottom w:val="single" w:sz="8" w:space="0" w:color="000000"/>
            </w:tcBorders>
            <w:tcMar>
              <w:bottom w:w="28" w:type="dxa"/>
            </w:tcMar>
            <w:vAlign w:val="bottom"/>
          </w:tcPr>
          <w:p>
            <w:pPr>
              <w:pStyle w:val="Normal"/>
              <w:bidi w:val="0"/>
              <w:jc w:val="left"/>
              <w:rPr/>
            </w:pPr>
            <w:r>
              <w:rPr/>
            </w:r>
          </w:p>
        </w:tc>
        <w:tc>
          <w:tcPr>
            <w:tcW w:w="72" w:type="dxa"/>
            <w:vMerge w:val="continue"/>
            <w:tcBorders/>
            <w:vAlign w:val="bottom"/>
          </w:tcPr>
          <w:p>
            <w:pPr>
              <w:pStyle w:val="Normal"/>
              <w:bidi w:val="0"/>
              <w:jc w:val="left"/>
              <w:rPr/>
            </w:pPr>
            <w:r>
              <w:rPr/>
            </w:r>
          </w:p>
        </w:tc>
      </w:tr>
      <w:tr>
        <w:trPr/>
        <w:tc>
          <w:tcPr>
            <w:tcW w:w="346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482" w:type="dxa"/>
            <w:gridSpan w:val="18"/>
            <w:tcBorders/>
            <w:vAlign w:val="bottom"/>
          </w:tcPr>
          <w:p>
            <w:pPr>
              <w:pStyle w:val="TableContents"/>
              <w:bidi w:val="0"/>
              <w:spacing w:before="0" w:after="283"/>
              <w:jc w:val="center"/>
              <w:rPr>
                <w:b/>
              </w:rPr>
            </w:pPr>
            <w:r>
              <w:rPr>
                <w:b/>
              </w:rPr>
              <w:t>(in thousands, except share, per share and percent data)</w:t>
            </w:r>
          </w:p>
        </w:tc>
        <w:tc>
          <w:tcPr>
            <w:tcW w:w="72" w:type="dxa"/>
            <w:tcBorders/>
            <w:vAlign w:val="bottom"/>
          </w:tcPr>
          <w:p>
            <w:pPr>
              <w:pStyle w:val="TableContents"/>
              <w:bidi w:val="0"/>
              <w:spacing w:before="0" w:after="283"/>
              <w:jc w:val="left"/>
              <w:rPr/>
            </w:pPr>
            <w:r>
              <w:rPr/>
              <w:t> </w:t>
            </w:r>
          </w:p>
        </w:tc>
      </w:tr>
      <w:tr>
        <w:trPr/>
        <w:tc>
          <w:tcPr>
            <w:tcW w:w="34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Existing stockholders</w:t>
            </w:r>
          </w:p>
        </w:tc>
        <w:tc>
          <w:tcPr>
            <w:tcW w:w="188"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309"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r>
      <w:tr>
        <w:trPr/>
        <w:tc>
          <w:tcPr>
            <w:tcW w:w="3463" w:type="dxa"/>
            <w:tcBorders/>
          </w:tcPr>
          <w:p>
            <w:pPr>
              <w:pStyle w:val="TableContents"/>
              <w:bidi w:val="0"/>
              <w:spacing w:before="0" w:after="0"/>
              <w:jc w:val="left"/>
              <w:rPr>
                <w:rFonts w:ascii="Times New Roman" w:hAnsi="Times New Roman"/>
                <w:sz w:val="20"/>
              </w:rPr>
            </w:pPr>
            <w:r>
              <w:rPr>
                <w:rFonts w:ascii="Times New Roman" w:hAnsi="Times New Roman"/>
                <w:sz w:val="20"/>
              </w:rPr>
              <w:t>New investors</w:t>
            </w:r>
          </w:p>
        </w:tc>
        <w:tc>
          <w:tcPr>
            <w:tcW w:w="188"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8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798"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796"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 </w:t>
            </w:r>
          </w:p>
        </w:tc>
        <w:tc>
          <w:tcPr>
            <w:tcW w:w="72" w:type="dxa"/>
            <w:tcBorders/>
            <w:vAlign w:val="bottom"/>
          </w:tcPr>
          <w:p>
            <w:pPr>
              <w:pStyle w:val="TableContents"/>
              <w:bidi w:val="0"/>
              <w:spacing w:before="0" w:after="283"/>
              <w:jc w:val="left"/>
              <w:rPr/>
            </w:pPr>
            <w:r>
              <w:rPr/>
              <w:t> </w:t>
            </w:r>
          </w:p>
        </w:tc>
      </w:tr>
      <w:tr>
        <w:trPr/>
        <w:tc>
          <w:tcPr>
            <w:tcW w:w="3463"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13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34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88"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100.0</w:t>
            </w:r>
          </w:p>
        </w:tc>
        <w:tc>
          <w:tcPr>
            <w:tcW w:w="2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100.0</w:t>
            </w:r>
          </w:p>
        </w:tc>
        <w:tc>
          <w:tcPr>
            <w:tcW w:w="2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3463"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8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798"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796"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13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$1.00 increase or decrease in the assumed initial public offering price of $            per share, which is the midpoint of the price range set forth on the cover page of this prospectus, would increase or decrease, as applicable, the total consideration paid by new investors and total consideration paid by all stockholders by approximately $             million, assuming that the number of shares offered by us, as set forth on the cover page of this prospectus, remains the same, and after deducting estimated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The above table assumes no exercise of the underwriters option to purchase additional shares. If the underwriters option to purchase additional shares were exercised in full, our existing stockholders would own             % and our new investors would own             % of the total number of shares of our common stock outstanding upon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stock options are exercised, new stock options are issued under our equity incentive plan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extent that any outstanding warrants to purchase Series A-1 convertible preferred stock are exercised, investors participating in this offering will experience further dilution.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tables and calculations (other than historical net tangible book value) are based on                      shares of common stock outstanding as of March 31, 2022 (after giving effect to the conversion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of our shares of convertible preferred stock outstanding as of March 31, 2022 into an aggregate of                      shares of our common stock immediately prior to the completion of this offering)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            </w:t>
            </w:r>
            <w:r>
              <w:rPr>
                <w:rFonts w:ascii="Times New Roman" w:hAnsi="Times New Roman"/>
                <w:sz w:val="20"/>
              </w:rPr>
              <w:t xml:space="preserve">shares of our common stock issuable upon the exercise of stock options outstanding as of March 31, 2022, with a weighted-average exercise price of $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 xml:space="preserve">             </w:t>
            </w:r>
            <w:r>
              <w:rPr>
                <w:rFonts w:ascii="Times New Roman" w:hAnsi="Times New Roman"/>
                <w:sz w:val="20"/>
              </w:rPr>
              <w:t xml:space="preserve">shares of our common stock issuable upon the exercise of stock options granted subsequent to March 31, 2022, with a weighted-average exercise price of $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 xml:space="preserve">             </w:t>
            </w:r>
            <w:r>
              <w:rPr>
                <w:rFonts w:ascii="Times New Roman" w:hAnsi="Times New Roman"/>
                <w:sz w:val="20"/>
              </w:rPr>
              <w:t xml:space="preserve">shares of common stock issuable upon the exercise of warrants outstanding as of March 31, 2022 to purchase shares of our Series A-1 convertible preferred stock with a weighted-average exercise price of $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 xml:space="preserve">             </w:t>
            </w:r>
            <w:r>
              <w:rPr>
                <w:rFonts w:ascii="Times New Roman" w:hAnsi="Times New Roman"/>
                <w:sz w:val="20"/>
              </w:rPr>
              <w:t xml:space="preserve">shares of our common stock reserved for future issuance under the 2020 Plan as of March 31,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 xml:space="preserve">             </w:t>
            </w:r>
            <w:r>
              <w:rPr>
                <w:rFonts w:ascii="Times New Roman" w:hAnsi="Times New Roman"/>
                <w:sz w:val="20"/>
              </w:rPr>
              <w:t xml:space="preserve">shares of our common stock reserved for future issuance under the 2015 Plan, which we assumed and have subsequently suspended in connection with the closing of our acquisition of BlackThorn;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 xml:space="preserve">             </w:t>
            </w:r>
            <w:r>
              <w:rPr>
                <w:rFonts w:ascii="Times New Roman" w:hAnsi="Times New Roman"/>
                <w:sz w:val="20"/>
              </w:rPr>
              <w:t xml:space="preserve">shares of our common stock reserved for future issuance under the 2022 Plan, which will become effective on the date immediately prior to the date our registration statement relating to this offering becomes effective, as well as any future increases in the number of shares of common stock reserved for issuance under the 2022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 xml:space="preserve">             </w:t>
            </w:r>
            <w:r>
              <w:rPr>
                <w:rFonts w:ascii="Times New Roman" w:hAnsi="Times New Roman"/>
                <w:sz w:val="20"/>
              </w:rPr>
              <w:t xml:space="preserve">shares of our common stock reserved for future issuance under the ESPP, which will become effective on the date immediately prior to the date our registration statement relating to this offering becomes effective, as well as any future increases in the number of shares of common stock reserved for issuance under the ESPP.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rom241143_11"/>
      <w:bookmarkEnd w:id="13"/>
      <w:r>
        <w:rPr>
          <w:rFonts w:ascii="Times New Roman" w:hAnsi="Times New Roman"/>
          <w:b/>
          <w:sz w:val="20"/>
        </w:rPr>
        <w:t xml:space="preserve">MANAGEMENTS DISCUSSION AND ANALYSIS OF FINANCIAL CONDITION AND RESULTS OF OPERATIONS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discussion and analysis of our financial condition and results of operations should be read together with the section titled Summary Consolidated Financial Data, and our audited consolidated financial statements, unaudited condensed consolidated financial statements and related notes included elsewhere in this prospectus.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discussed in the forward-looking statements as a result of several factors including those set forth in the section titled Risk Factors. See also the section titled Special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biotechnology company pioneering a precision medicine approach for brain diseases through the integration of advanced data science capabilities and translational neuroscience tools and methods. High failure rates have plagued neuroscience drug development for decades, contributing to lack of targeted, effective medicines for brain diseases. We are focused on redefining neuroscience research and development by leveraging a proprietary Al/ML-enabled approach to patient enrichment, which we integrate with advanced translational neuroscience approaches to develop novel precision medicines. We believe our precision neuroscience approach will help us to cut through patient heterogeneity, to potentially increase clinical development success rates and improve patient outcomes. Our team unites some of the worlds leading data scientists, neuroscience drug developers and company builders to usher in a new era of precision neuroscience and to accelerate the development of novel, safe and effective therapies for patients and families affected by brain diseases. </w:t>
      </w:r>
    </w:p>
    <w:p>
      <w:pPr>
        <w:pStyle w:val="TextBody"/>
        <w:bidi w:val="0"/>
        <w:spacing w:before="120" w:after="0"/>
        <w:jc w:val="left"/>
        <w:rPr>
          <w:rFonts w:ascii="Times New Roman" w:hAnsi="Times New Roman"/>
          <w:sz w:val="20"/>
        </w:rPr>
      </w:pPr>
      <w:r>
        <w:rPr>
          <w:rFonts w:ascii="Times New Roman" w:hAnsi="Times New Roman"/>
          <w:sz w:val="20"/>
        </w:rPr>
        <w:t xml:space="preserve">We are building a broad pipeline of novel precision medicines for neuropsychiatric disorders and neurodegenerative disorders, each with a targeted approach to development. Our precision neuroscience approach is flexible, and we are able to apply it in a modular fashion, which allows us to tailor its application to internal or external programs at any stage of development. We are leveraging multiple tools to develop strategies to identify enriched patient populations and are in the process of generating drug signatures and forming patient clusters for our pipeline programs. Our disclosed pipeline is comprised of seven programs, two of which are in clinical development, and five of which are in preclinical development, as summarized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3707130" cy="210058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3707130" cy="210058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were incorporated in November 2019 and commenced operations thereafter. To date, we have focused primarily on building our organization, acquiring technologies and companies, developing our precision neuroscience platform, identifying and developing potential product candidates, executing clinical and preclinical studies, organizing and staffing our company, business planning, establishing our intellectual property portfolio, raising capital and providing general and administrative support for these operations. We do not have any products approved for sale, we have not generated any revenue from the sale of products, and we do not expect to generate revenue from the sale of our product candidates until we complete clinical development, submit regulatory filings, and receive approvals from the applicable regulatory bodies for such product candidates, if ever. </w:t>
      </w:r>
    </w:p>
    <w:p>
      <w:pPr>
        <w:pStyle w:val="TextBody"/>
        <w:bidi w:val="0"/>
        <w:spacing w:before="240" w:after="0"/>
        <w:jc w:val="left"/>
        <w:rPr>
          <w:rFonts w:ascii="Times New Roman" w:hAnsi="Times New Roman"/>
          <w:sz w:val="20"/>
        </w:rPr>
      </w:pPr>
      <w:r>
        <w:rPr>
          <w:rFonts w:ascii="Times New Roman" w:hAnsi="Times New Roman"/>
          <w:sz w:val="20"/>
        </w:rPr>
        <w:t xml:space="preserve">Since our inception, we have incurred significant net losses, which are primarily attributable to acquired intangible in-process research and development intangible asset (IPR&amp;D) costs pursuant to our acquisitions of BlackThorn Therapeutics, Inc. (BlackThorn), Syllable Life Sciences, Inc. (Syllable), Propellex Bio, Inc. (Propellex) and Alairion, Inc. (Alairion), each of which occurred in 2020 and has been accounted for as an acquisition of assets. We expect to continue to incur significant losses for the foreseeable future as we continue to advance the development of our precision neuroscience platform and product candidates, and as we transition to operating as a public company. Our net losses were $99.3 million and $237.3 million for the years ended December 31, 2020 and 2021, respectively, and $43.0 million for the three months ended March 31, 2022. As of December 31, 2021 and March 31, 2022, we had accumulated deficits of $336.6 million and $379.6 million, respectively. Our primary use of our capital resources is to fund our operating expenses, which consist primarily of expenditures related to identifying, acquiring, developing, and in-licensing our technology platforms and product candidates, and conducting preclinical studies and clinical trials, and to a lesser extent, general and administrative expenditures. </w:t>
      </w:r>
    </w:p>
    <w:p>
      <w:pPr>
        <w:pStyle w:val="TextBody"/>
        <w:bidi w:val="0"/>
        <w:spacing w:before="240" w:after="0"/>
        <w:jc w:val="left"/>
        <w:rPr>
          <w:rFonts w:ascii="Times New Roman" w:hAnsi="Times New Roman"/>
          <w:sz w:val="20"/>
        </w:rPr>
      </w:pPr>
      <w:r>
        <w:rPr>
          <w:rFonts w:ascii="Times New Roman" w:hAnsi="Times New Roman"/>
          <w:sz w:val="20"/>
        </w:rPr>
        <w:t xml:space="preserve">We expect to continue to incur net operating losses for the foreseeable future. In particular, we expect our expenses and losses to increase substantially as we continue our research and development efforts, advance our product candidates through preclinical and clinical development, enhance our precision neuroscience platform and programs, expand our product pipeline, seek regulatory approval, prepare for commercialization, as well as hire additional personnel, protect our intellectual property, and incur additional costs associated with being a public company. We also expect to increase the size of our administrative function to support the growth of our business. Our net losses may fluctuate significantly from period to period, depending on the timing of our clinical trials and our expenditures on research and development activities. </w:t>
      </w:r>
    </w:p>
    <w:p>
      <w:pPr>
        <w:pStyle w:val="TextBody"/>
        <w:bidi w:val="0"/>
        <w:spacing w:before="240" w:after="0"/>
        <w:jc w:val="left"/>
        <w:rPr>
          <w:rFonts w:ascii="Times New Roman" w:hAnsi="Times New Roman"/>
          <w:sz w:val="20"/>
        </w:rPr>
      </w:pPr>
      <w:r>
        <w:rPr>
          <w:rFonts w:ascii="Times New Roman" w:hAnsi="Times New Roman"/>
          <w:sz w:val="20"/>
        </w:rPr>
        <w:t xml:space="preserve">We have primarily funded our operations to date primarily from the sale and issuance of our convertible preferred stock and convertible promissory notes. From our inception through March 31, 2022, we have raised aggregate gross cash proceeds of over $500.0 million, including from the sale of convertible preferred stock and borrowings pursuant to convertible promissory notes and cash acquired in our acquisitions of assets. As of March 31, 2022, we had $363.4 million in cash, cash equivalents and marketable securities. Based upon our current operating plan, we believe that the net proceeds from this offering, together with our existing cash, cash equivalents and marketable securities, will enable us to fund our operating expenses and capital expenditure requirements through at least the next            months from the date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We will need substantial additional funding in addition to the net proceeds of this offering to support our continuing operations and pursue our long-term business plan, including to complete the development and commercialization of our product candidates, if approved.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 raise additional capital on terms acceptable to us or at all. If we are unable to raise additional capital on acceptable terms when needed, our business, results of operations, and financial condition would be adversely affected. The amount and timing of our future funding requirements will depend on many factors including the successful advancement of our platforms, programs, and product candidates. Our ability to raise additional funds may also be adversely impacted by potential worsening global economic conditions and disruptions to, and volatility in, the credit and financial markets in the United States and worldwide, such as those resulting from the ongoing COVID-19 pandemic.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Recent Acquisitions of Assets </w:t>
      </w:r>
    </w:p>
    <w:p>
      <w:pPr>
        <w:pStyle w:val="TextBody"/>
        <w:bidi w:val="0"/>
        <w:spacing w:before="120" w:after="0"/>
        <w:jc w:val="left"/>
        <w:rPr>
          <w:rFonts w:ascii="Times New Roman" w:hAnsi="Times New Roman"/>
          <w:i/>
          <w:sz w:val="20"/>
        </w:rPr>
      </w:pPr>
      <w:r>
        <w:rPr>
          <w:rFonts w:ascii="Times New Roman" w:hAnsi="Times New Roman"/>
          <w:i/>
          <w:sz w:val="20"/>
        </w:rPr>
        <w:t xml:space="preserve">BlackThorn Therapeutics, Inc.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2020, we acquired all of the outstanding equity of BlackThorn Therapeutics, Inc. (BlackThorn), a privately held company, that was utilizing novel technology-based approaches integrated with data and translational science to link behavioral deficits with brain physiology to discover and develop targeted treatments for neurobehavioral disorders. In connection with our acquisition of BlackThorn, we primarily acquired a group of similar IPR&amp;D assets, comprising two clinical-stage research and development programs involving a Kappa Opioid Receptor Antagonist (Kappa or NMRA-140) and a Vasopressin Receptor Antagonist (V1a or NMRA-511), as well as a cloud-based computational psychiatry and data platform being developed to support drug target identification, patient stratification and objective clinical trial endpoints (collectively, the BlackThorn IPR&amp;D).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was accounted for as an acquisition of assets. The total upfront consideration transferred to stockholders of BlackThorn consisted of (i) an aggregate of 45,178,495 shares of our Series A-1 convertible preferred stock, with an acquisition date fair value of $36.6 million, (ii) warrants to purchase 2,292,672 shares of our Series A-1 convertible preferred stock, with an acquisition date fair value of $0.7 million, plus (iii) cash of $0.1 million. We also agreed to settle $11.0 million in principal and accrued interest due from BlackThorn related to promissory notes that were issued between April and August 2020. As part of the acquisition, we incurred transaction costs of $1.6 million. </w:t>
      </w:r>
    </w:p>
    <w:p>
      <w:pPr>
        <w:pStyle w:val="TextBody"/>
        <w:bidi w:val="0"/>
        <w:spacing w:before="240" w:after="0"/>
        <w:jc w:val="left"/>
        <w:rPr>
          <w:rFonts w:ascii="Times New Roman" w:hAnsi="Times New Roman"/>
          <w:sz w:val="20"/>
        </w:rPr>
      </w:pPr>
      <w:r>
        <w:rPr>
          <w:rFonts w:ascii="Times New Roman" w:hAnsi="Times New Roman"/>
          <w:sz w:val="20"/>
        </w:rPr>
        <w:t xml:space="preserve">The consideration transferred was allocated between the acquired BlackThorn IPR&amp;D in the amount of $48.3 million, which was included in acquired in-process research and development expenses in our consolidated statement of operations and comprehensive loss for the year ended December 31, 2020, and other net assets of $1.7 million. </w:t>
      </w:r>
    </w:p>
    <w:p>
      <w:pPr>
        <w:pStyle w:val="TextBody"/>
        <w:bidi w:val="0"/>
        <w:spacing w:before="240" w:after="0"/>
        <w:jc w:val="left"/>
        <w:rPr>
          <w:rFonts w:ascii="Times New Roman" w:hAnsi="Times New Roman"/>
          <w:sz w:val="20"/>
        </w:rPr>
      </w:pPr>
      <w:r>
        <w:rPr>
          <w:rFonts w:ascii="Times New Roman" w:hAnsi="Times New Roman"/>
          <w:sz w:val="20"/>
        </w:rPr>
        <w:t xml:space="preserve">The former BlackThorn stockholders are entitled to contingent consideration in the form of development, regulatory approval and sales-based milestones of up to an aggregate amount of (i) with respect to NMRA-140, in the form of development and regulatory approval milestones of up to an aggregate amount of $365.0 million, including the potential for a milestone payment of $75.0 million upon completion of the Phase 2a clinical trial of NMRA-140 if certain success criteria are achieved, and sales-based milestones of up to an aggregate amount of $450.0 million and (ii) with respect to NMRA-511, in the form of development and regulatory approval milestones of up to an aggregate amount of $100.0 million and sales-based milestones of up to an aggregate amount of $100.0 million (the BlackThorn Milestones). With the exception of one development milestone in the amount of $10.0 million that is required to be settled in cash, the remaining BlackThorn Milestone payments may be settled in cash or shares of our equity, or a combination of both, at our sole discretion. None of the BlackThorn Milestones had been achieved as of March 31, 2022, and no amounts were recognized relating to the BlackThorn contingent consideration during 2020, 2021 or the three months ended March 31, 2022. </w:t>
      </w:r>
    </w:p>
    <w:p>
      <w:pPr>
        <w:pStyle w:val="TextBody"/>
        <w:bidi w:val="0"/>
        <w:spacing w:before="240" w:after="0"/>
        <w:jc w:val="left"/>
        <w:rPr>
          <w:rFonts w:ascii="Times New Roman" w:hAnsi="Times New Roman"/>
          <w:sz w:val="20"/>
        </w:rPr>
      </w:pPr>
      <w:r>
        <w:rPr>
          <w:rFonts w:ascii="Times New Roman" w:hAnsi="Times New Roman"/>
          <w:sz w:val="20"/>
        </w:rPr>
        <w:t xml:space="preserve">We also established a carveout plan, pursuant to which each former holder of BlackThorn stock options as of immediately prior to the BlackThorn acquisition closing date was allocated a certain number of units (the BlackThorn Carveout Units) each of which represents a right to receive a portion of the BlackThorn Milestones upon the later of (i) the achievement of a BlackThorn Milestone and (ii) the vesting of the unit. As of March 31, 2022, none of the BlackThorn Milestones had been achieved or were probable of being achieved, and therefore no related expenses had been recognized. </w:t>
      </w:r>
    </w:p>
    <w:p>
      <w:pPr>
        <w:pStyle w:val="TextBody"/>
        <w:bidi w:val="0"/>
        <w:spacing w:before="360" w:after="0"/>
        <w:jc w:val="left"/>
        <w:rPr>
          <w:rFonts w:ascii="Times New Roman" w:hAnsi="Times New Roman"/>
          <w:i/>
          <w:sz w:val="20"/>
        </w:rPr>
      </w:pPr>
      <w:r>
        <w:rPr>
          <w:rFonts w:ascii="Times New Roman" w:hAnsi="Times New Roman"/>
          <w:i/>
          <w:sz w:val="20"/>
        </w:rPr>
        <w:t xml:space="preserve">Syllable Life Sciences, Inc.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2020, we acquired all of the outstanding equity of Syllable, a privately held company focused on the development of advanced machine learning and computer vision technologies to automatically decipher body language in humans and laboratory animals. We primarily acquired proprietary rights and IPR&amp;D of a behavior analysis machine learning and computer vision software tool, which was being developed to identify and quantify behavior as an indicator of neurological conditions (the Syllable IPR&amp;D).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Syllable transaction was accounted for as an acquisition of assets. The total upfront consideration transferred to the former stockholders of Syllable consisted of 4,894,847 shares of our Series A-2 convertible preferred stock, with an estimated acquisition date fair value of $4.9 million. As part of the acquisition, we also incurred transaction costs of $0.4 million. </w:t>
      </w:r>
    </w:p>
    <w:p>
      <w:pPr>
        <w:pStyle w:val="TextBody"/>
        <w:bidi w:val="0"/>
        <w:spacing w:before="240" w:after="0"/>
        <w:jc w:val="left"/>
        <w:rPr>
          <w:rFonts w:ascii="Times New Roman" w:hAnsi="Times New Roman"/>
          <w:sz w:val="20"/>
        </w:rPr>
      </w:pPr>
      <w:r>
        <w:rPr>
          <w:rFonts w:ascii="Times New Roman" w:hAnsi="Times New Roman"/>
          <w:sz w:val="20"/>
        </w:rPr>
        <w:t xml:space="preserve">The consideration transferred was allocated between the acquired Syllable IPR&amp;D in the amount of $5.9 million, which was included in acquired in-process research and development expenses in our consolidated statement of operations and comprehensive loss for the year ended December 31, 2020, and net liabilities we assumed of $0.7 million. </w:t>
      </w:r>
    </w:p>
    <w:p>
      <w:pPr>
        <w:pStyle w:val="TextBody"/>
        <w:bidi w:val="0"/>
        <w:spacing w:before="240" w:after="0"/>
        <w:jc w:val="left"/>
        <w:rPr>
          <w:rFonts w:ascii="Times New Roman" w:hAnsi="Times New Roman"/>
          <w:sz w:val="20"/>
        </w:rPr>
      </w:pPr>
      <w:r>
        <w:rPr>
          <w:rFonts w:ascii="Times New Roman" w:hAnsi="Times New Roman"/>
          <w:sz w:val="20"/>
        </w:rPr>
        <w:t xml:space="preserve">The former Syllable stockholders are entitled to contingent consideration in the form of future milestone payments of up to $5.0 million upon the achievement of specified development milestones (the Syllable Milestones). At our sole discretion, the payment of such contingent consideration may be settled in cash or in shares of our equity, or a combination of both. None of the Syllable Milestones had been achieved as of March 31, 2022, and no related amounts were recognized relating to the Syllable contingent consideration during 2020, 2021 or the three months ended March 31, 2022. </w:t>
      </w:r>
    </w:p>
    <w:p>
      <w:pPr>
        <w:pStyle w:val="TextBody"/>
        <w:bidi w:val="0"/>
        <w:spacing w:before="360" w:after="0"/>
        <w:jc w:val="left"/>
        <w:rPr>
          <w:rFonts w:ascii="Times New Roman" w:hAnsi="Times New Roman"/>
          <w:i/>
          <w:sz w:val="20"/>
        </w:rPr>
      </w:pPr>
      <w:r>
        <w:rPr>
          <w:rFonts w:ascii="Times New Roman" w:hAnsi="Times New Roman"/>
          <w:i/>
          <w:sz w:val="20"/>
        </w:rPr>
        <w:t xml:space="preserve">Propellex Bio, Inc.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2020, we acquired all of the outstanding equity of Propellex, a privately held company focused on developing treatments for Parkinsons disease and other neurodegenerative diseases and neurological pathologies using small molecules, and whose primary assets consisted of an exclusive license for various preclinical small-molecule inhibitors and certain preclinical research results considered to be a single identifiable IPR&amp;D asset acquired (the Propellex IPR&amp;D). </w:t>
      </w:r>
    </w:p>
    <w:p>
      <w:pPr>
        <w:pStyle w:val="TextBody"/>
        <w:bidi w:val="0"/>
        <w:spacing w:before="240" w:after="0"/>
        <w:jc w:val="left"/>
        <w:rPr>
          <w:rFonts w:ascii="Times New Roman" w:hAnsi="Times New Roman"/>
          <w:sz w:val="20"/>
        </w:rPr>
      </w:pPr>
      <w:r>
        <w:rPr>
          <w:rFonts w:ascii="Times New Roman" w:hAnsi="Times New Roman"/>
          <w:sz w:val="20"/>
        </w:rPr>
        <w:t xml:space="preserve">The Propellex transaction was accounted for as acquisition of assets. The total upfront consideration transferred to the former stockholders of Propellex consisted of 10,002,633 shares of our Series A-2 convertible preferred stock, with an estimated acquisition date fair value of $10.0 million. As part of the acquisition, we also incurred transaction costs of $0.5 million. </w:t>
      </w:r>
    </w:p>
    <w:p>
      <w:pPr>
        <w:pStyle w:val="TextBody"/>
        <w:bidi w:val="0"/>
        <w:spacing w:before="240" w:after="0"/>
        <w:jc w:val="left"/>
        <w:rPr>
          <w:rFonts w:ascii="Times New Roman" w:hAnsi="Times New Roman"/>
          <w:sz w:val="20"/>
        </w:rPr>
      </w:pPr>
      <w:r>
        <w:rPr>
          <w:rFonts w:ascii="Times New Roman" w:hAnsi="Times New Roman"/>
          <w:sz w:val="20"/>
        </w:rPr>
        <w:t xml:space="preserve">The consideration transferred was allocated between the Propellex IPR&amp;D in the amount of $11.1 million, which was included in acquired in-process research and development expenses in our consolidated statement of operations and comprehensive loss for the year ended December 31, 2020, and net liabilities we assumed of $0.6 million. </w:t>
      </w:r>
    </w:p>
    <w:p>
      <w:pPr>
        <w:pStyle w:val="TextBody"/>
        <w:bidi w:val="0"/>
        <w:spacing w:before="240" w:after="0"/>
        <w:jc w:val="left"/>
        <w:rPr>
          <w:rFonts w:ascii="Times New Roman" w:hAnsi="Times New Roman"/>
          <w:sz w:val="20"/>
        </w:rPr>
      </w:pPr>
      <w:r>
        <w:rPr>
          <w:rFonts w:ascii="Times New Roman" w:hAnsi="Times New Roman"/>
          <w:sz w:val="20"/>
        </w:rPr>
        <w:t xml:space="preserve">The former Propellex stockholders are entitled to contingent consideration in the form of development and regulatory approval milestones of up to an aggregate amount of $62.5 million and in the form of sales-based milestones of up to an aggregate amount of $160.0 million (the Propellex Milestones). Except for milestones occurring on or prior to the acceptance of an investigational new drug (IND) application, which are required to be settled in stock, the remaining Propellex Milestones may be settled in cash or shares of our equity, or a combination of both, at our sole discretion. None of the Propellex Milestones had been achieved as of March 31, 2022, and no amounts were recognized relating to the Propellex contingent consideration during 2020, 2021 or the three months ended March 31, 2022. </w:t>
      </w:r>
    </w:p>
    <w:p>
      <w:pPr>
        <w:pStyle w:val="TextBody"/>
        <w:bidi w:val="0"/>
        <w:spacing w:before="240" w:after="0"/>
        <w:jc w:val="left"/>
        <w:rPr>
          <w:rFonts w:ascii="Times New Roman" w:hAnsi="Times New Roman"/>
          <w:sz w:val="20"/>
        </w:rPr>
      </w:pPr>
      <w:r>
        <w:rPr>
          <w:rFonts w:ascii="Times New Roman" w:hAnsi="Times New Roman"/>
          <w:sz w:val="20"/>
        </w:rPr>
        <w:t xml:space="preserve">In April 2021, we terminated the Propellex IPR&amp;D program. </w:t>
      </w:r>
    </w:p>
    <w:p>
      <w:pPr>
        <w:pStyle w:val="TextBody"/>
        <w:bidi w:val="0"/>
        <w:spacing w:before="360" w:after="0"/>
        <w:jc w:val="left"/>
        <w:rPr>
          <w:rFonts w:ascii="Times New Roman" w:hAnsi="Times New Roman"/>
          <w:i/>
          <w:sz w:val="20"/>
        </w:rPr>
      </w:pPr>
      <w:r>
        <w:rPr>
          <w:rFonts w:ascii="Times New Roman" w:hAnsi="Times New Roman"/>
          <w:i/>
          <w:sz w:val="20"/>
        </w:rPr>
        <w:t xml:space="preserve">Alairion, Inc.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2020, we acquired all of the outstanding equity of Alairion, a privately held company focused on the treatment of sleep disorders. We primarily acquired a group of similar IPR&amp;D assets comprised of two preclinical research and development programs involving a H1 receptor antagonist (H1) and a GABA receptor positive allosteric modulator (GABA), as well as a drug discovery and optimization technology platform (collectively, the Alairion IPR&amp;D).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Alairion transaction was accounted for as an acquisition of assets. The total upfront consideration transferred to the former stockholders of Alairion consisted of the settlement of a senior secured promissory note of $1.8 million due from Alairion related to a promissory note that was issued in September 2020. As part of the acquisition, we incurred transaction costs of $0.3 million. </w:t>
      </w:r>
    </w:p>
    <w:p>
      <w:pPr>
        <w:pStyle w:val="TextBody"/>
        <w:bidi w:val="0"/>
        <w:spacing w:before="240" w:after="0"/>
        <w:jc w:val="left"/>
        <w:rPr>
          <w:rFonts w:ascii="Times New Roman" w:hAnsi="Times New Roman"/>
          <w:sz w:val="20"/>
        </w:rPr>
      </w:pPr>
      <w:r>
        <w:rPr>
          <w:rFonts w:ascii="Times New Roman" w:hAnsi="Times New Roman"/>
          <w:sz w:val="20"/>
        </w:rPr>
        <w:t xml:space="preserve">The consideration transferred was allocated to the acquired Alairion IPR&amp;D in the amount of $4.3 million, which was included in acquired in-process research and development expenses in our consolidated statement of operations and comprehensive loss for the year ended December 31, 2020, and net liabilities we assumed of $2.1 million. </w:t>
      </w:r>
    </w:p>
    <w:p>
      <w:pPr>
        <w:pStyle w:val="TextBody"/>
        <w:bidi w:val="0"/>
        <w:spacing w:before="240" w:after="0"/>
        <w:jc w:val="left"/>
        <w:rPr>
          <w:rFonts w:ascii="Times New Roman" w:hAnsi="Times New Roman"/>
          <w:sz w:val="20"/>
        </w:rPr>
      </w:pPr>
      <w:r>
        <w:rPr>
          <w:rFonts w:ascii="Times New Roman" w:hAnsi="Times New Roman"/>
          <w:sz w:val="20"/>
        </w:rPr>
        <w:t xml:space="preserve">The former Alairion stockholders are entitled to contingent consideration in the form of future milestone payments of up to $33.5 million upon the achievement of specified development events related to the Alairion IPR&amp;D and $135.0 million upon the achievement of specified commercialization events related to the Alairion IPR&amp;D (Alairion Milestones). At our sole discretion, the payment of such contingent consideration may be settled in cash or shares of our equity, or a combination of both. None of the Alairion Milestones had been achieved as of March 31, 2022, and no related amounts were recognized relating to the Alairion contingent consideration during 2020, 2021 or the three months ended March 31, 2022. We have recently paused the development of our NMRA-094 product candidate for the treatment of obstructive sleep apnea that we acquired from Alairion while we assess pre-IND feedback we received from the FDA relating to our focus on the low arousal threshold-obstructive sleep apnea subtype, and consider alternative options for the program.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details regarding our acquisitions of assets, see Note 6 to our audited consolidated financial statements and unaudited condensed consolidated financial statements included elsewhere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Strategic License and Research and Collaboration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assumed license arrangements with certain third parties as a result of our acquisitions, and have entered into several additional agreements with Amgen. Our significant agreements are summarized below. For additional details, see Note 10 to our audited consolidated financial statements and Note 9 to our unaudited condensed consolidated financial statements included elsewhere in this prospectus. </w:t>
      </w:r>
    </w:p>
    <w:p>
      <w:pPr>
        <w:pStyle w:val="TextBody"/>
        <w:bidi w:val="0"/>
        <w:spacing w:before="360" w:after="0"/>
        <w:jc w:val="left"/>
        <w:rPr>
          <w:rFonts w:ascii="Times New Roman" w:hAnsi="Times New Roman"/>
          <w:i/>
          <w:sz w:val="20"/>
        </w:rPr>
      </w:pPr>
      <w:r>
        <w:rPr>
          <w:rFonts w:ascii="Times New Roman" w:hAnsi="Times New Roman"/>
          <w:i/>
          <w:sz w:val="20"/>
        </w:rPr>
        <w:t xml:space="preserve">2015 TSRI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acquisition of BlackThorn in September 2020, we gained rights under a license agreement between BlackThorn and The Scripps Research Institute (TSRI) originally entered into in November 2015, as amended in November 2017 and April 2019 (the 2015 TSRI License Agreement). Pursuant to the 2015 TSRI License Agreement, TSRI granted BlackThorn a worldwide, exclusive license under certain patent rights and a worldwide, non-exclusive license under certain know-how relating to TSRIs Kappa Opioid Receptor (KOR or NMRA-140) program, vasopressin 1a receptor (V1aR or NMRA-511) Antagonist program and oxytocin receptors (OTR) positive allosteric modulator program (collectively, the TSRI Programs). In each case, the license agreement grants rights to use, manufacture and commercialize products (i) that are covered by the relevant licensed patents, (ii) that involve the use or incorporation of the licensed know-how or (iii) that are KOR, V1aR or OTR modulators discovered by BlackThorn within two years of the effective date of the 2015 TSRI License Agreement, for diagnostic, prophylactic and/or therapeutic treatment of humans and animals. The license is sublicensable under certain conditions. The technology licensed under the 2015 TSRI License Agreement is used in our NMRA-140 and NMRA-511 research and development programs. </w:t>
      </w:r>
    </w:p>
    <w:p>
      <w:pPr>
        <w:pStyle w:val="TextBody"/>
        <w:bidi w:val="0"/>
        <w:spacing w:before="240" w:after="0"/>
        <w:jc w:val="left"/>
        <w:rPr>
          <w:rFonts w:ascii="Times New Roman" w:hAnsi="Times New Roman"/>
          <w:sz w:val="20"/>
        </w:rPr>
      </w:pPr>
      <w:r>
        <w:rPr>
          <w:rFonts w:ascii="Times New Roman" w:hAnsi="Times New Roman"/>
          <w:sz w:val="20"/>
        </w:rPr>
        <w:t xml:space="preserve">In exchange for the exclusive rights above, we are obligated, among other things, to pay TSRI (i) a nominal annual license fee due and payable on the first day of each calendar year and after the fourth anniversary creditable against any royalties due for such calendar year, (ii) development and regulatory milestone payments of up to $1.5 million in aggregate for the first product from each TSRI Program, which are contingent upon achieving specific development and regulatory milestone events and (iii) commercial milestone payments of up to $3.5 million in aggregate for each occurrence, which are contingent upon achieving specified commercialization milestone events. We are also obligated to pay tiered low-single digit royalties on future net sales of each royalty-bearing product and a percentage ranging from the mid-single digits to sub teen double digits of any sublicensing revenues we receive. The royalties are payable on a product-by-product and country-by-country basis until the later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expiration of the last to expire valid claim in the licensed patents production in the world and ten years after the first commercial sale of such product in such country. We also paid a change of control success fee to TSRI in shares of our Series A-1 convertible preferred stock with a fair value of $0.3 million. As of March 31, 2022, we had not recorded any milestone or royalty payments under the 2015 TSRI License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Harvard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acquisition of Syllable, we gained rights to a license agreement between Syllable and Harvard (the Harvard License Agreement) entered into in June 2020. Pursuant to the Harvard License Agreement, Syllable obtained an exclusive, worldwide, royalty-bearing, sublicensable license under certain patent rights and copyrights covering certain behavior imagining and behavioral tracking software, to develop and commercialize products and services based thereon. </w:t>
      </w:r>
    </w:p>
    <w:p>
      <w:pPr>
        <w:pStyle w:val="TextBody"/>
        <w:bidi w:val="0"/>
        <w:spacing w:before="240" w:after="0"/>
        <w:jc w:val="left"/>
        <w:rPr>
          <w:rFonts w:ascii="Times New Roman" w:hAnsi="Times New Roman"/>
          <w:sz w:val="20"/>
        </w:rPr>
      </w:pPr>
      <w:r>
        <w:rPr>
          <w:rFonts w:ascii="Times New Roman" w:hAnsi="Times New Roman"/>
          <w:sz w:val="20"/>
        </w:rPr>
        <w:t xml:space="preserve">Under the Harvard License Agreement, Syllable was required to pay Harvard a change of control payment, which we agreed to pay on Syllables behalf as part of the acquisition and which was part of the net liabilities we assumed in the transaction. In addition, we are obligated, among other things, to pay Harvard (i) nominal specified annual license maintenance fees that are creditable against any royalty amounts payable for licensed products sold in the same year, (ii) mid-single digit royalties on future net sales of each royalty-bearing product and (iii) a percentage, ranging from the high-teens to low-double-digits, of any sublicensing revenues we receive. The royalties are payable on a product-by-product and country-by-country basis until the later of expiration of the last to expire valid claim in the licensed patents covering such product and the fifteenth anniversary of the first commercial sale of such product in such country. </w:t>
      </w:r>
    </w:p>
    <w:p>
      <w:pPr>
        <w:pStyle w:val="TextBody"/>
        <w:bidi w:val="0"/>
        <w:spacing w:before="240" w:after="0"/>
        <w:jc w:val="left"/>
        <w:rPr>
          <w:rFonts w:ascii="Times New Roman" w:hAnsi="Times New Roman"/>
          <w:sz w:val="20"/>
        </w:rPr>
      </w:pPr>
      <w:r>
        <w:rPr>
          <w:rFonts w:ascii="Times New Roman" w:hAnsi="Times New Roman"/>
          <w:sz w:val="20"/>
        </w:rPr>
        <w:t xml:space="preserve">In March 2021, we entered into an amendment to the Harvard License Agreement to, among other things, extend the timeline for us to meet our development and commercial milestones. Under the Harvard License Agreement, as amended, we are obligated to meet certain development and commercial milestones between December 2021 and January 2024. Failure to meet such milestones would constitute a material breach of contract and would provide Harvard with the right to terminate the agreement subject to the notification and cure periods. As of March 31, 2022, we had not met the December 2021 or January 2022 milestones. Harvard has neither terminated the agreement nor provided notice to us of its intent to do so as a result of our failure to meet these milestones. We and Harvard are currently in discussions to amend the Harvard License Agreement to revise the development milestones. </w:t>
      </w:r>
    </w:p>
    <w:p>
      <w:pPr>
        <w:pStyle w:val="TextBody"/>
        <w:bidi w:val="0"/>
        <w:spacing w:before="360" w:after="0"/>
        <w:jc w:val="left"/>
        <w:rPr>
          <w:rFonts w:ascii="Times New Roman" w:hAnsi="Times New Roman"/>
          <w:i/>
          <w:sz w:val="20"/>
        </w:rPr>
      </w:pPr>
      <w:r>
        <w:rPr>
          <w:rFonts w:ascii="Times New Roman" w:hAnsi="Times New Roman"/>
          <w:i/>
          <w:sz w:val="20"/>
        </w:rPr>
        <w:t xml:space="preserve">Amgen Licenses and Research and Collaboration Agreement </w:t>
      </w:r>
    </w:p>
    <w:p>
      <w:pPr>
        <w:pStyle w:val="TextBody"/>
        <w:bidi w:val="0"/>
        <w:spacing w:before="120" w:after="0"/>
        <w:jc w:val="left"/>
        <w:rPr>
          <w:rFonts w:ascii="Times New Roman" w:hAnsi="Times New Roman"/>
          <w:sz w:val="20"/>
        </w:rPr>
      </w:pPr>
      <w:r>
        <w:rPr>
          <w:rFonts w:ascii="Times New Roman" w:hAnsi="Times New Roman"/>
          <w:sz w:val="20"/>
        </w:rPr>
        <w:t>In September 2021, we entered into two license agreements with Amgen (the Amgen Licenses) pursuant to which we obtained exclusive, worldwide licenses under specified patents and know-how to develop, manufacture, use, commercialize and distribute products containing compounds that are directed to, in one case, CK1</w:t>
      </w:r>
      <w:r>
        <w:rPr>
          <w:rFonts w:ascii="SYMBOL" w:hAnsi="SYMBOL"/>
          <w:sz w:val="20"/>
        </w:rPr>
        <w:t>d</w:t>
      </w:r>
      <w:r>
        <w:rPr>
          <w:rFonts w:ascii="Times New Roman" w:hAnsi="Times New Roman"/>
          <w:sz w:val="20"/>
        </w:rPr>
        <w:t xml:space="preserve"> (the CK1</w:t>
      </w:r>
      <w:r>
        <w:rPr>
          <w:rFonts w:ascii="SYMBOL" w:hAnsi="SYMBOL"/>
          <w:sz w:val="20"/>
        </w:rPr>
        <w:t>d</w:t>
      </w:r>
      <w:r>
        <w:rPr>
          <w:rFonts w:ascii="Times New Roman" w:hAnsi="Times New Roman"/>
          <w:sz w:val="20"/>
        </w:rPr>
        <w:t xml:space="preserve"> License), and in the other case, GCase (the GCase License), both for the treatment of neurodegenerative diseases and related know-how and clinical material (collectively, the Amgen IPR&amp;D Assets). The acquisition of the Amgen IPR&amp;D Assets became effective on September 30, 2021, the date the Amgen Licenses were executed. </w:t>
      </w:r>
    </w:p>
    <w:p>
      <w:pPr>
        <w:pStyle w:val="TextBody"/>
        <w:bidi w:val="0"/>
        <w:spacing w:before="240" w:after="0"/>
        <w:jc w:val="left"/>
        <w:rPr>
          <w:rFonts w:ascii="Times New Roman" w:hAnsi="Times New Roman"/>
          <w:sz w:val="20"/>
        </w:rPr>
      </w:pPr>
      <w:r>
        <w:rPr>
          <w:rFonts w:ascii="Times New Roman" w:hAnsi="Times New Roman"/>
          <w:sz w:val="20"/>
        </w:rPr>
        <w:t xml:space="preserve">The Amgen Licenses were accounted for as acquisitions of assets. The total upfront consideration transferred to Amgen of 157.0 million shares of our Series A-2 convertible preferred stock, with an estimated acquisition date fair value of $157.0 million, was allocated to the Amgen IPR&amp;D Assets. The consideration transferred for the Amgen IPR&amp;D Assets was included in acquired in-process research and development expenses in our consolidated statement of operations and comprehensive loss for the year ended December 31, 2021. </w:t>
      </w:r>
    </w:p>
    <w:p>
      <w:pPr>
        <w:pStyle w:val="TextBody"/>
        <w:bidi w:val="0"/>
        <w:spacing w:before="240" w:after="0"/>
        <w:jc w:val="left"/>
        <w:rPr>
          <w:rFonts w:ascii="Times New Roman" w:hAnsi="Times New Roman"/>
          <w:sz w:val="20"/>
        </w:rPr>
      </w:pPr>
      <w:r>
        <w:rPr>
          <w:rFonts w:ascii="Times New Roman" w:hAnsi="Times New Roman"/>
          <w:sz w:val="20"/>
        </w:rPr>
        <w:t>Under the Amgen Licenses, we agreed to pay Amgen contingent consideration payable in cash up to an aggregate of $360.0 million in commercial milestone payments upon the achievement of certain sales thresholds per licensed product under the CK1</w:t>
      </w:r>
      <w:r>
        <w:rPr>
          <w:rFonts w:ascii="SYMBOL" w:hAnsi="SYMBOL"/>
          <w:sz w:val="20"/>
        </w:rPr>
        <w:t>d</w:t>
      </w:r>
      <w:r>
        <w:rPr>
          <w:rFonts w:ascii="Times New Roman" w:hAnsi="Times New Roman"/>
          <w:sz w:val="20"/>
        </w:rPr>
        <w:t xml:space="preserve"> License and up to an aggregate $360.0 million in commercial milestone payments upon the achievement of certain sales thresholds per licensed product under the GCase License. We also agreed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pay tiered royalties at percentages ranging from the low to high-single-digits on annual worldwide net sales of licensed products under the CK1</w:t>
      </w:r>
      <w:r>
        <w:rPr>
          <w:rFonts w:ascii="SYMBOL" w:hAnsi="SYMBOL"/>
          <w:sz w:val="20"/>
        </w:rPr>
        <w:t>d</w:t>
      </w:r>
      <w:r>
        <w:rPr>
          <w:rFonts w:ascii="Times New Roman" w:hAnsi="Times New Roman"/>
          <w:sz w:val="20"/>
        </w:rPr>
        <w:t xml:space="preserve"> License, and royalties at a low-single-digit percentage on annual worldwide net sales of licensed products under the GCase License, payable on a licensed product-by-licensed product and country-by-country basis until the later of the expiration of the last to expire licensed patent or Neumora patent claiming the composition of matter of such licensed product and the tenth anniversary of the first commercial sale of such licensed product in such country. Under each Amgen License, the royalty payments are subject to reductions on a country-by-country basis for lack of patent coverage, generic entry, and payment obligations for third-party licenses. Additionally, under each of the Amgen Licenses, if we enter into a sublicense agreement prior to the second anniversary of the effective date of the Amgen Licenses, then we are also obligated to pay Amgen a low-double-digit percentage of sublicense income we receive for the CK1</w:t>
      </w:r>
      <w:r>
        <w:rPr>
          <w:rFonts w:ascii="SYMBOL" w:hAnsi="SYMBOL"/>
          <w:sz w:val="20"/>
        </w:rPr>
        <w:t>d</w:t>
      </w:r>
      <w:r>
        <w:rPr>
          <w:rFonts w:ascii="Times New Roman" w:hAnsi="Times New Roman"/>
          <w:sz w:val="20"/>
        </w:rPr>
        <w:t xml:space="preserve"> and/or GCase programs. None of the milestones pursuant to the Amgen Licenses have been achieved as of March 31, 2022, and no amounts were recognized related to the contingent consideration milestones for 2021 or the three months ended March 31, 2022. </w:t>
      </w:r>
    </w:p>
    <w:p>
      <w:pPr>
        <w:pStyle w:val="TextBody"/>
        <w:bidi w:val="0"/>
        <w:spacing w:before="240" w:after="0"/>
        <w:jc w:val="left"/>
        <w:rPr>
          <w:rFonts w:ascii="Times New Roman" w:hAnsi="Times New Roman"/>
          <w:sz w:val="20"/>
        </w:rPr>
      </w:pPr>
      <w:r>
        <w:rPr>
          <w:rFonts w:ascii="Times New Roman" w:hAnsi="Times New Roman"/>
          <w:sz w:val="20"/>
        </w:rPr>
        <w:t xml:space="preserve">In addition, until a specified period of time following the achievement of the first successful Phase 2 clinical trial for any licensed product, if we choose to sell, transfer, sublicense or divest rights to a licensed product in certain major markets, Amgen has a time-limited, exclusive right of first negotiation to enter into an agreement with us for such rights.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Amgen Licenses, we entered into a research collaboration agreement with Amgen (the Amgen Collaboration Agreement) to collectively discover drug targets, biomarkers, Precision Phenotypes and other insights associated with central nervous system (CNS) diseases utilizing Amgens deCODE genetics and human data research capabilities. Under the Amgen Collaboration Agreement, Amgen grants us an exclusive license under intellectual property generated in the collaboration to exploit therapeutic compounds and diagnostics for use with therapeutics in the CNS field and we grant Amgen an exclusive license under intellectual property generated in the collaboration to exploit therapeutic compounds and diagnostics for use with therapeutics outside of the CNS field. </w:t>
      </w:r>
    </w:p>
    <w:p>
      <w:pPr>
        <w:pStyle w:val="TextBody"/>
        <w:bidi w:val="0"/>
        <w:spacing w:before="240" w:after="0"/>
        <w:jc w:val="left"/>
        <w:rPr>
          <w:rFonts w:ascii="Times New Roman" w:hAnsi="Times New Roman"/>
          <w:sz w:val="20"/>
        </w:rPr>
      </w:pPr>
      <w:r>
        <w:rPr>
          <w:rFonts w:ascii="Times New Roman" w:hAnsi="Times New Roman"/>
          <w:sz w:val="20"/>
        </w:rPr>
        <w:t xml:space="preserve">In return for Amgen performing research activities under the agreement, we are committed to making non-refundable, non-creditable quarterly payments to Amgen over the next two years totaling $50.0 million and for the third year between $12.5 million and $25.0 million depending on whether certain progress milestones are achieved. The term of the Amgen Collaboration Agreement is up to five years, although it will terminate after three years if we and Amgen do not mutually agree upon a compensation structure for years four and five. If we and Amgen do not reach such agreement at least 30 days prior to the end of year three, the Amgen Collaboration Agreement will automatically terminate upon its third anniversary. Further, either we or Amgen can terminate the Amgen Collaboration Agreement upon a material uncured breach or bankruptcy declaration by the other party, in which case all amounts that have become due through the date of termination will be non-refundable. </w:t>
      </w:r>
    </w:p>
    <w:p>
      <w:pPr>
        <w:pStyle w:val="TextBody"/>
        <w:bidi w:val="0"/>
        <w:spacing w:before="240" w:after="0"/>
        <w:jc w:val="left"/>
        <w:rPr>
          <w:rFonts w:ascii="Times New Roman" w:hAnsi="Times New Roman"/>
          <w:sz w:val="20"/>
        </w:rPr>
      </w:pPr>
      <w:r>
        <w:rPr>
          <w:rFonts w:ascii="Times New Roman" w:hAnsi="Times New Roman"/>
          <w:sz w:val="20"/>
        </w:rPr>
        <w:t xml:space="preserve">Amgen also has an exclusive option to negotiate, and the right of first negotiation, to obtain exclusive, worldwide licenses to research, develop, commercialize and otherwise exploit up to two therapeutic compounds or any pharmaceutical product containing such therapeutic compound arising from the collaboration. That right exists with respect to each compound for up to 60 days following positive Phase 2 results for the compound. </w:t>
      </w:r>
    </w:p>
    <w:p>
      <w:pPr>
        <w:pStyle w:val="TextBody"/>
        <w:bidi w:val="0"/>
        <w:spacing w:before="240" w:after="0"/>
        <w:jc w:val="left"/>
        <w:rPr>
          <w:rFonts w:ascii="Times New Roman" w:hAnsi="Times New Roman"/>
          <w:sz w:val="20"/>
        </w:rPr>
      </w:pPr>
      <w:r>
        <w:rPr>
          <w:rFonts w:ascii="Times New Roman" w:hAnsi="Times New Roman"/>
          <w:sz w:val="20"/>
        </w:rPr>
        <w:t xml:space="preserve">Upon execution of the Amgen Collaboration Agreement, we were obligated to start paying Amgen non-refundable quarterly payments of $6.3 million. The third non-refundable quarterly payment of $6.3 million became due as of March 31, 2022 and has been as recorded within accrued liabilities, with related amounts recorded within prepaid expenses and other current assets on our consolidated balance sheet as of March 31, 2022. </w:t>
      </w:r>
    </w:p>
    <w:p>
      <w:pPr>
        <w:pStyle w:val="TextBody"/>
        <w:bidi w:val="0"/>
        <w:spacing w:before="240" w:after="0"/>
        <w:jc w:val="left"/>
        <w:rPr>
          <w:rFonts w:ascii="Times New Roman" w:hAnsi="Times New Roman"/>
          <w:sz w:val="20"/>
        </w:rPr>
      </w:pPr>
      <w:r>
        <w:rPr>
          <w:rFonts w:ascii="Times New Roman" w:hAnsi="Times New Roman"/>
          <w:sz w:val="20"/>
        </w:rPr>
        <w:t xml:space="preserve">Additionally, Amgen purchased 100.0 million shares of our Series A-2 preferred stock at a purchase price of $1.00 per share, for total consideration of $100.0 million. Subject to certain conditions, Amgen is also obligated to provide us additional financing of up to $100.0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Vanderbilt License Agreement and Sponsored Research Agreement </w:t>
      </w:r>
    </w:p>
    <w:p>
      <w:pPr>
        <w:pStyle w:val="TextBody"/>
        <w:bidi w:val="0"/>
        <w:spacing w:before="120" w:after="0"/>
        <w:jc w:val="left"/>
        <w:rPr>
          <w:rFonts w:ascii="Times New Roman" w:hAnsi="Times New Roman"/>
          <w:sz w:val="20"/>
        </w:rPr>
      </w:pPr>
      <w:r>
        <w:rPr>
          <w:rFonts w:ascii="Times New Roman" w:hAnsi="Times New Roman"/>
          <w:sz w:val="20"/>
        </w:rPr>
        <w:t xml:space="preserve">We and Vanderbilt University (Vanderbilt) entered in a license agreement in February 2022 (Vanderbilt License Agreement). Pursuant to the Vanderbilt License Agreement, we obtained an exclusive, worldwide, royalty-bearing, sublicensable (subject to certain restrictions) license under certain patent rights and a non-exclusive, worldwide, royalty-bearing, sublicenseable (subject to certain restrictions) license under certain know-how covering small molecule positive allosteric modulators (PAMs) predominantly of the muscarinic acetylcholine receptor subtype 4 (M4), to develop, manufacture and commercialize products, processes, and services covered by such patent rights or that incorporate or use such know-how, for any and all uses. We also have an exclusive option, exercisable for a specified period of time, to obtain an exclusive license to certain patent rights conceived or developed by Vanderbilt in the course of carrying out the sponsored research pursuant to a sponsored research agreement between Neumora and Vanderbilt. The last patent expiration date for the licensed patents that are issued or expected to issue, from currently pending or provisional applications, pursuant to the Vanderbilt License Agreement is 2043, excluding any patent term adjustment or patent term extension. The licensed patent rights are subject to Vanderbilts right to use the patent rights for research, internal non-commercial use and educational purposes.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use commercially reasonable efforts to develop and commercialize licensed products, and to achieve certain development milestones, the first within a specified period following the effective date and the other on or before June 2024. Failure to meet our obligations in accordance with the Vanderbilt License Agreement to achieve such milestones may constitute a material breach of contract that entitles Vanderbilt to terminate the Vanderbilt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Vanderbilt License Agreement, we paid an upfront fee of $13.0 million. We are also obligated to pay Vanderbilt tiered royalties at mid-single-digit percentages on net sales of royalty-bearing products, which are payable on a country-by-country and product-by-product basis until the later of expiration of the last to expire valid claim covering composition of matter in the licensed patents and the tenth anniversary of the first commercial sale of such product in such country. Under the Vanderbilt License Agreement, the royalty payments are subject to reductions on a country-by-country basis for the lack of patent coverage, generic entry and payment obligations for third-party licenses. In addition, we are obligated to pay Vanderbilt a low-double-digit percentage of sublicense income we receive for sublicenses entered into before the achievement of a specified event. We also agreed to pay Vanderbilt payments of up to $42.0 million upon achievement of specified development milestone events and up to $380.0 million upon achievement of specified commercial milestone events. As of March 31, 2022, no contingent consideration related to the milestones, royalty or other payment (other than the upfront payment described above) has become payable to Vanderbilt pursuant to the Vanderbilt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Vanderbilt License Agreement will remain in force, on a country-by-country basis, until the expiration of all royalty payment obligations to Vanderbilt in such country. If we bring a patent challenge against any licensed patents, in addition to paying certain costs associated with the proceeding, Vanderbilt may convert the exclusive licenses to non-exclusive licenses or terminate the Vanderbilt License Agreement. If the licensed patents survive the patent challenge, all payments under the agreement will be increased by a specified amount. We have the right to terminate the Vanderbilt License Agreement at any time by providing Vanderbilt with 90 days prior notice. Vanderbilt has the right to terminate the Vanderbilt License Agreement if we file for bankruptcy. The Vanderbilt License Agreement will automatically terminate if our insurance coverage lapses and is not cured within 90 days. Vanderbilt also has the right to terminate if we fail to make payments, breach our diligence obligations or breach any other material term upon 60 days prior notice. </w:t>
      </w:r>
    </w:p>
    <w:p>
      <w:pPr>
        <w:pStyle w:val="TextBody"/>
        <w:bidi w:val="0"/>
        <w:spacing w:before="240" w:after="0"/>
        <w:jc w:val="left"/>
        <w:rPr>
          <w:rFonts w:ascii="Times New Roman" w:hAnsi="Times New Roman"/>
          <w:b/>
          <w:i/>
          <w:sz w:val="20"/>
        </w:rPr>
      </w:pPr>
      <w:r>
        <w:rPr>
          <w:rFonts w:ascii="Times New Roman" w:hAnsi="Times New Roman"/>
          <w:b/>
          <w:i/>
          <w:sz w:val="20"/>
        </w:rPr>
        <w:t xml:space="preserve">COVID-19 Impact </w:t>
      </w:r>
    </w:p>
    <w:p>
      <w:pPr>
        <w:pStyle w:val="TextBody"/>
        <w:bidi w:val="0"/>
        <w:spacing w:before="120" w:after="0"/>
        <w:jc w:val="left"/>
        <w:rPr>
          <w:rFonts w:ascii="Times New Roman" w:hAnsi="Times New Roman"/>
          <w:sz w:val="20"/>
        </w:rPr>
      </w:pPr>
      <w:r>
        <w:rPr>
          <w:rFonts w:ascii="Times New Roman" w:hAnsi="Times New Roman"/>
          <w:sz w:val="20"/>
        </w:rPr>
        <w:t xml:space="preserve">While we are actively monitoring the impact of the COVID-19 pandemic on our business, the extent of the impact of the pandemic on our business, operations, and clinical development timelines and plans remains uncertain. To date, the COVID-19 pandemic has delayed patient enrollment in our ongoing clinical trials, caused difficulties in accessing animal model for our preclinical evaluation of our product candidates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has recently posed challenges to the reliability of preclincial studies and manufacturing services provided to us by third party vendors located in China. The ongoing pandemic may further delay our initiation of preclinical studies and clinical trials, interrupt our supply chain, disrupt regulatory activities or have other adverse effects on our business and operations. Given the surges in cases of COVID-19 experienced previously and uncertainty regarding variants, the extent of the impact of the COVID-19 pandemic on our preclinical studies or clinical trials will depend on future developments, which are uncertain and cannot be predicted with confidence. </w:t>
      </w:r>
    </w:p>
    <w:p>
      <w:pPr>
        <w:pStyle w:val="TextBody"/>
        <w:bidi w:val="0"/>
        <w:spacing w:before="240" w:after="0"/>
        <w:jc w:val="left"/>
        <w:rPr>
          <w:rFonts w:ascii="Times New Roman" w:hAnsi="Times New Roman"/>
          <w:sz w:val="20"/>
        </w:rPr>
      </w:pPr>
      <w:r>
        <w:rPr>
          <w:rFonts w:ascii="Times New Roman" w:hAnsi="Times New Roman"/>
          <w:sz w:val="20"/>
        </w:rPr>
        <w:t xml:space="preserve">In response to the COVID-19 pandemic we have taken temporary precautionary measures intended to help minimize our risk of exposure to the virus for our employees, including implementing policies that allow our employees to work remotely and suspending most non-essential travel for our employees, none of which have had an adverse impact on our business. Certain third-party service providers have also experienced shutdowns or other business disruptions. As the COVID-19 pandemic continues to evolve, the extent to which it may affect our business, operations and development timelines and plans, including the resulting impact on expenditures and capital needs, remains uncertain. </w:t>
      </w:r>
    </w:p>
    <w:p>
      <w:pPr>
        <w:pStyle w:val="TextBody"/>
        <w:bidi w:val="0"/>
        <w:spacing w:before="240" w:after="0"/>
        <w:jc w:val="left"/>
        <w:rPr>
          <w:rFonts w:ascii="Times New Roman" w:hAnsi="Times New Roman"/>
          <w:sz w:val="20"/>
        </w:rPr>
      </w:pPr>
      <w:r>
        <w:rPr>
          <w:rFonts w:ascii="Times New Roman" w:hAnsi="Times New Roman"/>
          <w:sz w:val="20"/>
        </w:rPr>
        <w:t xml:space="preserve">The COVID-19 pandemic has also caused significant volatility in public equity markets and disruptions globally that could adversely affect the economies and financial markets, resulting in an economic downturn that could affect our financing prospects.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details regarding the COVID-19 pandemics impact on our business, operations and prospects, see the section titled Risk Factors.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Operating Results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Research and development expenses consist of external and internal expenses, and primarily relate to our discovery efforts and development of our platforms, programs, and product candidates. We account for acquired in-process research and development expenses from our strategic acquisitions, which accounts for a significant portion of our operating expenses, separately from research and development expenses.</w:t>
      </w:r>
    </w:p>
    <w:p>
      <w:pPr>
        <w:pStyle w:val="TextBody"/>
        <w:bidi w:val="0"/>
        <w:spacing w:before="240" w:after="0"/>
        <w:jc w:val="left"/>
        <w:rPr>
          <w:rFonts w:ascii="Times New Roman" w:hAnsi="Times New Roman"/>
          <w:sz w:val="20"/>
        </w:rPr>
      </w:pPr>
      <w:r>
        <w:rPr>
          <w:rFonts w:ascii="Times New Roman" w:hAnsi="Times New Roman"/>
          <w:sz w:val="20"/>
        </w:rPr>
        <w:t xml:space="preserve">External research and development expenses include, among others, amounts incurred with contract research organizations (CROs), contract manufacturing organizations (CMOs), preclinical testing organizations and other vendors that conduct research and development activities on our behalf. Internal research and development expenses include, among others, personnel-related costs, including salaries, benefits and stock-based compensation for employees engaged in research and development functions, laboratory supplies and other non-capital equipment utilized for in-house research, software development costs and allocated expenses including facilities costs and depreciation and amortization. </w:t>
      </w:r>
    </w:p>
    <w:p>
      <w:pPr>
        <w:pStyle w:val="TextBody"/>
        <w:bidi w:val="0"/>
        <w:spacing w:before="240" w:after="0"/>
        <w:jc w:val="left"/>
        <w:rPr>
          <w:rFonts w:ascii="Times New Roman" w:hAnsi="Times New Roman"/>
          <w:sz w:val="20"/>
        </w:rPr>
      </w:pPr>
      <w:r>
        <w:rPr>
          <w:rFonts w:ascii="Times New Roman" w:hAnsi="Times New Roman"/>
          <w:sz w:val="20"/>
        </w:rPr>
        <w:t xml:space="preserve">Because we are working on multiple research and development programs at any one time, we track our external expenses by the stage of program, clinical or preclinical. However, our internal expenses, including unallocated costs, employees and infrastructure are not directly tied to any one program and are deployed across multiple programs. As such, we do not track internal expenses on a specific program basis. </w:t>
      </w:r>
    </w:p>
    <w:p>
      <w:pPr>
        <w:pStyle w:val="TextBody"/>
        <w:bidi w:val="0"/>
        <w:spacing w:before="240" w:after="0"/>
        <w:jc w:val="left"/>
        <w:rPr>
          <w:rFonts w:ascii="Times New Roman" w:hAnsi="Times New Roman"/>
          <w:sz w:val="20"/>
        </w:rPr>
      </w:pPr>
      <w:r>
        <w:rPr>
          <w:rFonts w:ascii="Times New Roman" w:hAnsi="Times New Roman"/>
          <w:sz w:val="20"/>
        </w:rPr>
        <w:t xml:space="preserve">We expense research and development costs as incurred. Amounts recorded for external goods or services incurred for research and development activities that have not yet been invoiced are included in accrued liabilities in our consolidated balance sheets and often represent estimates. We estimate accrued expenses and the related research and development expense based on the level of services performed but not yet invoiced pursuant to agreements established with our service providers, according to the progress of preclinical studies, clinical trials or related activities, and discussions with applicable personnel and service providers as to the progress or state of consummation of goods and service. Payments for these activities are based on the terms of the individual agreements, which may differ from the pattern of costs incurred, and are reflected in our consolidated financial statements as prepaid expenses or other current assets or accrued liabilities. Nonrefundable advance payments that we make for goods or services to be received in the future for use in research and development activities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recorded as prepaid expenses. Such amounts are recognized as an expense as the goods are delivered or the related services are performed, or until it is no longer expected that the goods will be delivered, or the services rendered.</w:t>
      </w:r>
    </w:p>
    <w:p>
      <w:pPr>
        <w:pStyle w:val="TextBody"/>
        <w:bidi w:val="0"/>
        <w:spacing w:before="240" w:after="0"/>
        <w:jc w:val="left"/>
        <w:rPr>
          <w:rFonts w:ascii="Times New Roman" w:hAnsi="Times New Roman"/>
          <w:sz w:val="20"/>
        </w:rPr>
      </w:pPr>
      <w:r>
        <w:rPr>
          <w:rFonts w:ascii="Times New Roman" w:hAnsi="Times New Roman"/>
          <w:sz w:val="20"/>
        </w:rPr>
        <w:t xml:space="preserve">We expect our research and development expenses to increase substantially for the foreseeable future as we incur costs to further develop our precision neuroscience platform and advance our programs and product candidates through clinical development and pursue regulatory approval of our product candidates. The process of conducting the necessary preclinical and clinical research to obtain regulatory approval is costly and time-consuming, and the successful development of our product candidates is highly uncertain. As a result of the uncertainties discussed below, we are unable to determine the duration and completion costs of our research and development projects or when and to what extent we will generate revenue from the commercialization and sale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Our research and development expenses may vary significantly based on factors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scope of preclinical and IND-enabling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precision neuroscience platform at identifying target patient populations and utilizing the platform to enrich our patient population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employee-related costs for personnel engaged in the design, development, testing and enhancement of our precision neuroscience platform related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 patient trial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trials required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sites included in the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countries in which the trials are conducted;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length of time required to enroll eligible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patients that participate in the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drop-out or discontinuation rates of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additional safety monitoring requested by regulatory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duration of patient participation in the trials and follow-up;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and timing of manufacturing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phase of development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efficacy and safety profile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we establish additional collaboration or license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choose to partner any of our product candidates and the terms of such partnership;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general economic conditions, such as rising inflation and increasing interest rates.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change in the outcome of any of these variables with respect to the development of any of our product candidates could significantly change the costs and timing associated with the development of that product candidate. We may never succeed in obtaining regulatory approval for any of our product candidates. We may obtain unexpected results from our preclinical studies and future clinical trials. </w:t>
      </w:r>
    </w:p>
    <w:p>
      <w:pPr>
        <w:pStyle w:val="TextBody"/>
        <w:bidi w:val="0"/>
        <w:spacing w:before="360" w:after="0"/>
        <w:jc w:val="left"/>
        <w:rPr>
          <w:rFonts w:ascii="Times New Roman" w:hAnsi="Times New Roman"/>
          <w:sz w:val="20"/>
        </w:rPr>
      </w:pPr>
      <w:r>
        <w:rPr>
          <w:rFonts w:ascii="Times New Roman" w:hAnsi="Times New Roman"/>
          <w:i/>
          <w:sz w:val="20"/>
        </w:rPr>
        <w:t>Acquired</w:t>
      </w:r>
      <w:r>
        <w:rPr>
          <w:rFonts w:ascii="Times New Roman" w:hAnsi="Times New Roman"/>
          <w:sz w:val="20"/>
        </w:rPr>
        <w:t xml:space="preserve"> </w:t>
      </w:r>
      <w:r>
        <w:rPr>
          <w:rFonts w:ascii="Times New Roman" w:hAnsi="Times New Roman"/>
          <w:i/>
          <w:sz w:val="20"/>
        </w:rPr>
        <w:t>In-Process Research and Development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Acquired in-process research and development expenses consist of existing research and development projects at the time of the acquisition. Projects that qualify as IPR&amp;D assets represent those that have not yet reached technological feasibility and have no alternative future use. Our acquisitions of assets have all included IPR&amp;D assets that had not yet reached technological feasibility and had no alternative future use, which resulted in a write-off of these IPR&amp;D assets to acquired in-process research and development expenses in our consolidated statement of operations and comprehensive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include, among others, personnel-related costs, including salaries, benefits, and stock-based compensation for our employees in executive, finance, and other administrative functions, legal fees, professional fees incurred for accounting, audit, and tax services, recruiting costs, and other allocated expenses, including facilities costs and depreciation and amortization not included in research and development expenses. Legal fees are included within general and administrative expenses and are related to corporate and intellectual property related matters. </w:t>
      </w:r>
    </w:p>
    <w:p>
      <w:pPr>
        <w:pStyle w:val="TextBody"/>
        <w:bidi w:val="0"/>
        <w:spacing w:before="240" w:after="0"/>
        <w:jc w:val="left"/>
        <w:rPr>
          <w:rFonts w:ascii="Times New Roman" w:hAnsi="Times New Roman"/>
          <w:sz w:val="20"/>
        </w:rPr>
      </w:pPr>
      <w:r>
        <w:rPr>
          <w:rFonts w:ascii="Times New Roman" w:hAnsi="Times New Roman"/>
          <w:sz w:val="20"/>
        </w:rPr>
        <w:t xml:space="preserve">We expect our general and administrative expenses to increase substantially in the foreseeable future as we continue to support our research and development activities, grow our business and, if any of our product candidates receive marketing approval, commence commercialization activities. We also anticipate incurring additional expenses associated with operating as a public company, including increased expenses related to audit, legal, regulatory, and tax-related services associated with maintaining compliance with the rules and regulations of the SEC and standards applicable to companies listed on a national securities exchange, additional insurance expenses, investor relations activities and other administrative and professional services.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(Expense) </w:t>
      </w:r>
    </w:p>
    <w:p>
      <w:pPr>
        <w:pStyle w:val="TextBody"/>
        <w:bidi w:val="0"/>
        <w:spacing w:before="120" w:after="0"/>
        <w:jc w:val="left"/>
        <w:rPr>
          <w:rFonts w:ascii="Times New Roman" w:hAnsi="Times New Roman"/>
          <w:i/>
          <w:sz w:val="20"/>
        </w:rPr>
      </w:pPr>
      <w:r>
        <w:rPr>
          <w:rFonts w:ascii="Times New Roman" w:hAnsi="Times New Roman"/>
          <w:i/>
          <w:sz w:val="20"/>
        </w:rPr>
        <w:t xml:space="preserve">Change in Fair Value of Convertible Promissory Notes </w:t>
      </w:r>
    </w:p>
    <w:p>
      <w:pPr>
        <w:pStyle w:val="TextBody"/>
        <w:bidi w:val="0"/>
        <w:spacing w:before="120" w:after="0"/>
        <w:jc w:val="left"/>
        <w:rPr>
          <w:rFonts w:ascii="Times New Roman" w:hAnsi="Times New Roman"/>
          <w:sz w:val="20"/>
        </w:rPr>
      </w:pPr>
      <w:r>
        <w:rPr>
          <w:rFonts w:ascii="Times New Roman" w:hAnsi="Times New Roman"/>
          <w:sz w:val="20"/>
        </w:rPr>
        <w:t xml:space="preserve">Change in fair value of convertible promissory notes is related to the remeasurement of the $55.9 million in convertible promissory notes we issued in 2020 (the 2020 Bridge Notes) that were accounted for under the fair value option. Until settlement, fluctuations in the fair value are based on the remeasurement of these instruments at each reporting period. Our convertible promissory notes were settled upon the closing of our Series A-2 convertible preferred stock financing in September 2020.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consists of interest earned on our cash equivalents and marketable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(Expense),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(expense), net consists primarily of changes in the fair value of our convertible preferred stock warrant liability and impairment charges in 2020.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For the Three Months Ended March 31, 2021 and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result of operations for the periods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96"/>
        <w:gridCol w:w="221"/>
        <w:gridCol w:w="140"/>
        <w:gridCol w:w="866"/>
        <w:gridCol w:w="163"/>
        <w:gridCol w:w="188"/>
        <w:gridCol w:w="140"/>
        <w:gridCol w:w="866"/>
        <w:gridCol w:w="163"/>
        <w:gridCol w:w="188"/>
        <w:gridCol w:w="140"/>
        <w:gridCol w:w="866"/>
        <w:gridCol w:w="168"/>
      </w:tblGrid>
      <w:tr>
        <w:trPr/>
        <w:tc>
          <w:tcPr>
            <w:tcW w:w="6096"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096"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3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6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06" w:type="dxa"/>
            <w:gridSpan w:val="2"/>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r>
      <w:tr>
        <w:trPr/>
        <w:tc>
          <w:tcPr>
            <w:tcW w:w="6096"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8" w:type="dxa"/>
            <w:tcBorders/>
            <w:vAlign w:val="bottom"/>
          </w:tcPr>
          <w:p>
            <w:pPr>
              <w:pStyle w:val="TableContents"/>
              <w:bidi w:val="0"/>
              <w:spacing w:before="0" w:after="283"/>
              <w:jc w:val="left"/>
              <w:rPr/>
            </w:pPr>
            <w:r>
              <w:rPr/>
              <w:t> </w:t>
            </w:r>
          </w:p>
        </w:tc>
      </w:tr>
      <w:tr>
        <w:trPr/>
        <w:tc>
          <w:tcPr>
            <w:tcW w:w="6096"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363" w:type="dxa"/>
            <w:gridSpan w:val="6"/>
            <w:tcBorders/>
            <w:vAlign w:val="bottom"/>
          </w:tcPr>
          <w:p>
            <w:pPr>
              <w:pStyle w:val="TableContents"/>
              <w:bidi w:val="0"/>
              <w:spacing w:before="0" w:after="283"/>
              <w:jc w:val="center"/>
              <w:rPr>
                <w:b/>
              </w:rPr>
            </w:pPr>
            <w:r>
              <w:rPr>
                <w:b/>
              </w:rPr>
              <w:t>(in thousands)</w:t>
            </w:r>
          </w:p>
        </w:tc>
        <w:tc>
          <w:tcPr>
            <w:tcW w:w="16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06" w:type="dxa"/>
            <w:gridSpan w:val="2"/>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r>
      <w:tr>
        <w:trPr/>
        <w:tc>
          <w:tcPr>
            <w:tcW w:w="60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6"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6"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6"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6096"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   </w:t>
            </w:r>
            <w:r>
              <w:rPr/>
              <w:t>11,503</w:t>
            </w:r>
          </w:p>
        </w:tc>
        <w:tc>
          <w:tcPr>
            <w:tcW w:w="16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   </w:t>
            </w:r>
            <w:r>
              <w:rPr/>
              <w:t>22,149</w:t>
            </w:r>
          </w:p>
        </w:tc>
        <w:tc>
          <w:tcPr>
            <w:tcW w:w="16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   </w:t>
            </w:r>
            <w:r>
              <w:rPr/>
              <w:t>10,646</w:t>
            </w:r>
          </w:p>
        </w:tc>
        <w:tc>
          <w:tcPr>
            <w:tcW w:w="168" w:type="dxa"/>
            <w:tcBorders/>
            <w:vAlign w:val="bottom"/>
          </w:tcPr>
          <w:p>
            <w:pPr>
              <w:pStyle w:val="TableContents"/>
              <w:bidi w:val="0"/>
              <w:spacing w:before="0" w:after="283"/>
              <w:jc w:val="left"/>
              <w:rPr/>
            </w:pPr>
            <w:r>
              <w:rPr/>
              <w:t> </w:t>
            </w:r>
          </w:p>
        </w:tc>
      </w:tr>
      <w:tr>
        <w:trPr/>
        <w:tc>
          <w:tcPr>
            <w:tcW w:w="60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13,000</w:t>
            </w:r>
          </w:p>
        </w:tc>
        <w:tc>
          <w:tcPr>
            <w:tcW w:w="16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13,000</w:t>
            </w:r>
          </w:p>
        </w:tc>
        <w:tc>
          <w:tcPr>
            <w:tcW w:w="168" w:type="dxa"/>
            <w:tcBorders/>
            <w:shd w:fill="CCEEFF" w:val="clear"/>
            <w:vAlign w:val="bottom"/>
          </w:tcPr>
          <w:p>
            <w:pPr>
              <w:pStyle w:val="TableContents"/>
              <w:bidi w:val="0"/>
              <w:spacing w:before="0" w:after="283"/>
              <w:jc w:val="left"/>
              <w:rPr/>
            </w:pPr>
            <w:r>
              <w:rPr/>
              <w:t> </w:t>
            </w:r>
          </w:p>
        </w:tc>
      </w:tr>
      <w:tr>
        <w:trPr/>
        <w:tc>
          <w:tcPr>
            <w:tcW w:w="6096"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3,942</w:t>
            </w:r>
          </w:p>
        </w:tc>
        <w:tc>
          <w:tcPr>
            <w:tcW w:w="16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8,087</w:t>
            </w:r>
          </w:p>
        </w:tc>
        <w:tc>
          <w:tcPr>
            <w:tcW w:w="16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4,145</w:t>
            </w:r>
          </w:p>
        </w:tc>
        <w:tc>
          <w:tcPr>
            <w:tcW w:w="168" w:type="dxa"/>
            <w:tcBorders/>
            <w:vAlign w:val="bottom"/>
          </w:tcPr>
          <w:p>
            <w:pPr>
              <w:pStyle w:val="TableContents"/>
              <w:bidi w:val="0"/>
              <w:spacing w:before="0" w:after="283"/>
              <w:jc w:val="left"/>
              <w:rPr/>
            </w:pPr>
            <w:r>
              <w:rPr/>
              <w:t> </w:t>
            </w:r>
          </w:p>
        </w:tc>
      </w:tr>
      <w:tr>
        <w:trPr/>
        <w:tc>
          <w:tcPr>
            <w:tcW w:w="6096"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60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15,445</w:t>
            </w:r>
          </w:p>
        </w:tc>
        <w:tc>
          <w:tcPr>
            <w:tcW w:w="16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43,236</w:t>
            </w:r>
          </w:p>
        </w:tc>
        <w:tc>
          <w:tcPr>
            <w:tcW w:w="16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27,791</w:t>
            </w:r>
          </w:p>
        </w:tc>
        <w:tc>
          <w:tcPr>
            <w:tcW w:w="168" w:type="dxa"/>
            <w:tcBorders/>
            <w:shd w:fill="CCEEFF" w:val="clear"/>
            <w:vAlign w:val="bottom"/>
          </w:tcPr>
          <w:p>
            <w:pPr>
              <w:pStyle w:val="TableContents"/>
              <w:bidi w:val="0"/>
              <w:spacing w:before="0" w:after="283"/>
              <w:jc w:val="left"/>
              <w:rPr/>
            </w:pPr>
            <w:r>
              <w:rPr/>
              <w:t> </w:t>
            </w:r>
          </w:p>
        </w:tc>
      </w:tr>
      <w:tr>
        <w:trPr/>
        <w:tc>
          <w:tcPr>
            <w:tcW w:w="6096"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6096"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(15,445</w:t>
            </w:r>
          </w:p>
        </w:tc>
        <w:tc>
          <w:tcPr>
            <w:tcW w:w="16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(43,236</w:t>
            </w:r>
          </w:p>
        </w:tc>
        <w:tc>
          <w:tcPr>
            <w:tcW w:w="16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(27,791</w:t>
            </w:r>
          </w:p>
        </w:tc>
        <w:tc>
          <w:tcPr>
            <w:tcW w:w="168" w:type="dxa"/>
            <w:tcBorders/>
            <w:vAlign w:val="bottom"/>
          </w:tcPr>
          <w:p>
            <w:pPr>
              <w:pStyle w:val="TableContents"/>
              <w:bidi w:val="0"/>
              <w:spacing w:before="0" w:after="283"/>
              <w:jc w:val="left"/>
              <w:rPr/>
            </w:pPr>
            <w:r>
              <w:rPr/>
              <w:t>) </w:t>
            </w:r>
          </w:p>
        </w:tc>
      </w:tr>
      <w:tr>
        <w:trPr/>
        <w:tc>
          <w:tcPr>
            <w:tcW w:w="60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6"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6"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6"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6096"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w:t>
            </w:r>
          </w:p>
        </w:tc>
        <w:tc>
          <w:tcPr>
            <w:tcW w:w="16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86</w:t>
            </w:r>
          </w:p>
        </w:tc>
        <w:tc>
          <w:tcPr>
            <w:tcW w:w="16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86</w:t>
            </w:r>
          </w:p>
        </w:tc>
        <w:tc>
          <w:tcPr>
            <w:tcW w:w="168" w:type="dxa"/>
            <w:tcBorders/>
            <w:vAlign w:val="bottom"/>
          </w:tcPr>
          <w:p>
            <w:pPr>
              <w:pStyle w:val="TableContents"/>
              <w:bidi w:val="0"/>
              <w:spacing w:before="0" w:after="283"/>
              <w:jc w:val="left"/>
              <w:rPr/>
            </w:pPr>
            <w:r>
              <w:rPr/>
              <w:t> </w:t>
            </w:r>
          </w:p>
        </w:tc>
      </w:tr>
      <w:tr>
        <w:trPr/>
        <w:tc>
          <w:tcPr>
            <w:tcW w:w="60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141</w:t>
            </w:r>
          </w:p>
        </w:tc>
        <w:tc>
          <w:tcPr>
            <w:tcW w:w="16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108</w:t>
            </w:r>
          </w:p>
        </w:tc>
        <w:tc>
          <w:tcPr>
            <w:tcW w:w="16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(33</w:t>
            </w:r>
          </w:p>
        </w:tc>
        <w:tc>
          <w:tcPr>
            <w:tcW w:w="168" w:type="dxa"/>
            <w:tcBorders/>
            <w:shd w:fill="CCEEFF" w:val="clear"/>
            <w:vAlign w:val="bottom"/>
          </w:tcPr>
          <w:p>
            <w:pPr>
              <w:pStyle w:val="TableContents"/>
              <w:bidi w:val="0"/>
              <w:spacing w:before="0" w:after="283"/>
              <w:jc w:val="left"/>
              <w:rPr/>
            </w:pPr>
            <w:r>
              <w:rPr/>
              <w:t>) </w:t>
            </w:r>
          </w:p>
        </w:tc>
      </w:tr>
      <w:tr>
        <w:trPr/>
        <w:tc>
          <w:tcPr>
            <w:tcW w:w="6096"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6096"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141</w:t>
            </w:r>
          </w:p>
        </w:tc>
        <w:tc>
          <w:tcPr>
            <w:tcW w:w="16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194</w:t>
            </w:r>
          </w:p>
        </w:tc>
        <w:tc>
          <w:tcPr>
            <w:tcW w:w="16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53</w:t>
            </w:r>
          </w:p>
        </w:tc>
        <w:tc>
          <w:tcPr>
            <w:tcW w:w="168" w:type="dxa"/>
            <w:tcBorders/>
            <w:vAlign w:val="bottom"/>
          </w:tcPr>
          <w:p>
            <w:pPr>
              <w:pStyle w:val="TableContents"/>
              <w:bidi w:val="0"/>
              <w:spacing w:before="0" w:after="283"/>
              <w:jc w:val="left"/>
              <w:rPr/>
            </w:pPr>
            <w:r>
              <w:rPr/>
              <w:t> </w:t>
            </w:r>
          </w:p>
        </w:tc>
      </w:tr>
      <w:tr>
        <w:trPr/>
        <w:tc>
          <w:tcPr>
            <w:tcW w:w="6096"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60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(15,304</w:t>
            </w:r>
          </w:p>
        </w:tc>
        <w:tc>
          <w:tcPr>
            <w:tcW w:w="16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(43,042</w:t>
            </w:r>
          </w:p>
        </w:tc>
        <w:tc>
          <w:tcPr>
            <w:tcW w:w="16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(27,738</w:t>
            </w:r>
          </w:p>
        </w:tc>
        <w:tc>
          <w:tcPr>
            <w:tcW w:w="168" w:type="dxa"/>
            <w:tcBorders/>
            <w:shd w:fill="CCEEFF" w:val="clear"/>
            <w:vAlign w:val="bottom"/>
          </w:tcPr>
          <w:p>
            <w:pPr>
              <w:pStyle w:val="TableContents"/>
              <w:bidi w:val="0"/>
              <w:spacing w:before="0" w:after="283"/>
              <w:jc w:val="left"/>
              <w:rPr/>
            </w:pPr>
            <w:r>
              <w:rPr/>
              <w:t>) </w:t>
            </w:r>
          </w:p>
        </w:tc>
      </w:tr>
      <w:tr>
        <w:trPr/>
        <w:tc>
          <w:tcPr>
            <w:tcW w:w="6096"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6"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6"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6"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research and development expenses by program for the periods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31"/>
        <w:gridCol w:w="218"/>
        <w:gridCol w:w="140"/>
        <w:gridCol w:w="806"/>
        <w:gridCol w:w="60"/>
        <w:gridCol w:w="218"/>
        <w:gridCol w:w="140"/>
        <w:gridCol w:w="806"/>
        <w:gridCol w:w="60"/>
        <w:gridCol w:w="218"/>
        <w:gridCol w:w="140"/>
        <w:gridCol w:w="806"/>
        <w:gridCol w:w="162"/>
      </w:tblGrid>
      <w:tr>
        <w:trPr/>
        <w:tc>
          <w:tcPr>
            <w:tcW w:w="6431"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3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1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r>
      <w:tr>
        <w:trPr/>
        <w:tc>
          <w:tcPr>
            <w:tcW w:w="643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2" w:type="dxa"/>
            <w:tcBorders/>
            <w:vAlign w:val="bottom"/>
          </w:tcPr>
          <w:p>
            <w:pPr>
              <w:pStyle w:val="TableContents"/>
              <w:bidi w:val="0"/>
              <w:spacing w:before="0" w:after="283"/>
              <w:jc w:val="left"/>
              <w:rPr/>
            </w:pPr>
            <w:r>
              <w:rPr/>
              <w:t> </w:t>
            </w:r>
          </w:p>
        </w:tc>
      </w:tr>
      <w:tr>
        <w:trPr/>
        <w:tc>
          <w:tcPr>
            <w:tcW w:w="643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170" w:type="dxa"/>
            <w:gridSpan w:val="6"/>
            <w:tcBorders/>
            <w:vAlign w:val="bottom"/>
          </w:tcPr>
          <w:p>
            <w:pPr>
              <w:pStyle w:val="TableContents"/>
              <w:bidi w:val="0"/>
              <w:spacing w:before="0" w:after="283"/>
              <w:jc w:val="center"/>
              <w:rPr>
                <w:b/>
              </w:rPr>
            </w:pPr>
            <w:r>
              <w:rPr>
                <w:b/>
              </w:rPr>
              <w:t>(in thousands)</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r>
      <w:tr>
        <w:trPr/>
        <w:tc>
          <w:tcPr>
            <w:tcW w:w="6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 external program expenses: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6431" w:type="dxa"/>
            <w:tcBorders/>
          </w:tcPr>
          <w:p>
            <w:pPr>
              <w:pStyle w:val="TableContents"/>
              <w:bidi w:val="0"/>
              <w:spacing w:before="0" w:after="0"/>
              <w:jc w:val="left"/>
              <w:rPr>
                <w:rFonts w:ascii="Times New Roman" w:hAnsi="Times New Roman"/>
                <w:sz w:val="20"/>
              </w:rPr>
            </w:pPr>
            <w:r>
              <w:rPr>
                <w:rFonts w:ascii="Times New Roman" w:hAnsi="Times New Roman"/>
                <w:sz w:val="20"/>
              </w:rPr>
              <w:t>NMRA-140 program</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2,592</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3,145</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553</w:t>
            </w:r>
          </w:p>
        </w:tc>
        <w:tc>
          <w:tcPr>
            <w:tcW w:w="162" w:type="dxa"/>
            <w:tcBorders/>
            <w:vAlign w:val="bottom"/>
          </w:tcPr>
          <w:p>
            <w:pPr>
              <w:pStyle w:val="TableContents"/>
              <w:bidi w:val="0"/>
              <w:spacing w:before="0" w:after="283"/>
              <w:jc w:val="left"/>
              <w:rPr/>
            </w:pPr>
            <w:r>
              <w:rPr/>
              <w:t> </w:t>
            </w:r>
          </w:p>
        </w:tc>
      </w:tr>
      <w:tr>
        <w:trPr/>
        <w:tc>
          <w:tcPr>
            <w:tcW w:w="6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NMRA-511 program</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1,010</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22</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(988</w:t>
            </w:r>
          </w:p>
        </w:tc>
        <w:tc>
          <w:tcPr>
            <w:tcW w:w="162" w:type="dxa"/>
            <w:tcBorders/>
            <w:shd w:fill="CCEEFF" w:val="clear"/>
            <w:vAlign w:val="bottom"/>
          </w:tcPr>
          <w:p>
            <w:pPr>
              <w:pStyle w:val="TableContents"/>
              <w:bidi w:val="0"/>
              <w:spacing w:before="0" w:after="283"/>
              <w:jc w:val="left"/>
              <w:rPr/>
            </w:pPr>
            <w:r>
              <w:rPr/>
              <w:t>) </w:t>
            </w:r>
          </w:p>
        </w:tc>
      </w:tr>
      <w:tr>
        <w:trPr/>
        <w:tc>
          <w:tcPr>
            <w:tcW w:w="6431" w:type="dxa"/>
            <w:tcBorders/>
          </w:tcPr>
          <w:p>
            <w:pPr>
              <w:pStyle w:val="TableContents"/>
              <w:bidi w:val="0"/>
              <w:spacing w:before="0" w:after="0"/>
              <w:jc w:val="left"/>
              <w:rPr>
                <w:rFonts w:ascii="Times New Roman" w:hAnsi="Times New Roman"/>
                <w:sz w:val="20"/>
              </w:rPr>
            </w:pPr>
            <w:r>
              <w:rPr>
                <w:rFonts w:ascii="Times New Roman" w:hAnsi="Times New Roman"/>
                <w:sz w:val="20"/>
              </w:rPr>
              <w:t>Preclinical programs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1,648</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4,083</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2,435</w:t>
            </w:r>
          </w:p>
        </w:tc>
        <w:tc>
          <w:tcPr>
            <w:tcW w:w="162" w:type="dxa"/>
            <w:tcBorders/>
            <w:vAlign w:val="bottom"/>
          </w:tcPr>
          <w:p>
            <w:pPr>
              <w:pStyle w:val="TableContents"/>
              <w:bidi w:val="0"/>
              <w:spacing w:before="0" w:after="283"/>
              <w:jc w:val="left"/>
              <w:rPr/>
            </w:pPr>
            <w:r>
              <w:rPr/>
              <w:t> </w:t>
            </w:r>
          </w:p>
        </w:tc>
      </w:tr>
      <w:tr>
        <w:trPr/>
        <w:tc>
          <w:tcPr>
            <w:tcW w:w="6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Internal and unallocated expenses: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6431" w:type="dxa"/>
            <w:tcBorders/>
          </w:tcPr>
          <w:p>
            <w:pPr>
              <w:pStyle w:val="TableContents"/>
              <w:bidi w:val="0"/>
              <w:spacing w:before="0" w:after="0"/>
              <w:jc w:val="left"/>
              <w:rPr>
                <w:rFonts w:ascii="Times New Roman" w:hAnsi="Times New Roman"/>
                <w:sz w:val="20"/>
              </w:rPr>
            </w:pPr>
            <w:r>
              <w:rPr>
                <w:rFonts w:ascii="Times New Roman" w:hAnsi="Times New Roman"/>
                <w:sz w:val="20"/>
              </w:rPr>
              <w:t>Personnel-related costs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4,337</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6,333</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1,996</w:t>
            </w:r>
          </w:p>
        </w:tc>
        <w:tc>
          <w:tcPr>
            <w:tcW w:w="162" w:type="dxa"/>
            <w:tcBorders/>
            <w:vAlign w:val="bottom"/>
          </w:tcPr>
          <w:p>
            <w:pPr>
              <w:pStyle w:val="TableContents"/>
              <w:bidi w:val="0"/>
              <w:spacing w:before="0" w:after="283"/>
              <w:jc w:val="left"/>
              <w:rPr/>
            </w:pPr>
            <w:r>
              <w:rPr/>
              <w:t> </w:t>
            </w:r>
          </w:p>
        </w:tc>
      </w:tr>
      <w:tr>
        <w:trPr/>
        <w:tc>
          <w:tcPr>
            <w:tcW w:w="6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costs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1,916</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8,566</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6,650</w:t>
            </w:r>
          </w:p>
        </w:tc>
        <w:tc>
          <w:tcPr>
            <w:tcW w:w="162" w:type="dxa"/>
            <w:tcBorders/>
            <w:shd w:fill="CCEEFF" w:val="clear"/>
            <w:vAlign w:val="bottom"/>
          </w:tcPr>
          <w:p>
            <w:pPr>
              <w:pStyle w:val="TableContents"/>
              <w:bidi w:val="0"/>
              <w:spacing w:before="0" w:after="283"/>
              <w:jc w:val="left"/>
              <w:rPr/>
            </w:pPr>
            <w:r>
              <w:rPr/>
              <w:t> </w:t>
            </w:r>
          </w:p>
        </w:tc>
      </w:tr>
      <w:tr>
        <w:trPr/>
        <w:tc>
          <w:tcPr>
            <w:tcW w:w="643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431"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  </w:t>
            </w:r>
            <w:r>
              <w:rPr/>
              <w:t>11,503</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  </w:t>
            </w:r>
            <w:r>
              <w:rPr/>
              <w:t>22,149</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  </w:t>
            </w:r>
            <w:r>
              <w:rPr/>
              <w:t>10,646</w:t>
            </w:r>
          </w:p>
        </w:tc>
        <w:tc>
          <w:tcPr>
            <w:tcW w:w="162" w:type="dxa"/>
            <w:tcBorders/>
            <w:vAlign w:val="bottom"/>
          </w:tcPr>
          <w:p>
            <w:pPr>
              <w:pStyle w:val="TableContents"/>
              <w:bidi w:val="0"/>
              <w:spacing w:before="0" w:after="283"/>
              <w:jc w:val="left"/>
              <w:rPr/>
            </w:pPr>
            <w:r>
              <w:rPr/>
              <w:t> </w:t>
            </w:r>
          </w:p>
        </w:tc>
      </w:tr>
      <w:tr>
        <w:trPr/>
        <w:tc>
          <w:tcPr>
            <w:tcW w:w="643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Research and development expenses increased by $10.6 million, or 93%, from $11.5 million for the three months ended March 31, 2021 to $22.1 million for the three months ended March 31, 2022 as we continued to progress our product candidate NMRA-140 as well as ramp up our other preclinical programs, including for NMRA-M4R, NMRA-GRIN2A, NMRA-NLRP3, NMRA-CK1</w:t>
      </w:r>
      <w:r>
        <w:rPr>
          <w:rFonts w:ascii="SYMBOL" w:hAnsi="SYMBOL"/>
          <w:sz w:val="20"/>
        </w:rPr>
        <w:t>d</w:t>
      </w:r>
      <w:r>
        <w:rPr>
          <w:rFonts w:ascii="Times New Roman" w:hAnsi="Times New Roman"/>
          <w:sz w:val="20"/>
        </w:rPr>
        <w:t xml:space="preserve"> and NMRA-GCase, and discovery activities. Direct external program expenses grew by $2.0 million, of which $1.7 million of the increase was attributable to CRO costs and $0.3 million of the increase was attributable to other external research and development costs. Internal and unallocated expenses increased by $8.6 million, of which $2.0 million was attributable to personnel-related costs as we grew our headcount and $6.6 million was driven by an increase in contracted research and consulting activities mainly due to higher activities under the Amgen Collaboration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Acquired In-Process Research and Development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Acquired in-process research and development expenses were $13.0 million for the three months ended March 31, 2022, which consisted of costs to acquire rights to IPR&amp;D assets upon the execution of our in-licensing agreement with Vanderbilt, as these assets had not yet reached technological feasibility and had no alternative future use. </w:t>
      </w:r>
    </w:p>
    <w:p>
      <w:pPr>
        <w:pStyle w:val="TextBody"/>
        <w:bidi w:val="0"/>
        <w:spacing w:before="360" w:after="0"/>
        <w:jc w:val="left"/>
        <w:rPr>
          <w:rFonts w:ascii="Times New Roman" w:hAnsi="Times New Roman"/>
          <w:sz w:val="20"/>
        </w:rPr>
      </w:pPr>
      <w:r>
        <w:rPr>
          <w:rFonts w:ascii="Times New Roman" w:hAnsi="Times New Roman"/>
          <w:i/>
          <w:sz w:val="20"/>
        </w:rPr>
        <w:t>General and Administrative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increased by $4.1 million, or 105%, from $3.9 million for the three months ended March 31, 2021 to $8.1 million for the three months ended March 31, 2022 as we continued to expand our administrative functions to support our business. The increase was primarily attributable to an increase of $3.5 million in personnel-related costs, including an increase of $0.7 million in stock-based compensation, as we grew our headcount and an increase of $0.6 million in professional services and consulting fees as we continued to devote resources to becoming a public company. </w:t>
      </w:r>
    </w:p>
    <w:p>
      <w:pPr>
        <w:pStyle w:val="TextBody"/>
        <w:bidi w:val="0"/>
        <w:spacing w:before="360" w:after="0"/>
        <w:jc w:val="left"/>
        <w:rPr>
          <w:rFonts w:ascii="Times New Roman" w:hAnsi="Times New Roman"/>
          <w:sz w:val="20"/>
        </w:rPr>
      </w:pPr>
      <w:r>
        <w:rPr>
          <w:rFonts w:ascii="Times New Roman" w:hAnsi="Times New Roman"/>
          <w:i/>
          <w:sz w:val="20"/>
        </w:rPr>
        <w:t>Interest Income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was $0.1 million for the three months ended March 31, 2022, which was attributable to interest earned on our cash equivalents and marketable securities. </w:t>
      </w:r>
    </w:p>
    <w:p>
      <w:pPr>
        <w:pStyle w:val="TextBody"/>
        <w:bidi w:val="0"/>
        <w:spacing w:before="360" w:after="0"/>
        <w:jc w:val="left"/>
        <w:rPr>
          <w:rFonts w:ascii="Times New Roman" w:hAnsi="Times New Roman"/>
          <w:sz w:val="20"/>
        </w:rPr>
      </w:pPr>
      <w:r>
        <w:rPr>
          <w:rFonts w:ascii="Times New Roman" w:hAnsi="Times New Roman"/>
          <w:i/>
          <w:sz w:val="20"/>
        </w:rPr>
        <w:t>Other Income (Expense),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Other income (expense), net was $0.1 million for both the three months ended March 31, 2021 and 2022, which was primarily attributable to fluctuations in the fair value of our convertible preferred stock warrant liability resulting from changes to the underlying assumptions with respect to expected term and volatility.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 the Years Ended December 31, 2020 and 2021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result of operations for the periods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06"/>
        <w:gridCol w:w="210"/>
        <w:gridCol w:w="172"/>
        <w:gridCol w:w="1065"/>
        <w:gridCol w:w="176"/>
        <w:gridCol w:w="177"/>
        <w:gridCol w:w="166"/>
        <w:gridCol w:w="1175"/>
        <w:gridCol w:w="155"/>
        <w:gridCol w:w="173"/>
        <w:gridCol w:w="140"/>
        <w:gridCol w:w="1029"/>
        <w:gridCol w:w="161"/>
      </w:tblGrid>
      <w:tr>
        <w:trPr/>
        <w:tc>
          <w:tcPr>
            <w:tcW w:w="5406"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0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9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5" w:type="dxa"/>
            <w:tcBorders/>
            <w:vAlign w:val="bottom"/>
          </w:tcPr>
          <w:p>
            <w:pPr>
              <w:pStyle w:val="TableContents"/>
              <w:bidi w:val="0"/>
              <w:spacing w:before="0" w:after="283"/>
              <w:jc w:val="left"/>
              <w:rPr/>
            </w:pPr>
            <w:r>
              <w:rPr/>
              <w:t> </w:t>
            </w:r>
          </w:p>
        </w:tc>
        <w:tc>
          <w:tcPr>
            <w:tcW w:w="173" w:type="dxa"/>
            <w:vMerge w:val="restart"/>
            <w:tcBorders/>
            <w:vAlign w:val="bottom"/>
          </w:tcPr>
          <w:p>
            <w:pPr>
              <w:pStyle w:val="TableContents"/>
              <w:bidi w:val="0"/>
              <w:spacing w:before="0" w:after="283"/>
              <w:jc w:val="left"/>
              <w:rPr/>
            </w:pPr>
            <w:r>
              <w:rPr/>
              <w:t> </w:t>
            </w:r>
          </w:p>
        </w:tc>
        <w:tc>
          <w:tcPr>
            <w:tcW w:w="1169"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1" w:type="dxa"/>
            <w:vMerge w:val="restart"/>
            <w:tcBorders/>
            <w:vAlign w:val="bottom"/>
          </w:tcPr>
          <w:p>
            <w:pPr>
              <w:pStyle w:val="TableContents"/>
              <w:bidi w:val="0"/>
              <w:spacing w:before="0" w:after="283"/>
              <w:jc w:val="left"/>
              <w:rPr/>
            </w:pPr>
            <w:r>
              <w:rPr/>
              <w:t> </w:t>
            </w:r>
          </w:p>
        </w:tc>
      </w:tr>
      <w:tr>
        <w:trPr/>
        <w:tc>
          <w:tcPr>
            <w:tcW w:w="540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2020      </w:t>
            </w:r>
          </w:p>
        </w:tc>
        <w:tc>
          <w:tcPr>
            <w:tcW w:w="17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34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155" w:type="dxa"/>
            <w:tcBorders/>
            <w:vAlign w:val="bottom"/>
          </w:tcPr>
          <w:p>
            <w:pPr>
              <w:pStyle w:val="TableContents"/>
              <w:bidi w:val="0"/>
              <w:spacing w:before="0" w:after="283"/>
              <w:jc w:val="left"/>
              <w:rPr/>
            </w:pPr>
            <w:r>
              <w:rPr/>
              <w:t> </w:t>
            </w:r>
          </w:p>
        </w:tc>
        <w:tc>
          <w:tcPr>
            <w:tcW w:w="173" w:type="dxa"/>
            <w:vMerge w:val="continue"/>
            <w:tcBorders/>
            <w:vAlign w:val="bottom"/>
          </w:tcPr>
          <w:p>
            <w:pPr>
              <w:pStyle w:val="Normal"/>
              <w:bidi w:val="0"/>
              <w:jc w:val="left"/>
              <w:rPr/>
            </w:pPr>
            <w:r>
              <w:rPr/>
            </w:r>
          </w:p>
        </w:tc>
        <w:tc>
          <w:tcPr>
            <w:tcW w:w="1169" w:type="dxa"/>
            <w:gridSpan w:val="2"/>
            <w:vMerge w:val="continue"/>
            <w:tcBorders>
              <w:bottom w:val="single" w:sz="8" w:space="0" w:color="000000"/>
            </w:tcBorders>
            <w:tcMar>
              <w:bottom w:w="28" w:type="dxa"/>
            </w:tcMar>
            <w:vAlign w:val="bottom"/>
          </w:tcPr>
          <w:p>
            <w:pPr>
              <w:pStyle w:val="Normal"/>
              <w:bidi w:val="0"/>
              <w:jc w:val="left"/>
              <w:rPr/>
            </w:pPr>
            <w:r>
              <w:rPr/>
            </w:r>
          </w:p>
        </w:tc>
        <w:tc>
          <w:tcPr>
            <w:tcW w:w="161" w:type="dxa"/>
            <w:vMerge w:val="continue"/>
            <w:tcBorders/>
            <w:vAlign w:val="bottom"/>
          </w:tcPr>
          <w:p>
            <w:pPr>
              <w:pStyle w:val="Normal"/>
              <w:bidi w:val="0"/>
              <w:jc w:val="left"/>
              <w:rPr/>
            </w:pPr>
            <w:r>
              <w:rPr/>
            </w:r>
          </w:p>
        </w:tc>
      </w:tr>
      <w:tr>
        <w:trPr/>
        <w:tc>
          <w:tcPr>
            <w:tcW w:w="540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4428" w:type="dxa"/>
            <w:gridSpan w:val="10"/>
            <w:tcBorders/>
            <w:vAlign w:val="bottom"/>
          </w:tcPr>
          <w:p>
            <w:pPr>
              <w:pStyle w:val="TableContents"/>
              <w:bidi w:val="0"/>
              <w:spacing w:before="0" w:after="283"/>
              <w:jc w:val="center"/>
              <w:rPr>
                <w:b/>
              </w:rPr>
            </w:pPr>
            <w:r>
              <w:rPr>
                <w:b/>
              </w:rPr>
              <w:t>(in thousands)</w:t>
            </w:r>
          </w:p>
        </w:tc>
        <w:tc>
          <w:tcPr>
            <w:tcW w:w="161" w:type="dxa"/>
            <w:tcBorders/>
            <w:vAlign w:val="bottom"/>
          </w:tcPr>
          <w:p>
            <w:pPr>
              <w:pStyle w:val="TableContents"/>
              <w:bidi w:val="0"/>
              <w:spacing w:before="0" w:after="283"/>
              <w:jc w:val="left"/>
              <w:rPr/>
            </w:pPr>
            <w:r>
              <w:rPr/>
              <w:t> </w:t>
            </w:r>
          </w:p>
        </w:tc>
      </w:tr>
      <w:tr>
        <w:trPr/>
        <w:tc>
          <w:tcPr>
            <w:tcW w:w="5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1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06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406"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1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065" w:type="dxa"/>
            <w:tcBorders/>
            <w:vAlign w:val="bottom"/>
          </w:tcPr>
          <w:p>
            <w:pPr>
              <w:pStyle w:val="TableContents"/>
              <w:bidi w:val="0"/>
              <w:spacing w:before="0" w:after="283"/>
              <w:jc w:val="right"/>
              <w:rPr/>
            </w:pPr>
            <w:r>
              <w:rPr/>
              <w:t>17,614</w:t>
            </w:r>
          </w:p>
        </w:tc>
        <w:tc>
          <w:tcPr>
            <w:tcW w:w="17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175" w:type="dxa"/>
            <w:tcBorders/>
            <w:vAlign w:val="bottom"/>
          </w:tcPr>
          <w:p>
            <w:pPr>
              <w:pStyle w:val="TableContents"/>
              <w:bidi w:val="0"/>
              <w:spacing w:before="0" w:after="283"/>
              <w:jc w:val="right"/>
              <w:rPr/>
            </w:pPr>
            <w:r>
              <w:rPr/>
              <w:t>55,776</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38,162</w:t>
            </w:r>
          </w:p>
        </w:tc>
        <w:tc>
          <w:tcPr>
            <w:tcW w:w="161" w:type="dxa"/>
            <w:tcBorders/>
            <w:vAlign w:val="bottom"/>
          </w:tcPr>
          <w:p>
            <w:pPr>
              <w:pStyle w:val="TableContents"/>
              <w:bidi w:val="0"/>
              <w:spacing w:before="0" w:after="283"/>
              <w:jc w:val="left"/>
              <w:rPr/>
            </w:pPr>
            <w:r>
              <w:rPr/>
              <w:t> </w:t>
            </w:r>
          </w:p>
        </w:tc>
      </w:tr>
      <w:tr>
        <w:trPr/>
        <w:tc>
          <w:tcPr>
            <w:tcW w:w="5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21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69,512</w:t>
            </w:r>
          </w:p>
        </w:tc>
        <w:tc>
          <w:tcPr>
            <w:tcW w:w="17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157,000</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87,488</w:t>
            </w:r>
          </w:p>
        </w:tc>
        <w:tc>
          <w:tcPr>
            <w:tcW w:w="161" w:type="dxa"/>
            <w:tcBorders/>
            <w:shd w:fill="CCEEFF" w:val="clear"/>
            <w:vAlign w:val="bottom"/>
          </w:tcPr>
          <w:p>
            <w:pPr>
              <w:pStyle w:val="TableContents"/>
              <w:bidi w:val="0"/>
              <w:spacing w:before="0" w:after="283"/>
              <w:jc w:val="left"/>
              <w:rPr/>
            </w:pPr>
            <w:r>
              <w:rPr/>
              <w:t> </w:t>
            </w:r>
          </w:p>
        </w:tc>
      </w:tr>
      <w:tr>
        <w:trPr/>
        <w:tc>
          <w:tcPr>
            <w:tcW w:w="5406"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1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8,392</w:t>
            </w:r>
          </w:p>
        </w:tc>
        <w:tc>
          <w:tcPr>
            <w:tcW w:w="17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24,547</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16,155</w:t>
            </w:r>
          </w:p>
        </w:tc>
        <w:tc>
          <w:tcPr>
            <w:tcW w:w="161" w:type="dxa"/>
            <w:tcBorders/>
            <w:vAlign w:val="bottom"/>
          </w:tcPr>
          <w:p>
            <w:pPr>
              <w:pStyle w:val="TableContents"/>
              <w:bidi w:val="0"/>
              <w:spacing w:before="0" w:after="283"/>
              <w:jc w:val="left"/>
              <w:rPr/>
            </w:pPr>
            <w:r>
              <w:rPr/>
              <w:t> </w:t>
            </w:r>
          </w:p>
        </w:tc>
      </w:tr>
      <w:tr>
        <w:trPr/>
        <w:tc>
          <w:tcPr>
            <w:tcW w:w="5406"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1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95,518</w:t>
            </w:r>
          </w:p>
        </w:tc>
        <w:tc>
          <w:tcPr>
            <w:tcW w:w="17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237,323</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141,805</w:t>
            </w:r>
          </w:p>
        </w:tc>
        <w:tc>
          <w:tcPr>
            <w:tcW w:w="161" w:type="dxa"/>
            <w:tcBorders/>
            <w:shd w:fill="CCEEFF" w:val="clear"/>
            <w:vAlign w:val="bottom"/>
          </w:tcPr>
          <w:p>
            <w:pPr>
              <w:pStyle w:val="TableContents"/>
              <w:bidi w:val="0"/>
              <w:spacing w:before="0" w:after="283"/>
              <w:jc w:val="left"/>
              <w:rPr/>
            </w:pPr>
            <w:r>
              <w:rPr/>
              <w:t> </w:t>
            </w:r>
          </w:p>
        </w:tc>
      </w:tr>
      <w:tr>
        <w:trPr/>
        <w:tc>
          <w:tcPr>
            <w:tcW w:w="5406"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406"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1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(95,518</w:t>
            </w:r>
          </w:p>
        </w:tc>
        <w:tc>
          <w:tcPr>
            <w:tcW w:w="17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(237,323</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(141,805</w:t>
            </w:r>
          </w:p>
        </w:tc>
        <w:tc>
          <w:tcPr>
            <w:tcW w:w="161" w:type="dxa"/>
            <w:tcBorders/>
            <w:vAlign w:val="bottom"/>
          </w:tcPr>
          <w:p>
            <w:pPr>
              <w:pStyle w:val="TableContents"/>
              <w:bidi w:val="0"/>
              <w:spacing w:before="0" w:after="283"/>
              <w:jc w:val="left"/>
              <w:rPr/>
            </w:pPr>
            <w:r>
              <w:rPr/>
              <w:t>) </w:t>
            </w:r>
          </w:p>
        </w:tc>
      </w:tr>
      <w:tr>
        <w:trPr/>
        <w:tc>
          <w:tcPr>
            <w:tcW w:w="5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21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06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406" w:type="dxa"/>
            <w:tcBorders/>
          </w:tcPr>
          <w:p>
            <w:pPr>
              <w:pStyle w:val="TableContents"/>
              <w:bidi w:val="0"/>
              <w:spacing w:before="0" w:after="0"/>
              <w:jc w:val="left"/>
              <w:rPr>
                <w:rFonts w:ascii="Times New Roman" w:hAnsi="Times New Roman"/>
                <w:sz w:val="20"/>
              </w:rPr>
            </w:pPr>
            <w:r>
              <w:rPr>
                <w:rFonts w:ascii="Times New Roman" w:hAnsi="Times New Roman"/>
                <w:sz w:val="20"/>
              </w:rPr>
              <w:t>Loss from change in fair value of convertible promissory notes</w:t>
            </w:r>
          </w:p>
        </w:tc>
        <w:tc>
          <w:tcPr>
            <w:tcW w:w="21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(3,275</w:t>
            </w:r>
          </w:p>
        </w:tc>
        <w:tc>
          <w:tcPr>
            <w:tcW w:w="17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3,275</w:t>
            </w:r>
          </w:p>
        </w:tc>
        <w:tc>
          <w:tcPr>
            <w:tcW w:w="161" w:type="dxa"/>
            <w:tcBorders/>
            <w:vAlign w:val="bottom"/>
          </w:tcPr>
          <w:p>
            <w:pPr>
              <w:pStyle w:val="TableContents"/>
              <w:bidi w:val="0"/>
              <w:spacing w:before="0" w:after="283"/>
              <w:jc w:val="left"/>
              <w:rPr/>
            </w:pPr>
            <w:r>
              <w:rPr/>
              <w:t> </w:t>
            </w:r>
          </w:p>
        </w:tc>
      </w:tr>
      <w:tr>
        <w:trPr/>
        <w:tc>
          <w:tcPr>
            <w:tcW w:w="5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1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(479</w:t>
            </w:r>
          </w:p>
        </w:tc>
        <w:tc>
          <w:tcPr>
            <w:tcW w:w="17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490</w:t>
            </w:r>
          </w:p>
        </w:tc>
        <w:tc>
          <w:tcPr>
            <w:tcW w:w="161" w:type="dxa"/>
            <w:tcBorders/>
            <w:shd w:fill="CCEEFF" w:val="clear"/>
            <w:vAlign w:val="bottom"/>
          </w:tcPr>
          <w:p>
            <w:pPr>
              <w:pStyle w:val="TableContents"/>
              <w:bidi w:val="0"/>
              <w:spacing w:before="0" w:after="283"/>
              <w:jc w:val="left"/>
              <w:rPr/>
            </w:pPr>
            <w:r>
              <w:rPr/>
              <w:t> </w:t>
            </w:r>
          </w:p>
        </w:tc>
      </w:tr>
      <w:tr>
        <w:trPr/>
        <w:tc>
          <w:tcPr>
            <w:tcW w:w="5406"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406"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1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(3,754</w:t>
            </w:r>
          </w:p>
        </w:tc>
        <w:tc>
          <w:tcPr>
            <w:tcW w:w="17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3,765</w:t>
            </w:r>
          </w:p>
        </w:tc>
        <w:tc>
          <w:tcPr>
            <w:tcW w:w="161" w:type="dxa"/>
            <w:tcBorders/>
            <w:vAlign w:val="bottom"/>
          </w:tcPr>
          <w:p>
            <w:pPr>
              <w:pStyle w:val="TableContents"/>
              <w:bidi w:val="0"/>
              <w:spacing w:before="0" w:after="283"/>
              <w:jc w:val="left"/>
              <w:rPr/>
            </w:pPr>
            <w:r>
              <w:rPr/>
              <w:t> </w:t>
            </w:r>
          </w:p>
        </w:tc>
      </w:tr>
      <w:tr>
        <w:trPr/>
        <w:tc>
          <w:tcPr>
            <w:tcW w:w="5406"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21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  </w:t>
            </w:r>
            <w:r>
              <w:rPr/>
              <w:t>(99,272</w:t>
            </w:r>
          </w:p>
        </w:tc>
        <w:tc>
          <w:tcPr>
            <w:tcW w:w="17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  </w:t>
            </w:r>
            <w:r>
              <w:rPr/>
              <w:t>(237,312</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  </w:t>
            </w:r>
            <w:r>
              <w:rPr/>
              <w:t>(138,040</w:t>
            </w:r>
          </w:p>
        </w:tc>
        <w:tc>
          <w:tcPr>
            <w:tcW w:w="161" w:type="dxa"/>
            <w:tcBorders/>
            <w:shd w:fill="CCEEFF" w:val="clear"/>
            <w:vAlign w:val="bottom"/>
          </w:tcPr>
          <w:p>
            <w:pPr>
              <w:pStyle w:val="TableContents"/>
              <w:bidi w:val="0"/>
              <w:spacing w:before="0" w:after="283"/>
              <w:jc w:val="left"/>
              <w:rPr/>
            </w:pPr>
            <w:r>
              <w:rPr/>
              <w:t>) </w:t>
            </w:r>
          </w:p>
        </w:tc>
      </w:tr>
      <w:tr>
        <w:trPr/>
        <w:tc>
          <w:tcPr>
            <w:tcW w:w="5406"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research and development expenses by program for the periods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42"/>
        <w:gridCol w:w="213"/>
        <w:gridCol w:w="189"/>
        <w:gridCol w:w="1090"/>
        <w:gridCol w:w="77"/>
        <w:gridCol w:w="236"/>
        <w:gridCol w:w="189"/>
        <w:gridCol w:w="1090"/>
        <w:gridCol w:w="60"/>
        <w:gridCol w:w="212"/>
        <w:gridCol w:w="140"/>
        <w:gridCol w:w="800"/>
        <w:gridCol w:w="67"/>
      </w:tblGrid>
      <w:tr>
        <w:trPr/>
        <w:tc>
          <w:tcPr>
            <w:tcW w:w="5842"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84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87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0" w:type="dxa"/>
            <w:tcBorders/>
            <w:vAlign w:val="bottom"/>
          </w:tcPr>
          <w:p>
            <w:pPr>
              <w:pStyle w:val="TableContents"/>
              <w:bidi w:val="0"/>
              <w:spacing w:before="0" w:after="283"/>
              <w:jc w:val="left"/>
              <w:rPr/>
            </w:pPr>
            <w:r>
              <w:rPr/>
              <w:t> </w:t>
            </w:r>
          </w:p>
        </w:tc>
        <w:tc>
          <w:tcPr>
            <w:tcW w:w="212" w:type="dxa"/>
            <w:vMerge w:val="restart"/>
            <w:tcBorders/>
            <w:vAlign w:val="bottom"/>
          </w:tcPr>
          <w:p>
            <w:pPr>
              <w:pStyle w:val="TableContents"/>
              <w:bidi w:val="0"/>
              <w:spacing w:before="0" w:after="283"/>
              <w:jc w:val="left"/>
              <w:rPr/>
            </w:pPr>
            <w:r>
              <w:rPr/>
              <w:t>  </w:t>
            </w:r>
          </w:p>
        </w:tc>
        <w:tc>
          <w:tcPr>
            <w:tcW w:w="94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7" w:type="dxa"/>
            <w:vMerge w:val="restart"/>
            <w:tcBorders/>
            <w:vAlign w:val="bottom"/>
          </w:tcPr>
          <w:p>
            <w:pPr>
              <w:pStyle w:val="TableContents"/>
              <w:bidi w:val="0"/>
              <w:spacing w:before="0" w:after="283"/>
              <w:jc w:val="left"/>
              <w:rPr/>
            </w:pPr>
            <w:r>
              <w:rPr/>
              <w:t> </w:t>
            </w:r>
          </w:p>
        </w:tc>
      </w:tr>
      <w:tr>
        <w:trPr/>
        <w:tc>
          <w:tcPr>
            <w:tcW w:w="584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2020      </w:t>
            </w:r>
          </w:p>
        </w:tc>
        <w:tc>
          <w:tcPr>
            <w:tcW w:w="77"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60" w:type="dxa"/>
            <w:tcBorders/>
            <w:vAlign w:val="bottom"/>
          </w:tcPr>
          <w:p>
            <w:pPr>
              <w:pStyle w:val="TableContents"/>
              <w:bidi w:val="0"/>
              <w:spacing w:before="0" w:after="283"/>
              <w:jc w:val="left"/>
              <w:rPr/>
            </w:pPr>
            <w:r>
              <w:rPr/>
              <w:t> </w:t>
            </w:r>
          </w:p>
        </w:tc>
        <w:tc>
          <w:tcPr>
            <w:tcW w:w="212" w:type="dxa"/>
            <w:vMerge w:val="continue"/>
            <w:tcBorders/>
            <w:vAlign w:val="bottom"/>
          </w:tcPr>
          <w:p>
            <w:pPr>
              <w:pStyle w:val="Normal"/>
              <w:bidi w:val="0"/>
              <w:jc w:val="left"/>
              <w:rPr/>
            </w:pPr>
            <w:r>
              <w:rPr/>
            </w:r>
          </w:p>
        </w:tc>
        <w:tc>
          <w:tcPr>
            <w:tcW w:w="940" w:type="dxa"/>
            <w:gridSpan w:val="2"/>
            <w:vMerge w:val="continue"/>
            <w:tcBorders>
              <w:bottom w:val="single" w:sz="8" w:space="0" w:color="000000"/>
            </w:tcBorders>
            <w:tcMar>
              <w:bottom w:w="28" w:type="dxa"/>
            </w:tcMar>
            <w:vAlign w:val="bottom"/>
          </w:tcPr>
          <w:p>
            <w:pPr>
              <w:pStyle w:val="Normal"/>
              <w:bidi w:val="0"/>
              <w:jc w:val="left"/>
              <w:rPr/>
            </w:pPr>
            <w:r>
              <w:rPr/>
            </w:r>
          </w:p>
        </w:tc>
        <w:tc>
          <w:tcPr>
            <w:tcW w:w="67" w:type="dxa"/>
            <w:vMerge w:val="continue"/>
            <w:tcBorders/>
            <w:vAlign w:val="bottom"/>
          </w:tcPr>
          <w:p>
            <w:pPr>
              <w:pStyle w:val="Normal"/>
              <w:bidi w:val="0"/>
              <w:jc w:val="left"/>
              <w:rPr/>
            </w:pPr>
            <w:r>
              <w:rPr/>
            </w:r>
          </w:p>
        </w:tc>
      </w:tr>
      <w:tr>
        <w:trPr/>
        <w:tc>
          <w:tcPr>
            <w:tcW w:w="584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4083" w:type="dxa"/>
            <w:gridSpan w:val="10"/>
            <w:tcBorders/>
            <w:vAlign w:val="bottom"/>
          </w:tcPr>
          <w:p>
            <w:pPr>
              <w:pStyle w:val="TableContents"/>
              <w:bidi w:val="0"/>
              <w:spacing w:before="0" w:after="283"/>
              <w:jc w:val="center"/>
              <w:rPr>
                <w:b/>
              </w:rPr>
            </w:pPr>
            <w:r>
              <w:rPr>
                <w:b/>
              </w:rPr>
              <w:t>(in thousands)</w:t>
            </w:r>
          </w:p>
        </w:tc>
        <w:tc>
          <w:tcPr>
            <w:tcW w:w="67" w:type="dxa"/>
            <w:tcBorders/>
            <w:vAlign w:val="bottom"/>
          </w:tcPr>
          <w:p>
            <w:pPr>
              <w:pStyle w:val="TableContents"/>
              <w:bidi w:val="0"/>
              <w:spacing w:before="0" w:after="283"/>
              <w:jc w:val="left"/>
              <w:rPr/>
            </w:pPr>
            <w:r>
              <w:rPr/>
              <w:t> </w:t>
            </w:r>
          </w:p>
        </w:tc>
      </w:tr>
      <w:tr>
        <w:trPr/>
        <w:tc>
          <w:tcPr>
            <w:tcW w:w="5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 external program expenses:</w:t>
            </w:r>
          </w:p>
        </w:tc>
        <w:tc>
          <w:tcPr>
            <w:tcW w:w="21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90"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5842" w:type="dxa"/>
            <w:tcBorders/>
          </w:tcPr>
          <w:p>
            <w:pPr>
              <w:pStyle w:val="TableContents"/>
              <w:bidi w:val="0"/>
              <w:spacing w:before="0" w:after="0"/>
              <w:jc w:val="left"/>
              <w:rPr>
                <w:rFonts w:ascii="Times New Roman" w:hAnsi="Times New Roman"/>
                <w:sz w:val="20"/>
              </w:rPr>
            </w:pPr>
            <w:r>
              <w:rPr>
                <w:rFonts w:ascii="Times New Roman" w:hAnsi="Times New Roman"/>
                <w:sz w:val="20"/>
              </w:rPr>
              <w:t>NMRA-140 program</w:t>
            </w:r>
          </w:p>
        </w:tc>
        <w:tc>
          <w:tcPr>
            <w:tcW w:w="21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1090" w:type="dxa"/>
            <w:tcBorders/>
            <w:vAlign w:val="bottom"/>
          </w:tcPr>
          <w:p>
            <w:pPr>
              <w:pStyle w:val="TableContents"/>
              <w:bidi w:val="0"/>
              <w:spacing w:before="0" w:after="283"/>
              <w:jc w:val="right"/>
              <w:rPr/>
            </w:pPr>
            <w:r>
              <w:rPr/>
              <w:t>2,714</w:t>
            </w:r>
          </w:p>
        </w:tc>
        <w:tc>
          <w:tcPr>
            <w:tcW w:w="77"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1090" w:type="dxa"/>
            <w:tcBorders/>
            <w:vAlign w:val="bottom"/>
          </w:tcPr>
          <w:p>
            <w:pPr>
              <w:pStyle w:val="TableContents"/>
              <w:bidi w:val="0"/>
              <w:spacing w:before="0" w:after="283"/>
              <w:jc w:val="right"/>
              <w:rPr/>
            </w:pPr>
            <w:r>
              <w:rPr/>
              <w:t>13,583</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10,869</w:t>
            </w:r>
          </w:p>
        </w:tc>
        <w:tc>
          <w:tcPr>
            <w:tcW w:w="67" w:type="dxa"/>
            <w:tcBorders/>
            <w:vAlign w:val="bottom"/>
          </w:tcPr>
          <w:p>
            <w:pPr>
              <w:pStyle w:val="TableContents"/>
              <w:bidi w:val="0"/>
              <w:spacing w:before="0" w:after="283"/>
              <w:jc w:val="left"/>
              <w:rPr/>
            </w:pPr>
            <w:r>
              <w:rPr/>
              <w:t> </w:t>
            </w:r>
          </w:p>
        </w:tc>
      </w:tr>
      <w:tr>
        <w:trPr/>
        <w:tc>
          <w:tcPr>
            <w:tcW w:w="5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NMRA-511 program</w:t>
            </w:r>
          </w:p>
        </w:tc>
        <w:tc>
          <w:tcPr>
            <w:tcW w:w="21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928</w:t>
            </w:r>
          </w:p>
        </w:tc>
        <w:tc>
          <w:tcPr>
            <w:tcW w:w="77"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1,894</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966</w:t>
            </w:r>
          </w:p>
        </w:tc>
        <w:tc>
          <w:tcPr>
            <w:tcW w:w="67" w:type="dxa"/>
            <w:tcBorders/>
            <w:shd w:fill="CCEEFF" w:val="clear"/>
            <w:vAlign w:val="bottom"/>
          </w:tcPr>
          <w:p>
            <w:pPr>
              <w:pStyle w:val="TableContents"/>
              <w:bidi w:val="0"/>
              <w:spacing w:before="0" w:after="283"/>
              <w:jc w:val="left"/>
              <w:rPr/>
            </w:pPr>
            <w:r>
              <w:rPr/>
              <w:t> </w:t>
            </w:r>
          </w:p>
        </w:tc>
      </w:tr>
      <w:tr>
        <w:trPr/>
        <w:tc>
          <w:tcPr>
            <w:tcW w:w="5842" w:type="dxa"/>
            <w:tcBorders/>
          </w:tcPr>
          <w:p>
            <w:pPr>
              <w:pStyle w:val="TableContents"/>
              <w:bidi w:val="0"/>
              <w:spacing w:before="0" w:after="0"/>
              <w:jc w:val="left"/>
              <w:rPr>
                <w:rFonts w:ascii="Times New Roman" w:hAnsi="Times New Roman"/>
                <w:sz w:val="20"/>
              </w:rPr>
            </w:pPr>
            <w:r>
              <w:rPr>
                <w:rFonts w:ascii="Times New Roman" w:hAnsi="Times New Roman"/>
                <w:sz w:val="20"/>
              </w:rPr>
              <w:t>Preclinical programs</w:t>
            </w:r>
          </w:p>
        </w:tc>
        <w:tc>
          <w:tcPr>
            <w:tcW w:w="21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704</w:t>
            </w:r>
          </w:p>
        </w:tc>
        <w:tc>
          <w:tcPr>
            <w:tcW w:w="77"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13,100</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12,396</w:t>
            </w:r>
          </w:p>
        </w:tc>
        <w:tc>
          <w:tcPr>
            <w:tcW w:w="67" w:type="dxa"/>
            <w:tcBorders/>
            <w:vAlign w:val="bottom"/>
          </w:tcPr>
          <w:p>
            <w:pPr>
              <w:pStyle w:val="TableContents"/>
              <w:bidi w:val="0"/>
              <w:spacing w:before="0" w:after="283"/>
              <w:jc w:val="left"/>
              <w:rPr/>
            </w:pPr>
            <w:r>
              <w:rPr/>
              <w:t> </w:t>
            </w:r>
          </w:p>
        </w:tc>
      </w:tr>
      <w:tr>
        <w:trPr/>
        <w:tc>
          <w:tcPr>
            <w:tcW w:w="5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Internal and unallocated expenses:</w:t>
            </w:r>
          </w:p>
        </w:tc>
        <w:tc>
          <w:tcPr>
            <w:tcW w:w="21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90"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5842" w:type="dxa"/>
            <w:tcBorders/>
          </w:tcPr>
          <w:p>
            <w:pPr>
              <w:pStyle w:val="TableContents"/>
              <w:bidi w:val="0"/>
              <w:spacing w:before="0" w:after="0"/>
              <w:jc w:val="left"/>
              <w:rPr>
                <w:rFonts w:ascii="Times New Roman" w:hAnsi="Times New Roman"/>
                <w:sz w:val="20"/>
              </w:rPr>
            </w:pPr>
            <w:r>
              <w:rPr>
                <w:rFonts w:ascii="Times New Roman" w:hAnsi="Times New Roman"/>
                <w:sz w:val="20"/>
              </w:rPr>
              <w:t>Personnel-related costs</w:t>
            </w:r>
          </w:p>
        </w:tc>
        <w:tc>
          <w:tcPr>
            <w:tcW w:w="21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8,899</w:t>
            </w:r>
          </w:p>
        </w:tc>
        <w:tc>
          <w:tcPr>
            <w:tcW w:w="77"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19,452</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10,553</w:t>
            </w:r>
          </w:p>
        </w:tc>
        <w:tc>
          <w:tcPr>
            <w:tcW w:w="67" w:type="dxa"/>
            <w:tcBorders/>
            <w:vAlign w:val="bottom"/>
          </w:tcPr>
          <w:p>
            <w:pPr>
              <w:pStyle w:val="TableContents"/>
              <w:bidi w:val="0"/>
              <w:spacing w:before="0" w:after="283"/>
              <w:jc w:val="left"/>
              <w:rPr/>
            </w:pPr>
            <w:r>
              <w:rPr/>
              <w:t> </w:t>
            </w:r>
          </w:p>
        </w:tc>
      </w:tr>
      <w:tr>
        <w:trPr/>
        <w:tc>
          <w:tcPr>
            <w:tcW w:w="5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costs</w:t>
            </w:r>
          </w:p>
        </w:tc>
        <w:tc>
          <w:tcPr>
            <w:tcW w:w="21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4,369</w:t>
            </w:r>
          </w:p>
        </w:tc>
        <w:tc>
          <w:tcPr>
            <w:tcW w:w="77"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7,747</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3,378</w:t>
            </w:r>
          </w:p>
        </w:tc>
        <w:tc>
          <w:tcPr>
            <w:tcW w:w="67" w:type="dxa"/>
            <w:tcBorders/>
            <w:shd w:fill="CCEEFF" w:val="clear"/>
            <w:vAlign w:val="bottom"/>
          </w:tcPr>
          <w:p>
            <w:pPr>
              <w:pStyle w:val="TableContents"/>
              <w:bidi w:val="0"/>
              <w:spacing w:before="0" w:after="283"/>
              <w:jc w:val="left"/>
              <w:rPr/>
            </w:pPr>
            <w:r>
              <w:rPr/>
              <w:t> </w:t>
            </w:r>
          </w:p>
        </w:tc>
      </w:tr>
      <w:tr>
        <w:trPr/>
        <w:tc>
          <w:tcPr>
            <w:tcW w:w="5842"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090"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0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842"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21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1090" w:type="dxa"/>
            <w:tcBorders/>
            <w:vAlign w:val="bottom"/>
          </w:tcPr>
          <w:p>
            <w:pPr>
              <w:pStyle w:val="TableContents"/>
              <w:bidi w:val="0"/>
              <w:spacing w:before="0" w:after="283"/>
              <w:jc w:val="right"/>
              <w:rPr/>
            </w:pPr>
            <w:r>
              <w:rPr/>
              <w:t>  </w:t>
            </w:r>
            <w:r>
              <w:rPr/>
              <w:t>17,614</w:t>
            </w:r>
          </w:p>
        </w:tc>
        <w:tc>
          <w:tcPr>
            <w:tcW w:w="77"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1090" w:type="dxa"/>
            <w:tcBorders/>
            <w:vAlign w:val="bottom"/>
          </w:tcPr>
          <w:p>
            <w:pPr>
              <w:pStyle w:val="TableContents"/>
              <w:bidi w:val="0"/>
              <w:spacing w:before="0" w:after="283"/>
              <w:jc w:val="right"/>
              <w:rPr/>
            </w:pPr>
            <w:r>
              <w:rPr/>
              <w:t>  </w:t>
            </w:r>
            <w:r>
              <w:rPr/>
              <w:t>55,776</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  </w:t>
            </w:r>
            <w:r>
              <w:rPr/>
              <w:t>38,162</w:t>
            </w:r>
          </w:p>
        </w:tc>
        <w:tc>
          <w:tcPr>
            <w:tcW w:w="67" w:type="dxa"/>
            <w:tcBorders/>
            <w:vAlign w:val="bottom"/>
          </w:tcPr>
          <w:p>
            <w:pPr>
              <w:pStyle w:val="TableContents"/>
              <w:bidi w:val="0"/>
              <w:spacing w:before="0" w:after="283"/>
              <w:jc w:val="left"/>
              <w:rPr/>
            </w:pPr>
            <w:r>
              <w:rPr/>
              <w:t> </w:t>
            </w:r>
          </w:p>
        </w:tc>
      </w:tr>
      <w:tr>
        <w:trPr/>
        <w:tc>
          <w:tcPr>
            <w:tcW w:w="5842"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double" w:sz="6" w:space="1" w:color="000000"/>
              </w:pBdr>
              <w:bidi w:val="0"/>
              <w:spacing w:before="0" w:after="0"/>
              <w:jc w:val="left"/>
              <w:rPr/>
            </w:pPr>
            <w:r>
              <w:rPr/>
              <w:t> </w:t>
            </w:r>
          </w:p>
        </w:tc>
        <w:tc>
          <w:tcPr>
            <w:tcW w:w="1090" w:type="dxa"/>
            <w:tcBorders/>
            <w:vAlign w:val="bottom"/>
          </w:tcPr>
          <w:p>
            <w:pPr>
              <w:pStyle w:val="TableContents"/>
              <w:pBdr>
                <w:top w:val="double" w:sz="6"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double" w:sz="6" w:space="1" w:color="000000"/>
              </w:pBdr>
              <w:bidi w:val="0"/>
              <w:spacing w:before="0" w:after="0"/>
              <w:jc w:val="left"/>
              <w:rPr/>
            </w:pPr>
            <w:r>
              <w:rPr/>
              <w:t> </w:t>
            </w:r>
          </w:p>
        </w:tc>
        <w:tc>
          <w:tcPr>
            <w:tcW w:w="10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Research and development expenses increased by $38.2 million, or 217%, from $17.6 million for the year ended December 31, 2020 to $55.8 million for the year ended December 31, 2021 as we continued to progress the development of our product candidates NMRA-140, NMRA-511 and a program acquired from Alairion subsequent to their acquisition in late 2020 as well as ramp up our other preclinical programs including for NMRA-CK1</w:t>
      </w:r>
      <w:r>
        <w:rPr>
          <w:rFonts w:ascii="SYMBOL" w:hAnsi="SYMBOL"/>
          <w:sz w:val="20"/>
        </w:rPr>
        <w:t>d</w:t>
      </w:r>
      <w:r>
        <w:rPr>
          <w:rFonts w:ascii="Times New Roman" w:hAnsi="Times New Roman"/>
          <w:sz w:val="20"/>
        </w:rPr>
        <w:t xml:space="preserve">, NMRA-NLRP3 and NMRA-GRIN2A. Direct external program expenses grew by $24.2 million, of which $20.3 million of the increase was attributable to CRO costs and $3.9 million was attributable to other external research and development costs. Internal and unallocated expenses increased by $14.0 million, of which $10.6 million of the increase was attributable to personnel-related costs, including an increase of $1.2 million in stock-based compensation, as we grew our headcount and an increase of $3.4 million in other costs, which consisted of an increase of $2.5 million in allocated facilities and rent expenses, an increase of $0.9 million in contracted research and consulting activities and an increase of $0.7 million in software technology and related costs, which were partially offset by a decrease of $0.7 million in unallocated contract manufacturing costs. </w:t>
      </w:r>
    </w:p>
    <w:p>
      <w:pPr>
        <w:pStyle w:val="TextBody"/>
        <w:bidi w:val="0"/>
        <w:spacing w:before="360" w:after="0"/>
        <w:jc w:val="left"/>
        <w:rPr>
          <w:rFonts w:ascii="Times New Roman" w:hAnsi="Times New Roman"/>
          <w:i/>
          <w:sz w:val="20"/>
        </w:rPr>
      </w:pPr>
      <w:r>
        <w:rPr>
          <w:rFonts w:ascii="Times New Roman" w:hAnsi="Times New Roman"/>
          <w:i/>
          <w:sz w:val="20"/>
        </w:rPr>
        <w:t xml:space="preserve">Acquired In-Process 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Acquired in-process research and development expenses increased by $87.5 million, or 126%, from $69.5 million for the year ended December 31, 2020 to $157.0 million for the year ended December 31, 2021, which was attributable to the costs to acquire rights to IPR&amp;D assets upon the execution of our in-licenses from Amgen, as these assets had not yet reached technological feasibility and had no alternative future use.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increased by $16.2 million, or 193%, from $8.4 million for the year ended December 31, 2020 to $24.5 million for the year ended December 31, 2021 as we expanded our administrative functions to support our business. The increase was primarily attributable to an increase of $10.7 million in personnel-related costs, including an increase of $1.4 million in stock-based compensation, as we grew our headcount, an increase of $3.4 million in professional services and consulting fees as we devoted additional resources to becoming a public company, an increase of $1.2 million in software technology and related costs, and an increase of $0.5 million in allocated facilities and rent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Change in Fair Value of Convertible Promissory Notes </w:t>
      </w:r>
    </w:p>
    <w:p>
      <w:pPr>
        <w:pStyle w:val="TextBody"/>
        <w:bidi w:val="0"/>
        <w:spacing w:before="120" w:after="0"/>
        <w:jc w:val="left"/>
        <w:rPr>
          <w:rFonts w:ascii="Times New Roman" w:hAnsi="Times New Roman"/>
          <w:sz w:val="20"/>
        </w:rPr>
      </w:pPr>
      <w:r>
        <w:rPr>
          <w:rFonts w:ascii="Times New Roman" w:hAnsi="Times New Roman"/>
          <w:sz w:val="20"/>
        </w:rPr>
        <w:t xml:space="preserve">The change in fair value of convertible promissory notes was $3.3 million for the year ended December 31, 2020 and was related to the remeasurement of our 2020 Bridge Notes prior to their settlement in September 2020. The change was primarily driven by redemption discounts on certain 2020 Bridge Notes. There was no similar expense for the year ended December 31,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Other Income (Expense),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(expense), net increased by $0.5 million, or 102%, from other expense, net of $0.5 million for the year ended December 31, 2020 to other income, net of $11,000 for the year ended December 31, 2021. Our other expenses, net for the year ended December 31, 2020 was primarily attributable to impairment charges related to the disposal of property and equipment that were no longer in use after we early-terminated one of our leases in San Francisco, California. We recorded other income, net for the year ended December 31, 2021 due to fluctuations in the fair value of our convertible preferred stock warrant liability resulting from changes to the underlying assumptions with respect to expected term and volatility. </w:t>
      </w:r>
    </w:p>
    <w:p>
      <w:pPr>
        <w:pStyle w:val="TextBody"/>
        <w:bidi w:val="0"/>
        <w:spacing w:before="360" w:after="0"/>
        <w:jc w:val="left"/>
        <w:rPr>
          <w:rFonts w:ascii="Times New Roman" w:hAnsi="Times New Roman"/>
          <w:b/>
          <w:sz w:val="20"/>
        </w:rPr>
      </w:pPr>
      <w:r>
        <w:rPr>
          <w:rFonts w:ascii="Times New Roman" w:hAnsi="Times New Roman"/>
          <w:b/>
          <w:sz w:val="20"/>
        </w:rPr>
        <w:t xml:space="preserve">Unaudited Pro Forma Net Loss Per Share Information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completion of this offering, all outstanding shares of our convertible preferred stock will convert into shares of our common stock. The unaudited pro forma basic and diluted net loss per common share for the year ended December 31, 2021 and three months ended March 31, 2022 was computed using the weighted-average number of shares of common stock outstanding, including the pro forma effect of the conversion of all outstanding shares of convertible preferred stock into shares of common stock, as if such conversion had occurred at January 1, 2021 and 2022, respectively, irrespective of when the convertible preferred stock was issued. Pro forma net loss per share does not include the shares expected to be sold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the computation of unaudited pro forma basic and diluted net loss per share for the period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02"/>
        <w:gridCol w:w="517"/>
        <w:gridCol w:w="241"/>
        <w:gridCol w:w="1746"/>
        <w:gridCol w:w="155"/>
        <w:gridCol w:w="467"/>
        <w:gridCol w:w="318"/>
        <w:gridCol w:w="1895"/>
        <w:gridCol w:w="64"/>
      </w:tblGrid>
      <w:tr>
        <w:trPr/>
        <w:tc>
          <w:tcPr>
            <w:tcW w:w="4802" w:type="dxa"/>
            <w:tcBorders/>
            <w:vAlign w:val="center"/>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02"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19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2021</w:t>
            </w:r>
          </w:p>
        </w:tc>
        <w:tc>
          <w:tcPr>
            <w:tcW w:w="15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2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 2022</w:t>
            </w:r>
          </w:p>
        </w:tc>
        <w:tc>
          <w:tcPr>
            <w:tcW w:w="64" w:type="dxa"/>
            <w:tcBorders/>
            <w:vAlign w:val="bottom"/>
          </w:tcPr>
          <w:p>
            <w:pPr>
              <w:pStyle w:val="TableContents"/>
              <w:bidi w:val="0"/>
              <w:spacing w:before="0" w:after="283"/>
              <w:jc w:val="left"/>
              <w:rPr/>
            </w:pPr>
            <w:r>
              <w:rPr/>
              <w:t> </w:t>
            </w:r>
          </w:p>
        </w:tc>
      </w:tr>
      <w:tr>
        <w:trPr/>
        <w:tc>
          <w:tcPr>
            <w:tcW w:w="4802"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4822" w:type="dxa"/>
            <w:gridSpan w:val="6"/>
            <w:tcBorders/>
            <w:vAlign w:val="bottom"/>
          </w:tcPr>
          <w:p>
            <w:pPr>
              <w:pStyle w:val="TableContents"/>
              <w:bidi w:val="0"/>
              <w:spacing w:before="0" w:after="283"/>
              <w:jc w:val="center"/>
              <w:rPr>
                <w:b/>
              </w:rPr>
            </w:pPr>
            <w:r>
              <w:rPr>
                <w:b/>
              </w:rPr>
              <w:t>(in thousands except per share amounts)</w:t>
            </w:r>
          </w:p>
        </w:tc>
        <w:tc>
          <w:tcPr>
            <w:tcW w:w="64" w:type="dxa"/>
            <w:tcBorders/>
            <w:vAlign w:val="bottom"/>
          </w:tcPr>
          <w:p>
            <w:pPr>
              <w:pStyle w:val="TableContents"/>
              <w:bidi w:val="0"/>
              <w:spacing w:before="0" w:after="283"/>
              <w:jc w:val="left"/>
              <w:rPr/>
            </w:pPr>
            <w:r>
              <w:rPr/>
              <w:t> </w:t>
            </w:r>
          </w:p>
        </w:tc>
      </w:tr>
      <w:tr>
        <w:trPr/>
        <w:tc>
          <w:tcPr>
            <w:tcW w:w="4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51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7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7"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sz w:val="4"/>
                <w:szCs w:val="4"/>
              </w:rPr>
            </w:pPr>
            <w:r>
              <w:rPr>
                <w:sz w:val="4"/>
                <w:szCs w:val="4"/>
              </w:rPr>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802"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51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746" w:type="dxa"/>
            <w:tcBorders/>
            <w:vAlign w:val="bottom"/>
          </w:tcPr>
          <w:p>
            <w:pPr>
              <w:pStyle w:val="TableContents"/>
              <w:bidi w:val="0"/>
              <w:spacing w:before="0" w:after="283"/>
              <w:jc w:val="right"/>
              <w:rPr/>
            </w:pPr>
            <w:r>
              <w:rPr/>
              <w:t>  </w:t>
            </w:r>
            <w:r>
              <w:rPr/>
              <w:t>(237,312</w:t>
            </w:r>
          </w:p>
        </w:tc>
        <w:tc>
          <w:tcPr>
            <w:tcW w:w="15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right"/>
              <w:rPr/>
            </w:pPr>
            <w:r>
              <w:rPr/>
              <w:t>(43,042)</w:t>
            </w:r>
          </w:p>
        </w:tc>
        <w:tc>
          <w:tcPr>
            <w:tcW w:w="64" w:type="dxa"/>
            <w:tcBorders/>
            <w:vAlign w:val="bottom"/>
          </w:tcPr>
          <w:p>
            <w:pPr>
              <w:pStyle w:val="TableContents"/>
              <w:bidi w:val="0"/>
              <w:spacing w:before="0" w:after="283"/>
              <w:jc w:val="left"/>
              <w:rPr/>
            </w:pPr>
            <w:r>
              <w:rPr/>
              <w:t> </w:t>
            </w:r>
          </w:p>
        </w:tc>
      </w:tr>
      <w:tr>
        <w:trPr/>
        <w:tc>
          <w:tcPr>
            <w:tcW w:w="4802"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7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double" w:sz="6" w:space="1" w:color="000000"/>
              </w:pBdr>
              <w:bidi w:val="0"/>
              <w:spacing w:before="0" w:after="0"/>
              <w:jc w:val="left"/>
              <w:rPr/>
            </w:pPr>
            <w:r>
              <w:rPr/>
              <w:t> </w:t>
            </w:r>
          </w:p>
        </w:tc>
        <w:tc>
          <w:tcPr>
            <w:tcW w:w="189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51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7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7"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sz w:val="4"/>
                <w:szCs w:val="4"/>
              </w:rPr>
            </w:pPr>
            <w:r>
              <w:rPr>
                <w:sz w:val="4"/>
                <w:szCs w:val="4"/>
              </w:rPr>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802"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w:t>
            </w:r>
          </w:p>
        </w:tc>
        <w:tc>
          <w:tcPr>
            <w:tcW w:w="51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7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sz w:val="4"/>
                <w:szCs w:val="4"/>
              </w:rPr>
            </w:pPr>
            <w:r>
              <w:rPr>
                <w:sz w:val="4"/>
                <w:szCs w:val="4"/>
              </w:rPr>
            </w:r>
          </w:p>
        </w:tc>
        <w:tc>
          <w:tcPr>
            <w:tcW w:w="189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w:t>
            </w:r>
          </w:p>
        </w:tc>
        <w:tc>
          <w:tcPr>
            <w:tcW w:w="51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7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7"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sz w:val="4"/>
                <w:szCs w:val="4"/>
              </w:rPr>
            </w:pPr>
            <w:r>
              <w:rPr>
                <w:sz w:val="4"/>
                <w:szCs w:val="4"/>
              </w:rPr>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802"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7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single" w:sz="2" w:space="1" w:color="000000"/>
              </w:pBdr>
              <w:bidi w:val="0"/>
              <w:spacing w:before="0" w:after="0"/>
              <w:jc w:val="left"/>
              <w:rPr/>
            </w:pPr>
            <w:r>
              <w:rPr/>
              <w:t> </w:t>
            </w:r>
          </w:p>
        </w:tc>
        <w:tc>
          <w:tcPr>
            <w:tcW w:w="189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802"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weighted-average shares outstanding, basic and diluted</w:t>
            </w:r>
          </w:p>
        </w:tc>
        <w:tc>
          <w:tcPr>
            <w:tcW w:w="51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7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sz w:val="4"/>
                <w:szCs w:val="4"/>
              </w:rPr>
            </w:pPr>
            <w:r>
              <w:rPr>
                <w:sz w:val="4"/>
                <w:szCs w:val="4"/>
              </w:rPr>
            </w:r>
          </w:p>
        </w:tc>
        <w:tc>
          <w:tcPr>
            <w:tcW w:w="189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802"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7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double" w:sz="6" w:space="1" w:color="000000"/>
              </w:pBdr>
              <w:bidi w:val="0"/>
              <w:spacing w:before="0" w:after="0"/>
              <w:jc w:val="left"/>
              <w:rPr/>
            </w:pPr>
            <w:r>
              <w:rPr/>
              <w:t> </w:t>
            </w:r>
          </w:p>
        </w:tc>
        <w:tc>
          <w:tcPr>
            <w:tcW w:w="189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loss per share basic and diluted</w:t>
            </w:r>
          </w:p>
        </w:tc>
        <w:tc>
          <w:tcPr>
            <w:tcW w:w="51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7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w:t>
            </w:r>
          </w:p>
        </w:tc>
        <w:tc>
          <w:tcPr>
            <w:tcW w:w="1895"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802"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7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double" w:sz="6" w:space="1" w:color="000000"/>
              </w:pBdr>
              <w:bidi w:val="0"/>
              <w:spacing w:before="0" w:after="0"/>
              <w:jc w:val="left"/>
              <w:rPr/>
            </w:pPr>
            <w:r>
              <w:rPr/>
              <w:t> </w:t>
            </w:r>
          </w:p>
        </w:tc>
        <w:tc>
          <w:tcPr>
            <w:tcW w:w="189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2022, we had $363.4 million of cash, cash equivalents and marketable securities. We have primarily funded our operations with the net proceeds from the sale and issuance of our convertible preferred stock and convertible promissory notes. From inception through March 31, 2022, we have raised aggregate cash proceeds of over $500.0 million, including from the sale of convertible preferred stock and borrowings pursuant to convertible promissory notes and cash acquired in our acquisitions of assets.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2021, we issued and sold 191,250,000 shares of our convertible preferred stock in additional closings, resulting in aggregate cash proceeds of $191.3 million. We also issued and sold 100,000,000 shares of our convertible preferred stock in connection with the collaboration and license agreements with Amgen, resulting in cash proceeds of $100.0 million. </w:t>
      </w:r>
    </w:p>
    <w:p>
      <w:pPr>
        <w:pStyle w:val="TextBody"/>
        <w:bidi w:val="0"/>
        <w:spacing w:before="240" w:after="0"/>
        <w:jc w:val="left"/>
        <w:rPr>
          <w:rFonts w:ascii="Times New Roman" w:hAnsi="Times New Roman"/>
          <w:sz w:val="20"/>
        </w:rPr>
      </w:pPr>
      <w:r>
        <w:rPr>
          <w:rFonts w:ascii="Times New Roman" w:hAnsi="Times New Roman"/>
          <w:sz w:val="20"/>
        </w:rPr>
        <w:t xml:space="preserve">Since our inception, we have not generated any revenue from the sale of products and we have incurred significant net losses and negative cash flows from operations. Our primary use of our capital resources is to fund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operating expenses, which consist primarily of expenditures related to identifying, acquiring, developing, and in-licensing our technology platforms, programs, and product candidates, and conducting preclinical studies and clinical trials, and to a lesser extent, general and administrative expenditures. We have not yet commercialized any products and we do not expect to generate revenue from sales of any product candidates for a number of years, if ever. We had accumulated deficits of $336.6 million and $379.6 million as of December 31, 2021 and March 31, 2022,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Funding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We expect our expenses and operating losses will increase substantially over the foreseeable future as we continue our research and development efforts, advance our product candidates through preclinical and clinical development, enhance our precision neuroscience platform and programs, expand our product pipeline, seek regulatory approval, prepare for commercialization, as well as hire additional personnel, protect our intellectual property and incur additional costs associated with being a public company. We also expect to increase the size of our administrative function to support the growth of our business. Our net losses may fluctuate significantly from period to period, depending on the factors described below. We are subject to the risks typically related to the development of new products, and we may encounter unforeseen expenses, difficulties, complications, delays, and other unknown factors that may adversely affect our business. The expected increase in expenses will be driven in large part by our ongoing activities, and our future capital requirements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timing, progress, costs and results of discovery, preclinical development and clinical trials for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clinical trials required for regulatory approval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precision neuroscience platform at identifying target patient populations and utilizing the platform to enrich our patient population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review of any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acquiring or licensing additional product candidates, technologies or assets, including the timing and amount of any future milestone, royalty or other payments due in connection with such acquisition or license;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manufacturing clinical and commercial supplies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access additional multimodal patient datasets;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existing, and establish new, strategic collaborations or other arrangements and the financial terms of any such agreements, including the timing and amount of any future milestone, royalty or other payments due under any such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future commercialization activities, including manufacturing, marketing, sales and distribution, for any of our product candidates for which we receive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revenue, if any, received from commercial sales of our product candidates for which we receive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to attract, hire and retain skilled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operating as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 commercially viable pricing structure and obtain approval for coverage and adequate reimbursement from third-party and government payers;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addressing any potential interruptions or delays resulting from factors related to the COVID-19 pandemic;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technological and market developments;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we acquire or invest in business, products and technologies.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upon our current operating plan, we believe that our existing cash, cash equivalents and marketable securities will enable us to fund our operating expenses and capital expenditure requirements through at least the next 12 months from the date of this offering. In addition, based upon our current operating plan, we believe that the net proceeds from this offering together with our existing cash, cash equivalents and marketable securities, will enable us to fund our operating expenses and capital expenditure requirements through at least the next            months from the date of this offering. However, we anticipate that we will need to raise additional financing in the future to fund our operations, including the commercialization of any approved product candidates. We have based this estimate on assumptions that may prove to be wrong, and we could utilize our available capital resources sooner than we expect. We may also raise additional financing on an opportunistic basis in the future. We expect to continue to expend significant resources for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To complete the development and commercialization of our product candidates, if approved, we will require substantial additional funding.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raise additional funds may be adversely impacted by potential worsening global economic conditions and the recent disruptions to, and volatility in, the credit and financial markets in the United States and worldwide resulting from the ongoing COVID-19 pandemic.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cash flows for the periods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33"/>
        <w:gridCol w:w="224"/>
        <w:gridCol w:w="143"/>
        <w:gridCol w:w="989"/>
        <w:gridCol w:w="60"/>
        <w:gridCol w:w="224"/>
        <w:gridCol w:w="143"/>
        <w:gridCol w:w="1125"/>
        <w:gridCol w:w="64"/>
      </w:tblGrid>
      <w:tr>
        <w:trPr/>
        <w:tc>
          <w:tcPr>
            <w:tcW w:w="7233"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233"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684"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March 31,</w:t>
            </w:r>
          </w:p>
        </w:tc>
        <w:tc>
          <w:tcPr>
            <w:tcW w:w="64" w:type="dxa"/>
            <w:tcBorders/>
            <w:vAlign w:val="bottom"/>
          </w:tcPr>
          <w:p>
            <w:pPr>
              <w:pStyle w:val="TableContents"/>
              <w:bidi w:val="0"/>
              <w:spacing w:before="0" w:after="283"/>
              <w:jc w:val="left"/>
              <w:rPr/>
            </w:pPr>
            <w:r>
              <w:rPr/>
              <w:t> </w:t>
            </w:r>
          </w:p>
        </w:tc>
      </w:tr>
      <w:tr>
        <w:trPr/>
        <w:tc>
          <w:tcPr>
            <w:tcW w:w="7233"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7233"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684" w:type="dxa"/>
            <w:gridSpan w:val="6"/>
            <w:tcBorders/>
            <w:vAlign w:val="bottom"/>
          </w:tcPr>
          <w:p>
            <w:pPr>
              <w:pStyle w:val="TableContents"/>
              <w:bidi w:val="0"/>
              <w:spacing w:before="0" w:after="283"/>
              <w:jc w:val="center"/>
              <w:rPr>
                <w:b/>
              </w:rPr>
            </w:pPr>
            <w:r>
              <w:rPr>
                <w:b/>
              </w:rPr>
              <w:t>(in thousands)</w:t>
            </w:r>
          </w:p>
        </w:tc>
        <w:tc>
          <w:tcPr>
            <w:tcW w:w="64" w:type="dxa"/>
            <w:tcBorders/>
            <w:vAlign w:val="bottom"/>
          </w:tcPr>
          <w:p>
            <w:pPr>
              <w:pStyle w:val="TableContents"/>
              <w:bidi w:val="0"/>
              <w:spacing w:before="0" w:after="283"/>
              <w:jc w:val="left"/>
              <w:rPr/>
            </w:pPr>
            <w:r>
              <w:rPr/>
              <w:t> </w:t>
            </w:r>
          </w:p>
        </w:tc>
      </w:tr>
      <w:tr>
        <w:trPr/>
        <w:tc>
          <w:tcPr>
            <w:tcW w:w="7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provided by:</w:t>
            </w:r>
          </w:p>
        </w:tc>
        <w:tc>
          <w:tcPr>
            <w:tcW w:w="22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12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233" w:type="dxa"/>
            <w:tcBorders/>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22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(15,244)</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125" w:type="dxa"/>
            <w:tcBorders/>
            <w:vAlign w:val="bottom"/>
          </w:tcPr>
          <w:p>
            <w:pPr>
              <w:pStyle w:val="TableContents"/>
              <w:bidi w:val="0"/>
              <w:spacing w:before="0" w:after="283"/>
              <w:jc w:val="right"/>
              <w:rPr/>
            </w:pPr>
            <w:r>
              <w:rPr/>
              <w:t>(32,186)</w:t>
            </w:r>
          </w:p>
        </w:tc>
        <w:tc>
          <w:tcPr>
            <w:tcW w:w="64" w:type="dxa"/>
            <w:tcBorders/>
            <w:vAlign w:val="bottom"/>
          </w:tcPr>
          <w:p>
            <w:pPr>
              <w:pStyle w:val="TableContents"/>
              <w:bidi w:val="0"/>
              <w:spacing w:before="0" w:after="283"/>
              <w:jc w:val="left"/>
              <w:rPr/>
            </w:pPr>
            <w:r>
              <w:rPr/>
              <w:t> </w:t>
            </w:r>
          </w:p>
        </w:tc>
      </w:tr>
      <w:tr>
        <w:trPr/>
        <w:tc>
          <w:tcPr>
            <w:tcW w:w="7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22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27</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(85,606)</w:t>
            </w:r>
          </w:p>
        </w:tc>
        <w:tc>
          <w:tcPr>
            <w:tcW w:w="64" w:type="dxa"/>
            <w:tcBorders/>
            <w:shd w:fill="CCEEFF" w:val="clear"/>
            <w:vAlign w:val="bottom"/>
          </w:tcPr>
          <w:p>
            <w:pPr>
              <w:pStyle w:val="TableContents"/>
              <w:bidi w:val="0"/>
              <w:spacing w:before="0" w:after="283"/>
              <w:jc w:val="left"/>
              <w:rPr/>
            </w:pPr>
            <w:r>
              <w:rPr/>
              <w:t> </w:t>
            </w:r>
          </w:p>
        </w:tc>
      </w:tr>
      <w:tr>
        <w:trPr/>
        <w:tc>
          <w:tcPr>
            <w:tcW w:w="7233" w:type="dxa"/>
            <w:tcBorders/>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22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1,240</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(351)</w:t>
            </w:r>
          </w:p>
        </w:tc>
        <w:tc>
          <w:tcPr>
            <w:tcW w:w="64" w:type="dxa"/>
            <w:tcBorders/>
            <w:vAlign w:val="bottom"/>
          </w:tcPr>
          <w:p>
            <w:pPr>
              <w:pStyle w:val="TableContents"/>
              <w:bidi w:val="0"/>
              <w:spacing w:before="0" w:after="283"/>
              <w:jc w:val="left"/>
              <w:rPr/>
            </w:pPr>
            <w:r>
              <w:rPr/>
              <w:t> </w:t>
            </w:r>
          </w:p>
        </w:tc>
      </w:tr>
      <w:tr>
        <w:trPr/>
        <w:tc>
          <w:tcPr>
            <w:tcW w:w="7233"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 and restricted cash</w:t>
            </w:r>
          </w:p>
        </w:tc>
        <w:tc>
          <w:tcPr>
            <w:tcW w:w="22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  </w:t>
            </w:r>
            <w:r>
              <w:rPr/>
              <w:t>(13,977)</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125" w:type="dxa"/>
            <w:tcBorders/>
            <w:shd w:fill="CCEEFF" w:val="clear"/>
            <w:vAlign w:val="bottom"/>
          </w:tcPr>
          <w:p>
            <w:pPr>
              <w:pStyle w:val="TableContents"/>
              <w:bidi w:val="0"/>
              <w:spacing w:before="0" w:after="283"/>
              <w:jc w:val="right"/>
              <w:rPr/>
            </w:pPr>
            <w:r>
              <w:rPr/>
              <w:t>  </w:t>
            </w:r>
            <w:r>
              <w:rPr/>
              <w:t>(118,143)</w:t>
            </w:r>
          </w:p>
        </w:tc>
        <w:tc>
          <w:tcPr>
            <w:tcW w:w="64" w:type="dxa"/>
            <w:tcBorders/>
            <w:shd w:fill="CCEEFF" w:val="clear"/>
            <w:vAlign w:val="bottom"/>
          </w:tcPr>
          <w:p>
            <w:pPr>
              <w:pStyle w:val="TableContents"/>
              <w:bidi w:val="0"/>
              <w:spacing w:before="0" w:after="283"/>
              <w:jc w:val="left"/>
              <w:rPr/>
            </w:pPr>
            <w:r>
              <w:rPr/>
              <w:t> </w:t>
            </w:r>
          </w:p>
        </w:tc>
      </w:tr>
      <w:tr>
        <w:trPr/>
        <w:tc>
          <w:tcPr>
            <w:tcW w:w="7233"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12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for the three months ended March 31, 2021 was $15.2 million, which consisted of a net loss of $15.3 million and a change in net operating assets and liabilities of $0.9 million, which was partially offset by $1.0 million in noncash charges. Our net operating assets and liabilities primarily resulted from a decrease of $1.3 million in accounts payable and accrued liabilities due to the timing of our accounts payable and a decrease of $0.1 million in operating lease liabilities, partially offset by a decrease of $0.5 million in prepaid expenses and other current assets. The noncash charges primarily consisted of $0.8 million of stock-based compensation, $0.2 million of noncash operating lease expense, $0.1 million of depreciation and amortization, partially offset by $0.1 million of change in fair value of convertible preferred stock warrants.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for the three months ended March 31, 2022 was $32.2 million, which consisted of a net loss of $43.0 million and a change in net operating assets and liabilities of $4.1 million, which was partially offset by $14.9 million in noncash charges. Our net operating assets and liabilities primarily resulted from a decrease of $10.7 million in accounts payable and accrued liabilities due to the payment of annual bonuses and timing of our accounts payable and a decrease of $0.2 million in operating lease liabilities, partially offset by a decrease of $6.9 million in prepaid expenses and other current assets and other assets primarily related to research activities under our collaboration with Amgen. The noncash charges primarily consisted of $13.0 million of IPR&amp;D assets acquired from Vanderbilt that were expensed to acquired in-process research and development upon acquisition as the assets had not yet reached technological feasibility and had no alternative future use, $1.7 million of stock-based compensation, $0.2 million of noncash operating lease expense and $0.1 million of depreciation and amortization, partially offset by $0.1 million of change in fair value of convertible preferred stock warrants.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investing activities for the three months ended March 31, 2021 was $27,000, which consisted of proceeds of $0.3 million from the sale of property and equipment, partially offset by $0.3 million of purchases of property and equipment primarily to support our research and development activities.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for the three months ended March 31, 2022 was $85.6 million, which consisted of $72.4 million of purchases of marketable securities, $13.0 million of cash used to acquire IPR&amp;D assets from Vanderbilt and $0.2 million of purchases of property and equipment primarily to support our research and development activities.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for the three months ended March 31, 2021 was $1.2 million, which consisted of proceeds of $1.0 million from the issuance and sale of shares of our common stock and proceeds of $0.3 million from exercise of stock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Net cash used in financing activities for the three months ended March 31, 2022 was $0.4 million, which consisted of payments for deferred offering costs of $0.5 million, partially offset by $0.2 million from exercise of stock options.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our cash flows for the periods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36"/>
        <w:gridCol w:w="225"/>
        <w:gridCol w:w="140"/>
        <w:gridCol w:w="926"/>
        <w:gridCol w:w="155"/>
        <w:gridCol w:w="198"/>
        <w:gridCol w:w="140"/>
        <w:gridCol w:w="926"/>
        <w:gridCol w:w="159"/>
      </w:tblGrid>
      <w:tr>
        <w:trPr/>
        <w:tc>
          <w:tcPr>
            <w:tcW w:w="7336"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3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485"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159" w:type="dxa"/>
            <w:tcBorders/>
            <w:vAlign w:val="bottom"/>
          </w:tcPr>
          <w:p>
            <w:pPr>
              <w:pStyle w:val="TableContents"/>
              <w:bidi w:val="0"/>
              <w:spacing w:before="0" w:after="283"/>
              <w:jc w:val="left"/>
              <w:rPr/>
            </w:pPr>
            <w:r>
              <w:rPr/>
              <w:t> </w:t>
            </w:r>
          </w:p>
        </w:tc>
      </w:tr>
      <w:tr>
        <w:trPr/>
        <w:tc>
          <w:tcPr>
            <w:tcW w:w="733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9" w:type="dxa"/>
            <w:tcBorders/>
            <w:vAlign w:val="bottom"/>
          </w:tcPr>
          <w:p>
            <w:pPr>
              <w:pStyle w:val="TableContents"/>
              <w:bidi w:val="0"/>
              <w:spacing w:before="0" w:after="283"/>
              <w:jc w:val="left"/>
              <w:rPr/>
            </w:pPr>
            <w:r>
              <w:rPr/>
              <w:t> </w:t>
            </w:r>
          </w:p>
        </w:tc>
      </w:tr>
      <w:tr>
        <w:trPr/>
        <w:tc>
          <w:tcPr>
            <w:tcW w:w="733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485" w:type="dxa"/>
            <w:gridSpan w:val="6"/>
            <w:tcBorders/>
            <w:vAlign w:val="bottom"/>
          </w:tcPr>
          <w:p>
            <w:pPr>
              <w:pStyle w:val="TableContents"/>
              <w:bidi w:val="0"/>
              <w:spacing w:before="0" w:after="283"/>
              <w:jc w:val="center"/>
              <w:rPr>
                <w:b/>
              </w:rPr>
            </w:pPr>
            <w:r>
              <w:rPr>
                <w:b/>
              </w:rPr>
              <w:t>(in thousands)</w:t>
            </w:r>
          </w:p>
        </w:tc>
        <w:tc>
          <w:tcPr>
            <w:tcW w:w="159" w:type="dxa"/>
            <w:tcBorders/>
            <w:vAlign w:val="bottom"/>
          </w:tcPr>
          <w:p>
            <w:pPr>
              <w:pStyle w:val="TableContents"/>
              <w:bidi w:val="0"/>
              <w:spacing w:before="0" w:after="283"/>
              <w:jc w:val="left"/>
              <w:rPr/>
            </w:pPr>
            <w:r>
              <w:rPr/>
              <w:t> </w:t>
            </w:r>
          </w:p>
        </w:tc>
      </w:tr>
      <w:tr>
        <w:trPr/>
        <w:tc>
          <w:tcPr>
            <w:tcW w:w="7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provided by:</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336" w:type="dxa"/>
            <w:tcBorders/>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6" w:type="dxa"/>
            <w:tcBorders/>
            <w:vAlign w:val="bottom"/>
          </w:tcPr>
          <w:p>
            <w:pPr>
              <w:pStyle w:val="TableContents"/>
              <w:bidi w:val="0"/>
              <w:spacing w:before="0" w:after="283"/>
              <w:jc w:val="right"/>
              <w:rPr/>
            </w:pPr>
            <w:r>
              <w:rPr/>
              <w:t>(26,760</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6" w:type="dxa"/>
            <w:tcBorders/>
            <w:vAlign w:val="bottom"/>
          </w:tcPr>
          <w:p>
            <w:pPr>
              <w:pStyle w:val="TableContents"/>
              <w:bidi w:val="0"/>
              <w:spacing w:before="0" w:after="283"/>
              <w:jc w:val="right"/>
              <w:rPr/>
            </w:pPr>
            <w:r>
              <w:rPr/>
              <w:t>(75,420</w:t>
            </w:r>
          </w:p>
        </w:tc>
        <w:tc>
          <w:tcPr>
            <w:tcW w:w="159" w:type="dxa"/>
            <w:tcBorders/>
            <w:vAlign w:val="bottom"/>
          </w:tcPr>
          <w:p>
            <w:pPr>
              <w:pStyle w:val="TableContents"/>
              <w:bidi w:val="0"/>
              <w:spacing w:before="0" w:after="283"/>
              <w:jc w:val="left"/>
              <w:rPr/>
            </w:pPr>
            <w:r>
              <w:rPr/>
              <w:t>) </w:t>
            </w:r>
          </w:p>
        </w:tc>
      </w:tr>
      <w:tr>
        <w:trPr/>
        <w:tc>
          <w:tcPr>
            <w:tcW w:w="7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(11,237</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(817</w:t>
            </w:r>
          </w:p>
        </w:tc>
        <w:tc>
          <w:tcPr>
            <w:tcW w:w="159" w:type="dxa"/>
            <w:tcBorders/>
            <w:shd w:fill="CCEEFF" w:val="clear"/>
            <w:vAlign w:val="bottom"/>
          </w:tcPr>
          <w:p>
            <w:pPr>
              <w:pStyle w:val="TableContents"/>
              <w:bidi w:val="0"/>
              <w:spacing w:before="0" w:after="283"/>
              <w:jc w:val="left"/>
              <w:rPr/>
            </w:pPr>
            <w:r>
              <w:rPr/>
              <w:t>) </w:t>
            </w:r>
          </w:p>
        </w:tc>
      </w:tr>
      <w:tr>
        <w:trPr/>
        <w:tc>
          <w:tcPr>
            <w:tcW w:w="7336" w:type="dxa"/>
            <w:tcBorders/>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230,099</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293,507</w:t>
            </w:r>
          </w:p>
        </w:tc>
        <w:tc>
          <w:tcPr>
            <w:tcW w:w="159" w:type="dxa"/>
            <w:tcBorders/>
            <w:vAlign w:val="bottom"/>
          </w:tcPr>
          <w:p>
            <w:pPr>
              <w:pStyle w:val="TableContents"/>
              <w:bidi w:val="0"/>
              <w:spacing w:before="0" w:after="283"/>
              <w:jc w:val="left"/>
              <w:rPr/>
            </w:pPr>
            <w:r>
              <w:rPr/>
              <w:t> </w:t>
            </w:r>
          </w:p>
        </w:tc>
      </w:tr>
      <w:tr>
        <w:trPr/>
        <w:tc>
          <w:tcPr>
            <w:tcW w:w="7336"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in cash and cash equivalents and restricted cash</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  </w:t>
            </w:r>
            <w:r>
              <w:rPr/>
              <w:t>192,102</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  </w:t>
            </w:r>
            <w:r>
              <w:rPr/>
              <w:t>217,270</w:t>
            </w:r>
          </w:p>
        </w:tc>
        <w:tc>
          <w:tcPr>
            <w:tcW w:w="159" w:type="dxa"/>
            <w:tcBorders/>
            <w:shd w:fill="CCEEFF" w:val="clear"/>
            <w:vAlign w:val="bottom"/>
          </w:tcPr>
          <w:p>
            <w:pPr>
              <w:pStyle w:val="TableContents"/>
              <w:bidi w:val="0"/>
              <w:spacing w:before="0" w:after="283"/>
              <w:jc w:val="left"/>
              <w:rPr/>
            </w:pPr>
            <w:r>
              <w:rPr/>
              <w:t> </w:t>
            </w:r>
          </w:p>
        </w:tc>
      </w:tr>
      <w:tr>
        <w:trPr/>
        <w:tc>
          <w:tcPr>
            <w:tcW w:w="7336"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for the year ended December 31, 2020 was $26.8 million, which consisted of a net loss of $99.3 million and net operating assets and liabilities of $3.1 million, which were partially offset by $75.6 million in noncash charges. Our net operating assets and liabilities primarily resulted from a decrease of $2.3 million in accounts payable and accrued liabilities, an increase of $0.4 million in prepaid expenses and other current assets and a decrease of $0.3 million in operating lease liabilities as we established principal operations. The noncash charges primarily consisted of $69.5 million of acquired IPR&amp;D assets that were expensed to acquired IPR&amp;D upon acquisition as the assets had not yet reached technological feasibility and had no alternative future use, $3.3 million fair value loss on remeasurement of the 2020 Bridge Notes accounted for under the fair value option, including $0.4 million of noncash interest expense, $1.7 million of stock-based compensation, $0.4 million of impairment of property and equipment, $0.4 million of noncash operating lease expense and $0.1 million of depreciation and amortization.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for the year ended December 31, 2021 was $75.4 million, which consisted of a net loss of $237.3 million and our net operating assets and liabilities of $1.0 million, which was partially offset by $162.9 million in noncash charges. Our net operating assets and liabilities primarily resulted from an increase of $3.7 million in other assets and an increase of $2.3 million in prepaid expenses and other current assets related to our quarterly collaboration payment to Amgen and a decrease of $0.8 million in operating lease liabilities, partially offset by an increase of $5.8 million in accounts payable and accrued liabilities as we grew our operations. The non-cash charges primarily consisted of $157.0 million of IPR&amp;D assets licensed from Amgen that were expensed to acquired IPR&amp;D upon execution of those licenses as the assets had not yet reached technological feasibility and had no alternative future use, $4.3 million of stock-based compensation, $1.0 million of noncash operating lease expense and $0.5 million of depreciation and amortization.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for the year ended December 31, 2020 was $11.2 million, which consisted of $12.8 million in purchases of promissory notes receivable related to our strategic acquisitions and $1.3 million purchases of property and equipment as we established principal operations, partially offset by $2.8 million of cash acquired in connection with our acquisitions of assets.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for the year ended December 31, 2021 was $0.8 million, which consisted of purchases of property and equipment primarily to support our research and development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for the year ended December 31, 2020 was $230.1 million, which consisted primarily of net proceeds of $171.0 million from the issuance and sale of shares of our Series A-2 convertible preferred stock, proceeds of $55.9 million from the issuance of our 2020 Bridge Notes and proceeds of $3.2 million from the issuance and sale of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for the year ended December 31, 2021 was $293.5 million, which consisted of net proceeds of $291.2 million from the issuance and sale of shares of our Series A-2 convertible preferred stock, proceeds of $2.5 million from exercise of stock options and proceeds of $1.0 million from the issuance and sale of shares of our common stock, partially offset by $1.1 million of payments for deferred offering costs.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Obligations and Other 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contractual obligations and other commitments as of December 31, 2021: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79"/>
        <w:gridCol w:w="203"/>
        <w:gridCol w:w="195"/>
        <w:gridCol w:w="1140"/>
        <w:gridCol w:w="60"/>
        <w:gridCol w:w="203"/>
        <w:gridCol w:w="140"/>
        <w:gridCol w:w="835"/>
        <w:gridCol w:w="60"/>
        <w:gridCol w:w="203"/>
        <w:gridCol w:w="221"/>
        <w:gridCol w:w="420"/>
        <w:gridCol w:w="60"/>
        <w:gridCol w:w="203"/>
        <w:gridCol w:w="233"/>
        <w:gridCol w:w="441"/>
        <w:gridCol w:w="60"/>
        <w:gridCol w:w="203"/>
        <w:gridCol w:w="140"/>
        <w:gridCol w:w="835"/>
        <w:gridCol w:w="71"/>
      </w:tblGrid>
      <w:tr>
        <w:trPr/>
        <w:tc>
          <w:tcPr>
            <w:tcW w:w="427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427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652"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Payments Due by Period</w:t>
            </w:r>
          </w:p>
        </w:tc>
        <w:tc>
          <w:tcPr>
            <w:tcW w:w="71" w:type="dxa"/>
            <w:tcBorders/>
            <w:vAlign w:val="bottom"/>
          </w:tcPr>
          <w:p>
            <w:pPr>
              <w:pStyle w:val="TableContents"/>
              <w:bidi w:val="0"/>
              <w:spacing w:before="0" w:after="283"/>
              <w:jc w:val="left"/>
              <w:rPr/>
            </w:pPr>
            <w:r>
              <w:rPr/>
              <w:t> </w:t>
            </w:r>
          </w:p>
        </w:tc>
      </w:tr>
      <w:tr>
        <w:trPr/>
        <w:tc>
          <w:tcPr>
            <w:tcW w:w="427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Less</w:t>
              <w:br/>
              <w:t>than 1 Year</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9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 to 3</w:t>
              <w:br/>
              <w:t>Years</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 to 5</w:t>
              <w:br/>
              <w:t>Years</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More</w:t>
              <w:br/>
              <w:t>than 5</w:t>
              <w:br/>
              <w:t>Years</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9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1" w:type="dxa"/>
            <w:tcBorders/>
            <w:vAlign w:val="bottom"/>
          </w:tcPr>
          <w:p>
            <w:pPr>
              <w:pStyle w:val="TableContents"/>
              <w:bidi w:val="0"/>
              <w:spacing w:before="0" w:after="283"/>
              <w:jc w:val="left"/>
              <w:rPr/>
            </w:pPr>
            <w:r>
              <w:rPr/>
              <w:t> </w:t>
            </w:r>
          </w:p>
        </w:tc>
      </w:tr>
      <w:tr>
        <w:trPr/>
        <w:tc>
          <w:tcPr>
            <w:tcW w:w="427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652" w:type="dxa"/>
            <w:gridSpan w:val="18"/>
            <w:tcBorders/>
            <w:vAlign w:val="bottom"/>
          </w:tcPr>
          <w:p>
            <w:pPr>
              <w:pStyle w:val="TableContents"/>
              <w:bidi w:val="0"/>
              <w:spacing w:before="0" w:after="283"/>
              <w:jc w:val="center"/>
              <w:rPr>
                <w:b/>
              </w:rPr>
            </w:pPr>
            <w:r>
              <w:rPr>
                <w:b/>
              </w:rPr>
              <w:t>(in thousands)</w:t>
            </w:r>
          </w:p>
        </w:tc>
        <w:tc>
          <w:tcPr>
            <w:tcW w:w="71" w:type="dxa"/>
            <w:tcBorders/>
            <w:vAlign w:val="bottom"/>
          </w:tcPr>
          <w:p>
            <w:pPr>
              <w:pStyle w:val="TableContents"/>
              <w:bidi w:val="0"/>
              <w:spacing w:before="0" w:after="283"/>
              <w:jc w:val="left"/>
              <w:rPr/>
            </w:pPr>
            <w:r>
              <w:rPr/>
              <w:t> </w:t>
            </w:r>
          </w:p>
        </w:tc>
      </w:tr>
      <w:tr>
        <w:trPr/>
        <w:tc>
          <w:tcPr>
            <w:tcW w:w="4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obligations</w:t>
            </w:r>
          </w:p>
        </w:tc>
        <w:tc>
          <w:tcPr>
            <w:tcW w:w="20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140" w:type="dxa"/>
            <w:tcBorders/>
            <w:shd w:fill="CCEEFF" w:val="clear"/>
            <w:vAlign w:val="bottom"/>
          </w:tcPr>
          <w:p>
            <w:pPr>
              <w:pStyle w:val="TableContents"/>
              <w:bidi w:val="0"/>
              <w:spacing w:before="0" w:after="283"/>
              <w:jc w:val="right"/>
              <w:rPr/>
            </w:pPr>
            <w:r>
              <w:rPr/>
              <w:t>1,203</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5" w:type="dxa"/>
            <w:tcBorders/>
            <w:shd w:fill="CCEEFF" w:val="clear"/>
            <w:vAlign w:val="bottom"/>
          </w:tcPr>
          <w:p>
            <w:pPr>
              <w:pStyle w:val="TableContents"/>
              <w:bidi w:val="0"/>
              <w:spacing w:before="0" w:after="283"/>
              <w:jc w:val="right"/>
              <w:rPr/>
            </w:pPr>
            <w:r>
              <w:rPr/>
              <w:t>1,037</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4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4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5" w:type="dxa"/>
            <w:tcBorders/>
            <w:shd w:fill="CCEEFF" w:val="clear"/>
            <w:vAlign w:val="bottom"/>
          </w:tcPr>
          <w:p>
            <w:pPr>
              <w:pStyle w:val="TableContents"/>
              <w:bidi w:val="0"/>
              <w:spacing w:before="0" w:after="283"/>
              <w:jc w:val="right"/>
              <w:rPr/>
            </w:pPr>
            <w:r>
              <w:rPr/>
              <w:t>2,240</w:t>
            </w:r>
          </w:p>
        </w:tc>
        <w:tc>
          <w:tcPr>
            <w:tcW w:w="71" w:type="dxa"/>
            <w:tcBorders/>
            <w:shd w:fill="CCEEFF" w:val="clear"/>
            <w:vAlign w:val="bottom"/>
          </w:tcPr>
          <w:p>
            <w:pPr>
              <w:pStyle w:val="TableContents"/>
              <w:bidi w:val="0"/>
              <w:spacing w:before="0" w:after="283"/>
              <w:jc w:val="left"/>
              <w:rPr/>
            </w:pPr>
            <w:r>
              <w:rPr/>
              <w:t> </w:t>
            </w:r>
          </w:p>
        </w:tc>
      </w:tr>
      <w:tr>
        <w:trPr/>
        <w:tc>
          <w:tcPr>
            <w:tcW w:w="4279" w:type="dxa"/>
            <w:tcBorders/>
          </w:tcPr>
          <w:p>
            <w:pPr>
              <w:pStyle w:val="TableContents"/>
              <w:bidi w:val="0"/>
              <w:spacing w:before="0" w:after="0"/>
              <w:jc w:val="left"/>
              <w:rPr>
                <w:rFonts w:ascii="Times New Roman" w:hAnsi="Times New Roman"/>
                <w:sz w:val="20"/>
              </w:rPr>
            </w:pPr>
            <w:r>
              <w:rPr>
                <w:rFonts w:ascii="Times New Roman" w:hAnsi="Times New Roman"/>
                <w:sz w:val="20"/>
              </w:rPr>
              <w:t>Amgen research and collaboration obligations</w:t>
            </w:r>
          </w:p>
        </w:tc>
        <w:tc>
          <w:tcPr>
            <w:tcW w:w="20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140" w:type="dxa"/>
            <w:tcBorders/>
            <w:vAlign w:val="bottom"/>
          </w:tcPr>
          <w:p>
            <w:pPr>
              <w:pStyle w:val="TableContents"/>
              <w:bidi w:val="0"/>
              <w:spacing w:before="0" w:after="283"/>
              <w:jc w:val="right"/>
              <w:rPr/>
            </w:pPr>
            <w:r>
              <w:rPr/>
              <w:t>25,000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5" w:type="dxa"/>
            <w:tcBorders/>
            <w:vAlign w:val="bottom"/>
          </w:tcPr>
          <w:p>
            <w:pPr>
              <w:pStyle w:val="TableContents"/>
              <w:bidi w:val="0"/>
              <w:spacing w:before="0" w:after="283"/>
              <w:jc w:val="right"/>
              <w:rPr/>
            </w:pPr>
            <w:r>
              <w:rPr/>
              <w:t>37,500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4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4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5" w:type="dxa"/>
            <w:tcBorders/>
            <w:vAlign w:val="bottom"/>
          </w:tcPr>
          <w:p>
            <w:pPr>
              <w:pStyle w:val="TableContents"/>
              <w:bidi w:val="0"/>
              <w:spacing w:before="0" w:after="283"/>
              <w:jc w:val="right"/>
              <w:rPr/>
            </w:pPr>
            <w:r>
              <w:rPr/>
              <w:t>62,500</w:t>
            </w:r>
          </w:p>
        </w:tc>
        <w:tc>
          <w:tcPr>
            <w:tcW w:w="71" w:type="dxa"/>
            <w:tcBorders/>
            <w:vAlign w:val="bottom"/>
          </w:tcPr>
          <w:p>
            <w:pPr>
              <w:pStyle w:val="TableContents"/>
              <w:bidi w:val="0"/>
              <w:spacing w:before="0" w:after="283"/>
              <w:jc w:val="left"/>
              <w:rPr/>
            </w:pPr>
            <w:r>
              <w:rPr/>
              <w:t> </w:t>
            </w:r>
          </w:p>
        </w:tc>
      </w:tr>
      <w:tr>
        <w:trPr/>
        <w:tc>
          <w:tcPr>
            <w:tcW w:w="4279"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4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4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contractual obligations</w:t>
            </w:r>
          </w:p>
        </w:tc>
        <w:tc>
          <w:tcPr>
            <w:tcW w:w="20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140" w:type="dxa"/>
            <w:tcBorders/>
            <w:shd w:fill="CCEEFF" w:val="clear"/>
            <w:vAlign w:val="bottom"/>
          </w:tcPr>
          <w:p>
            <w:pPr>
              <w:pStyle w:val="TableContents"/>
              <w:bidi w:val="0"/>
              <w:spacing w:before="0" w:after="283"/>
              <w:jc w:val="right"/>
              <w:rPr/>
            </w:pPr>
            <w:r>
              <w:rPr/>
              <w:t>  </w:t>
            </w:r>
            <w:r>
              <w:rPr/>
              <w:t>26,203</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5" w:type="dxa"/>
            <w:tcBorders/>
            <w:shd w:fill="CCEEFF" w:val="clear"/>
            <w:vAlign w:val="bottom"/>
          </w:tcPr>
          <w:p>
            <w:pPr>
              <w:pStyle w:val="TableContents"/>
              <w:bidi w:val="0"/>
              <w:spacing w:before="0" w:after="283"/>
              <w:jc w:val="right"/>
              <w:rPr/>
            </w:pPr>
            <w:r>
              <w:rPr/>
              <w:t>  </w:t>
            </w:r>
            <w:r>
              <w:rPr/>
              <w:t>38,537</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420" w:type="dxa"/>
            <w:tcBorders/>
            <w:shd w:fill="CCEEFF" w:val="clear"/>
            <w:vAlign w:val="bottom"/>
          </w:tcPr>
          <w:p>
            <w:pPr>
              <w:pStyle w:val="TableContents"/>
              <w:bidi w:val="0"/>
              <w:spacing w:before="0" w:after="283"/>
              <w:jc w:val="right"/>
              <w:rPr/>
            </w:pPr>
            <w:r>
              <w:rPr/>
              <w:t>  </w:t>
            </w: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441" w:type="dxa"/>
            <w:tcBorders/>
            <w:shd w:fill="CCEEFF" w:val="clear"/>
            <w:vAlign w:val="bottom"/>
          </w:tcPr>
          <w:p>
            <w:pPr>
              <w:pStyle w:val="TableContents"/>
              <w:bidi w:val="0"/>
              <w:spacing w:before="0" w:after="283"/>
              <w:jc w:val="right"/>
              <w:rPr/>
            </w:pPr>
            <w:r>
              <w:rPr/>
              <w:t>  </w:t>
            </w: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5" w:type="dxa"/>
            <w:tcBorders/>
            <w:shd w:fill="CCEEFF" w:val="clear"/>
            <w:vAlign w:val="bottom"/>
          </w:tcPr>
          <w:p>
            <w:pPr>
              <w:pStyle w:val="TableContents"/>
              <w:bidi w:val="0"/>
              <w:spacing w:before="0" w:after="283"/>
              <w:jc w:val="right"/>
              <w:rPr/>
            </w:pPr>
            <w:r>
              <w:rPr/>
              <w:t>  </w:t>
            </w:r>
            <w:r>
              <w:rPr/>
              <w:t>64,740</w:t>
            </w:r>
          </w:p>
        </w:tc>
        <w:tc>
          <w:tcPr>
            <w:tcW w:w="71" w:type="dxa"/>
            <w:tcBorders/>
            <w:shd w:fill="CCEEFF" w:val="clear"/>
            <w:vAlign w:val="bottom"/>
          </w:tcPr>
          <w:p>
            <w:pPr>
              <w:pStyle w:val="TableContents"/>
              <w:bidi w:val="0"/>
              <w:spacing w:before="0" w:after="283"/>
              <w:jc w:val="left"/>
              <w:rPr/>
            </w:pPr>
            <w:r>
              <w:rPr/>
              <w:t> </w:t>
            </w:r>
          </w:p>
        </w:tc>
      </w:tr>
      <w:tr>
        <w:trPr/>
        <w:tc>
          <w:tcPr>
            <w:tcW w:w="4279"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1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4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4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5"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operating lease obligations relate to our office and laboratory facilities located in Massachusetts and California with noncancelable lease terms expiring between 2021 and 2023. </w:t>
      </w:r>
    </w:p>
    <w:p>
      <w:pPr>
        <w:pStyle w:val="TextBody"/>
        <w:bidi w:val="0"/>
        <w:spacing w:before="240" w:after="0"/>
        <w:jc w:val="left"/>
        <w:rPr>
          <w:rFonts w:ascii="Times New Roman" w:hAnsi="Times New Roman"/>
          <w:sz w:val="20"/>
        </w:rPr>
      </w:pPr>
      <w:r>
        <w:rPr>
          <w:rFonts w:ascii="Times New Roman" w:hAnsi="Times New Roman"/>
          <w:sz w:val="20"/>
        </w:rPr>
        <w:t xml:space="preserve">The table includes amounts due to Amgen under our September 2021 research and collaboration arrangement over the next three years totaling $62.5 million. Such amount will increase to $75.0 million in the aggregate if certain progress milestones are achieved before the end of the first two years. </w:t>
      </w:r>
    </w:p>
    <w:p>
      <w:pPr>
        <w:pStyle w:val="TextBody"/>
        <w:bidi w:val="0"/>
        <w:spacing w:before="240" w:after="0"/>
        <w:jc w:val="left"/>
        <w:rPr>
          <w:rFonts w:ascii="Times New Roman" w:hAnsi="Times New Roman"/>
          <w:sz w:val="20"/>
        </w:rPr>
      </w:pPr>
      <w:r>
        <w:rPr>
          <w:rFonts w:ascii="Times New Roman" w:hAnsi="Times New Roman"/>
          <w:sz w:val="20"/>
        </w:rPr>
        <w:t xml:space="preserve">The table does not include an operating sublease we entered into in May 2022 for additional office and laboratory space in Boston, Massachusetts. The term of the sublease commenced in June 2022 with respect to the office space and is expected to commence in August 2022 with respect to the laboratory space. The term of the sublease expires in June 2025. Pursuant to this agreement, we are obligated to make total operating lease payments not included in the above table of approximately $10.6 million during the lease term plus operating expenses.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 a number of acquisitions of assets that are summarized in the subsection titled Recent Acquisitions of Assets above. As part of these acquisitions of assets, we are obligated to pay cash and/or stock for future contingent payments that are dependent upon future events, and in some cases, vesting by the recipient of the contingent payment, such as our achievement of certain development, regulatory, and commercial milestones. We have also assumed license arrangements with various third parties, primarily as a result of our acquisitions, and have entered into additional agreements that are summarized in the subsection titled Strategic License and Research and Collaboration Agreements above. In accordance with these agreements, we are obligated to pay, among other items, future contingent payments that are dependent upon future events such as our achievement of certain development, regulatory, and commercial milestones royalties, and sublicensing revenue in the future, as applicable. As of March 31, 2022, the timing and likelihood of achieving the milestones and generating future product sales are uncertain and therefore, any related payments are not included in the table above.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enter into agreements in the normal course of business with CROs, CMOs and other vendors for research and development services. Such agreements generally provide for termination upon limited written notice. These payments are therefore not included in our contractual obligations table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Since our inception, we did not have, and we do not currently have, any off-balance sheet arrangements as defined in the rules and regulations of the SEC.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Our managements discussion and analysis of the financial condition and results of operations is based on our consolidated financial statements, which have been prepared in accordance with the U.S. generally accepted accounting principles, or GAAP. The preparation of our consolidated financial statements requires us to make estimates and assumptions that affect the reported amounts of assets, liabilities, expenses, and related disclosures. Our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While our significant accounting policies are described in Note 2 to our audited consolidated financial statements and our unaudited condensed consolidated financial statements included elsewhere in this prospectus, we believe that the following accounting policies are critical to understanding our historical and future performance, as these policies relate to the more significant areas involving managements judgments and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Acquisitions </w:t>
      </w:r>
    </w:p>
    <w:p>
      <w:pPr>
        <w:pStyle w:val="TextBody"/>
        <w:bidi w:val="0"/>
        <w:spacing w:before="120" w:after="0"/>
        <w:jc w:val="left"/>
        <w:rPr>
          <w:rFonts w:ascii="Times New Roman" w:hAnsi="Times New Roman"/>
          <w:sz w:val="20"/>
        </w:rPr>
      </w:pPr>
      <w:r>
        <w:rPr>
          <w:rFonts w:ascii="Times New Roman" w:hAnsi="Times New Roman"/>
          <w:sz w:val="20"/>
        </w:rPr>
        <w:t xml:space="preserve">We evaluate mergers, acquisitions and other similar transactions to assess whether the transaction should be accounted for as a business combination or an acquisition of assets. We first identify who is the acquiring entity by determining if the target is a legal entity or a group of assets or liabilities. If control over a legal entity is being evaluated, we also evaluate if the target is a variable interest or voting interest entity. For acquisitions of voting interest entities, we apply a screen test to determine if substantially all of the fair value of the gross assets acquired is concentrated in a single identifiable asset or group of similar identifiable assets. If the screen is met, the transaction is accounted for as an acquisition of assets. If the screen is not met, further determination is required as to whether we have acquired inputs and processes that have the ability to create outputs which would meet the definition of a business. Significant judgment is required in the application of the screen test to determine whether an acquisition is a business combination or an acquisition of assets. </w:t>
      </w:r>
    </w:p>
    <w:p>
      <w:pPr>
        <w:pStyle w:val="TextBody"/>
        <w:bidi w:val="0"/>
        <w:spacing w:before="240" w:after="0"/>
        <w:jc w:val="left"/>
        <w:rPr>
          <w:rFonts w:ascii="Times New Roman" w:hAnsi="Times New Roman"/>
          <w:sz w:val="20"/>
        </w:rPr>
      </w:pPr>
      <w:r>
        <w:rPr>
          <w:rFonts w:ascii="Times New Roman" w:hAnsi="Times New Roman"/>
          <w:sz w:val="20"/>
        </w:rPr>
        <w:t xml:space="preserve">For an acquisition of assets, a cost accumulation model is used to determine the cost of the acquisition. Common stock and convertible preferred stock issued as consideration in an acquisition of assets are generally measured based on the acquisition date fair value of the equity interests issued. We also determine if any components of a transaction should be accounted for as a part of an acquisition of assets and which should be accounted for separately. Direct transaction costs are recognized as part of the cost of an acquisition of assets. We also evaluate which elements of a transaction should be accounted for as a part of an acquisition of assets and which should be accounted for separately. </w:t>
      </w:r>
    </w:p>
    <w:p>
      <w:pPr>
        <w:pStyle w:val="TextBody"/>
        <w:bidi w:val="0"/>
        <w:spacing w:before="240" w:after="0"/>
        <w:jc w:val="left"/>
        <w:rPr>
          <w:rFonts w:ascii="Times New Roman" w:hAnsi="Times New Roman"/>
          <w:sz w:val="20"/>
        </w:rPr>
      </w:pPr>
      <w:r>
        <w:rPr>
          <w:rFonts w:ascii="Times New Roman" w:hAnsi="Times New Roman"/>
          <w:sz w:val="20"/>
        </w:rPr>
        <w:t xml:space="preserve">The cost of an acquisition of assets, including transaction costs, are allocated to identifiable assets acquired and liabilities assumed based on a relative fair value basis. Goodwill is not recognized in an acquisition of assets. Any difference between the cost of an acquisition of assets and the fair value of the net assets acquired is allocated to the non-monetary identifiable assets based on their relative fair values. Assets acquired as part of an acquisition of assets that are considered to be IPR&amp;D are immediately expensed unless there is an alternative future use in other research and development projects.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upfront consideration, our acquisition of assets may also include contingent consideration payments to be made for future milestone events or royalties on net sales of future products. We assess whether such contingent consideration is subject to liability classification and fair value measurement or meets the definition of a derivative.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Contingent consideration payments in an acquisition of assets not required to be classified as a liability, or are accounted for as derivatives that qualify for a scope exception from derivative accounting, are recognized when the contingency is resolved, and the consideration is paid or becomes payable. Contingent consideration payments required to be classified as a liability, or accounted for as derivatives and do not qualify for a scope exception from derivative accounting, are recorded at fair value on the date of the acquisition and are subsequently remeasured to fair value at each reporting date. At the time a contingent consideration payment is made, we will determine whether the payment should be expensed or capitalized as an intangible asset based on the status of the IPR&amp;D project. Further, any future payments that are contingent upon continued services to us are treated as compensation and are recognized beginning when it is probable such amounts will become payable through the date that the contingency is met. </w:t>
      </w:r>
    </w:p>
    <w:p>
      <w:pPr>
        <w:pStyle w:val="TextBody"/>
        <w:bidi w:val="0"/>
        <w:spacing w:before="240" w:after="0"/>
        <w:jc w:val="left"/>
        <w:rPr>
          <w:rFonts w:ascii="Times New Roman" w:hAnsi="Times New Roman"/>
          <w:sz w:val="20"/>
        </w:rPr>
      </w:pPr>
      <w:r>
        <w:rPr>
          <w:rFonts w:ascii="Times New Roman" w:hAnsi="Times New Roman"/>
          <w:sz w:val="20"/>
        </w:rPr>
        <w:t xml:space="preserve">We classify cash payments related to purchased intangibles in an acquisition of assets, including IPR&amp;D assets, as a cash outflow from investing activities because we expect to generate future income and cash flows from these assets if they can be developed into commercially successful products. </w:t>
      </w:r>
    </w:p>
    <w:p>
      <w:pPr>
        <w:pStyle w:val="TextBody"/>
        <w:bidi w:val="0"/>
        <w:spacing w:before="240" w:after="0"/>
        <w:jc w:val="left"/>
        <w:rPr>
          <w:rFonts w:ascii="Times New Roman" w:hAnsi="Times New Roman"/>
          <w:sz w:val="20"/>
        </w:rPr>
      </w:pPr>
      <w:r>
        <w:rPr>
          <w:rFonts w:ascii="Times New Roman" w:hAnsi="Times New Roman"/>
          <w:sz w:val="20"/>
        </w:rPr>
        <w:t xml:space="preserve">If the target legal entity is determined to be a variable interest entity and not a business, all tangible and intangible assets acquired, including any IPR&amp;D assets but excluding goodwill, and liabilities assumed, including contingent consideration, are recorded at their fair values. If the acquisition is determined to be a business combination, all tangible and intangible assets acquired, including any IPR&amp;D asset, and liabilities assumed, including contingent consideration, are recorded at their fair value. Goodwill is recognized for any difference between the consideration transferred and our fair value determination. In addition, direct transaction costs in connection with business combinations are expensed as incurred, rather than capitalized. </w:t>
      </w:r>
    </w:p>
    <w:p>
      <w:pPr>
        <w:pStyle w:val="TextBody"/>
        <w:bidi w:val="0"/>
        <w:spacing w:before="240" w:after="0"/>
        <w:jc w:val="left"/>
        <w:rPr>
          <w:rFonts w:ascii="Times New Roman" w:hAnsi="Times New Roman"/>
          <w:sz w:val="20"/>
        </w:rPr>
      </w:pPr>
      <w:r>
        <w:rPr>
          <w:rFonts w:ascii="Times New Roman" w:hAnsi="Times New Roman"/>
          <w:sz w:val="20"/>
        </w:rPr>
        <w:t xml:space="preserve">To date, we have obtained control over, and are considered the accounting acquiror of, all of the entities we have acquired. None of the legal entities we acquired were considered to be variable interest entities, had ever generated revenue, have significant continuing physical facilities or an employee base that will not be integrated into working to support our combined operations, nor did they have any market distribution system, sales force, customers base, long term operating rights or material production techniques or trade names of significance.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and Related 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We record research and development expenses to operations as incurred. Research and development expenses represent costs incurred by us for the discovery and development of our product candidates and the development of our precision neuroscience platform technology and include: internal research and development expense, including personnel-related expenses (such as salaries, benefits and noncash stock-based compensation) and other expenses, including laboratory supplies and other non-capital equipment utilized for in-house research, research and consulting expenses, software development costs, license fees and allocated expenses, including facilities costs and depreciation and amortization; external research and development expenses incurred under arrangements with vendors conducting research and development services on our behalf, such as CROs, preclinical testing organizations, or CMOs. Costs to develop our technologies are recorded as research and development expense unless the criteria to be capitalized as internal-use software costs is met.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various agreements with CROs and other vendors for clinical, non-clinical and manufacturing services. Payments made prior to the receipt of goods or services to be used in research and development are capitalized and recognized as expense in the period in which the related goods are received or services are realized or consumed. If the costs have been prepaid, this expense reduces the prepaid expenses in the consolidated balance sheets, and if not yet invoiced, the costs are included in accrued liabilities in the consolidated balance sheets. These costs are a significant component of our research and development expenses. We record amortization of prepaid expenses for these costs based on the estimated amount of work completed and in accordance with agreements established with these third parties. Such payments are evaluated for current or noncurrent classification based on when they will be realized. We estimate and record accrued research and development expenses based on the level of services performed but not yet invoiced pursuant to agreements established with our service providers, according to the progress of preclinical studies, clinical trials or related activities, and discussions with applicable personnel and service providers as to the progress or state of consummation of goods and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course of a clinical trial, the rate of expense recognition is adjusted if actual results differ from our estimates. We make judgments and estimates of accrued expenses as of each balance sheet date in our consolidated financial statements based on the facts and circumstances known at that time. The clinical trial accrual is dependent in part upon the timely and accurate reporting of CROs, CMOs and other third-party vendors. Although we do not expect our estimates to be materially different from amounts actually incurred, our estimates may vary from the actual results. To date, we have not experienced material differences between our accrued expenses and actual expenses. </w:t>
      </w:r>
    </w:p>
    <w:p>
      <w:pPr>
        <w:pStyle w:val="TextBody"/>
        <w:bidi w:val="0"/>
        <w:spacing w:before="240" w:after="0"/>
        <w:jc w:val="left"/>
        <w:rPr>
          <w:rFonts w:ascii="Times New Roman" w:hAnsi="Times New Roman"/>
          <w:sz w:val="20"/>
        </w:rPr>
      </w:pPr>
      <w:r>
        <w:rPr>
          <w:rFonts w:ascii="Times New Roman" w:hAnsi="Times New Roman"/>
          <w:sz w:val="20"/>
        </w:rPr>
        <w:t xml:space="preserve">We have and may continue to enter into license agreements to access and utilize certain technology. We evaluate if the license agreement is an acquisition of an asset or a business. To date, none of our license agreements have been considered to be an acquisition of a business. For acquisitions of assets, the upfront payments to acquire such licenses, as well as any future milestone payments made before product approval, are immediately recognized as acquired in-process research and development expense when due, provided there is no alternative future use of the rights in other research and development projects. These license agreements may also include contingent consideration in the form of cash. We assess whether such contingent consideration is subject to liability classification and fair value measurement or meets the definition of a derivative.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measure and record expense related to all equity awards granted to employees and non-employees, including stock options and restricted stock awards, based on estimated fair values as of their grant dates. For stock-based awards with service conditions only, we recognize expense on a straight-line basis over the requisite service period, which is generally the vesting period of the respective award. For awards with performance conditions, we evaluate the probability of achieving the performance conditions at each reporting date. We recognize expense using an accelerated attribution method when it is deemed probable that the performance condition will be met. For awards with both market and service vesting conditions, we recognize expenses using the accelerated attribution method over the derived requisite service period. Stock-based compensation is classified in our consolidated statements of operations and comprehensive loss based on the function to which the related services are provided and is recognized for the portion of awards that have vested. Forfeitures are accounted for as they occur.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restricted stock awards is determined on the date of grant based on the estimated fair value of our common stock on that date. The fair value of stock options with service vesting conditions is determined using the Black-Scholes option pricing model, which requires inputs based on certain subjective assumptions. These assumptions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Fair Value of</w:t>
            </w:r>
            <w:r>
              <w:rPr>
                <w:rFonts w:ascii="Times New Roman" w:hAnsi="Times New Roman"/>
                <w:sz w:val="20"/>
              </w:rPr>
              <w:t> </w:t>
            </w:r>
            <w:r>
              <w:rPr>
                <w:rFonts w:ascii="Times New Roman" w:hAnsi="Times New Roman"/>
                <w:i/>
                <w:sz w:val="20"/>
              </w:rPr>
              <w:t>Common</w:t>
            </w:r>
            <w:r>
              <w:rPr>
                <w:rFonts w:ascii="Times New Roman" w:hAnsi="Times New Roman"/>
                <w:sz w:val="20"/>
              </w:rPr>
              <w:t> </w:t>
            </w:r>
            <w:r>
              <w:rPr>
                <w:rFonts w:ascii="Times New Roman" w:hAnsi="Times New Roman"/>
                <w:i/>
                <w:sz w:val="20"/>
              </w:rPr>
              <w:t>Stock</w:t>
            </w:r>
            <w:r>
              <w:rPr>
                <w:rFonts w:ascii="Times New Roman" w:hAnsi="Times New Roman"/>
                <w:sz w:val="20"/>
              </w:rPr>
              <w:t xml:space="preserve"> See the subsection titled Common Stock Valuations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Expected Volatility</w:t>
            </w:r>
            <w:r>
              <w:rPr>
                <w:rFonts w:ascii="Times New Roman" w:hAnsi="Times New Roman"/>
                <w:sz w:val="20"/>
              </w:rPr>
              <w:t xml:space="preserve">As there is no trading history for our common stock, we have determined expected volatility based on the average historical stock price volatility of comparable publicly traded companies and expect to continue to do so until such time as we have adequate historical data regarding the volatility of our own traded stock price. The comparable companies are chosen based on their similar size, stage in the life cycle or area of therapeutic focus. The historical volatility is calculated based on a period of time commensurate with the expected term assumption.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Expected Term</w:t>
            </w:r>
            <w:r>
              <w:rPr>
                <w:rFonts w:ascii="Times New Roman" w:hAnsi="Times New Roman"/>
                <w:sz w:val="20"/>
              </w:rPr>
              <w:t xml:space="preserve">The expected term of our stock options is estimated using the simplified method for awards that qualify as plain-vanilla stock options. The simplified method calculates the expected term as the average of the time-to-vesting and the contractual life of the stock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Risk-Free Interest Rate</w:t>
            </w:r>
            <w:r>
              <w:rPr>
                <w:rFonts w:ascii="Times New Roman" w:hAnsi="Times New Roman"/>
                <w:sz w:val="20"/>
              </w:rPr>
              <w:t xml:space="preserve">We base the risk-free interest rate on the U.S. Treasury yield curve in effect at the time of grant of the award for time periods approximately equal to the expected term of the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Expected Dividend Yield</w:t>
            </w:r>
            <w:r>
              <w:rPr>
                <w:rFonts w:ascii="Times New Roman" w:hAnsi="Times New Roman"/>
                <w:sz w:val="20"/>
              </w:rPr>
              <w:t xml:space="preserve">The expected dividend yield is assumed to be zero as we have never paid and have no plans to pay dividends on our common stock in the foreseeable future.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fair value of stock options with service and market conditions is determined using the Monte Carlo simulation model, which requires inputs based on certain subjective assumptions that determine the probability of satisfying the market condition stipulated in the award to estimate the fair value on the grant date. These assumptions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Fair Value of Common Stock</w:t>
            </w:r>
            <w:r>
              <w:rPr>
                <w:rFonts w:ascii="Times New Roman" w:hAnsi="Times New Roman"/>
                <w:sz w:val="20"/>
              </w:rPr>
              <w:t xml:space="preserve">See the subsection titled Common Stock Valuations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Expected Volatility</w:t>
            </w:r>
            <w:r>
              <w:rPr>
                <w:rFonts w:ascii="Times New Roman" w:hAnsi="Times New Roman"/>
                <w:sz w:val="20"/>
              </w:rPr>
              <w:t xml:space="preserve">As there is no trading history for our common stock, we have determined expected volatility based on the average historical stock price of comparable publicly traded companies chosen based on their similar size, stage in the life cycle or area of therapeutic focus for a period of time commensurate with the expected term assumption.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Derived service periods</w:t>
            </w:r>
            <w:r>
              <w:rPr>
                <w:rFonts w:ascii="Times New Roman" w:hAnsi="Times New Roman"/>
                <w:sz w:val="20"/>
              </w:rPr>
              <w:t xml:space="preserve">The derived service periods were estimated based on duration of the median path from the grant date to the first time each market condition is expected to be met together with the stated 24- or 36-month vesting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Risk-free rate</w:t>
            </w:r>
            <w:r>
              <w:rPr>
                <w:rFonts w:ascii="Times New Roman" w:hAnsi="Times New Roman"/>
                <w:sz w:val="20"/>
              </w:rPr>
              <w:t xml:space="preserve">The risk-free interest rate was based on the U.S. Treasury yield curve in effect at the time of grant for time periods approximately equal to the expected term of the relevant award.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Note 13 to our audited consolidated financial statements and Note 12 to our unaudited condensed consolidated financial statements included elsewhere in this prospectus for information concerning certain of the specific assumptions we used in applying the Black-Scholes option pricing model to determine the estimated fair value of our stock options granted in the periods presented. Such assumptions involve inherent uncertainties and the application of significant judgment. As a result, if factors or expected outcomes change and we use significantly different assumptions or estimates, our stock-based compensation expense could be materially different. </w:t>
      </w:r>
    </w:p>
    <w:p>
      <w:pPr>
        <w:pStyle w:val="TextBody"/>
        <w:bidi w:val="0"/>
        <w:spacing w:before="240" w:after="0"/>
        <w:jc w:val="left"/>
        <w:rPr>
          <w:rFonts w:ascii="Times New Roman" w:hAnsi="Times New Roman"/>
          <w:sz w:val="20"/>
        </w:rPr>
      </w:pPr>
      <w:r>
        <w:rPr>
          <w:rFonts w:ascii="Times New Roman" w:hAnsi="Times New Roman"/>
          <w:sz w:val="20"/>
        </w:rPr>
        <w:t xml:space="preserve">The intrinsic value of all outstanding options as of March 31, 2022 was $            million, based on the assumed initial public offering price of $            per share, which is the midpoint of the price range set forth on the cover page of this prospectus, of which $            million is related to vested options and $            million is related to unvested options.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Valuations </w:t>
      </w:r>
    </w:p>
    <w:p>
      <w:pPr>
        <w:pStyle w:val="TextBody"/>
        <w:bidi w:val="0"/>
        <w:spacing w:before="120" w:after="0"/>
        <w:jc w:val="left"/>
        <w:rPr>
          <w:rFonts w:ascii="Times New Roman" w:hAnsi="Times New Roman"/>
          <w:sz w:val="20"/>
        </w:rPr>
      </w:pPr>
      <w:r>
        <w:rPr>
          <w:rFonts w:ascii="Times New Roman" w:hAnsi="Times New Roman"/>
          <w:sz w:val="20"/>
        </w:rPr>
        <w:t xml:space="preserve">As there has been no public market for our common stock to date, the estimated fair value of the common stock underlying our stock options was determined by our board of directors, with input from management, considering our most recently available third-party valuations of common stock and our board of directors assessment of additional objective and subjective factors that it believed were relevant, and factors that may have changed from the date of the most recent valuation through the date of the grant, which intended all options granted to be exercisable at a price per share not less than the per share fair value of our common stock underlying those options on the date of grant. We believe that our board of directors has the relevant experience and expertise to determine the fair value of our common stock. Prior to our initial public offering, given the absence of a public trading market for our common stock, the valuations of our common stock were determined in accordance with the guidelines outlined in the American Institute of Certified Public Accountants Practice Aid, </w:t>
      </w:r>
      <w:r>
        <w:rPr>
          <w:rFonts w:ascii="Times New Roman" w:hAnsi="Times New Roman"/>
          <w:i/>
          <w:sz w:val="20"/>
        </w:rPr>
        <w:t>Valuation of Privately-Held-Company Equity Securities Issued as Compensation</w:t>
      </w:r>
      <w:r>
        <w:rPr>
          <w:rFonts w:ascii="Times New Roman" w:hAnsi="Times New Roman"/>
          <w:sz w:val="20"/>
        </w:rPr>
        <w:t xml:space="preserve"> (Practice Aid). The Practice Aid identifies various available methods for allocating enterprise value across classes and series of capital stock to determine the estimated fair value of common stock at each valuation date. In accordance with the Practice Aid, our board of directors considered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Current value method</w:t>
            </w:r>
            <w:r>
              <w:rPr>
                <w:rFonts w:ascii="Times New Roman" w:hAnsi="Times New Roman"/>
                <w:sz w:val="20"/>
              </w:rPr>
              <w:t xml:space="preserve"> (CVM). Under the CVM, enterprise value is determined based on the balance sheet. This value is then first allocated based on the liquidation preference associated with preferred stock issued as of the valuation date, and then any residual value is assigned to the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Option-pricing method</w:t>
            </w:r>
            <w:r>
              <w:rPr>
                <w:rFonts w:ascii="Times New Roman" w:hAnsi="Times New Roman"/>
                <w:sz w:val="20"/>
              </w:rPr>
              <w:t xml:space="preserve"> (OPM). Under the OPM, shares are valued by creating a series of call options with exercise prices based on the liquidation preferences and conversion terms of each equity class. The estimated fair values of the preferred and common stock are inferred by analyzing these options.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Probability-weighted expected return method</w:t>
            </w:r>
            <w:r>
              <w:rPr>
                <w:rFonts w:ascii="Times New Roman" w:hAnsi="Times New Roman"/>
                <w:sz w:val="20"/>
              </w:rPr>
              <w:t xml:space="preserve"> (PWERM)</w:t>
            </w:r>
            <w:r>
              <w:rPr>
                <w:rFonts w:ascii="Times New Roman" w:hAnsi="Times New Roman"/>
                <w:i/>
                <w:sz w:val="20"/>
              </w:rPr>
              <w:t>.</w:t>
            </w:r>
            <w:r>
              <w:rPr>
                <w:rFonts w:ascii="Times New Roman" w:hAnsi="Times New Roman"/>
                <w:sz w:val="20"/>
              </w:rPr>
              <w:t xml:space="preserve"> The PWERM is a scenario-based analysis that estimates value per share based on the probability-weighted present value of expected future investment returns, considering each of the possible outcomes available to us, as well as the economic and control rights of each share class.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assumptions we use in the valuation model are based on future expectations combined with management judgment. In the absence of a public trading market, our board of directors with input from management exercised significant judgment and considered numerous objective and subjective factors to determine the fair value of our common stock as of the date of each option grant, including the following factors: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contemporaneous independent valuations performed by an independent third-party valuation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of shares of our convertible preferred stock sold to investors in arms length transactions, and the rights, preferences, and privileges of our convertible preferred stock relative to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stage of development and material risks related to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results of operations and financial position, including our levels of available capital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progress of our research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progress of our technology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marketability of our common stock as a private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status of strategic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hiring of key personnel and the experience of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of achieving a liquidity event, such as an initial public offering or a sale of our company, given prevailing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performance of comparable publicly traded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trends and developments in our industry;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external market conditions affecting the life sciences and biotechnology industry sectors.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assumptions underlying these valuations represented our board of directors and management develop best estimates based on application of these approaches and the assumptions underlying these valuations, giving careful consideration to the advice from our third-party valuation expert. Such estimates involve inherent uncertainties and the application of significant judgment. As a result, if factors or expected outcomes change and we use significantly different assumptions or estimates, our equity-based compensation could be materially different.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closing of our initial public offering, our board of directors will determine the fair market value of our common stock based on the closing price as reported on the date of grant on the primary stock exchange on which our common stock is traded. </w:t>
      </w:r>
    </w:p>
    <w:p>
      <w:pPr>
        <w:pStyle w:val="TextBody"/>
        <w:bidi w:val="0"/>
        <w:spacing w:before="240" w:after="0"/>
        <w:jc w:val="left"/>
        <w:rPr>
          <w:rFonts w:ascii="Times New Roman" w:hAnsi="Times New Roman"/>
          <w:sz w:val="20"/>
        </w:rPr>
      </w:pPr>
      <w:r>
        <w:rPr>
          <w:rFonts w:ascii="Times New Roman" w:hAnsi="Times New Roman"/>
          <w:sz w:val="20"/>
        </w:rPr>
        <w:t xml:space="preserve">For our valuations performed prior to August 2021, we determined the OPM method was the most appropriate method for determining the fair value of our common stock based on our stage of development and other relevant factors. For our valuations performed in August 2021 and subsequently, we determined a hybrid method that probability-weighted the OPM and an IPO scenario was the most appropriate method for determining the fair value of our common stock based on our stage of development and other relevant factors. </w:t>
      </w:r>
    </w:p>
    <w:p>
      <w:pPr>
        <w:pStyle w:val="TextBody"/>
        <w:bidi w:val="0"/>
        <w:spacing w:before="360" w:after="0"/>
        <w:jc w:val="left"/>
        <w:rPr>
          <w:rFonts w:ascii="Times New Roman" w:hAnsi="Times New Roman"/>
          <w:b/>
          <w:sz w:val="20"/>
        </w:rPr>
      </w:pPr>
      <w:r>
        <w:rPr>
          <w:rFonts w:ascii="Times New Roman" w:hAnsi="Times New Roman"/>
          <w:b/>
          <w:sz w:val="20"/>
        </w:rPr>
        <w:t xml:space="preserve">JOBS Act Accounting Smaller Reporting Company Elections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as defined in the JOBS Act. Under the JOBS Act, emerging growth companies can delay adopting new or revised accounting standards issued subsequent to the enactment of the JOBS Act until those standards apply to private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elected to use this extended transition period for complying with certain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or may not be comparable to companies that comply with new or revised accounting pronouncements as of public companies effective dates. </w:t>
      </w:r>
    </w:p>
    <w:p>
      <w:pPr>
        <w:pStyle w:val="TextBody"/>
        <w:bidi w:val="0"/>
        <w:spacing w:before="240" w:after="0"/>
        <w:jc w:val="left"/>
        <w:rPr>
          <w:rFonts w:ascii="Times New Roman" w:hAnsi="Times New Roman"/>
          <w:sz w:val="20"/>
        </w:rPr>
      </w:pPr>
      <w:r>
        <w:rPr>
          <w:rFonts w:ascii="Times New Roman" w:hAnsi="Times New Roman"/>
          <w:sz w:val="20"/>
        </w:rPr>
        <w:t xml:space="preserve">We are also a smaller reporting company, as defined in the Exchange Act. We may continue to be a smaller reporting company even after we are no longer an emerging growth company. </w:t>
      </w:r>
    </w:p>
    <w:p>
      <w:pPr>
        <w:pStyle w:val="TextBody"/>
        <w:bidi w:val="0"/>
        <w:spacing w:before="240" w:after="0"/>
        <w:jc w:val="left"/>
        <w:rPr>
          <w:rFonts w:ascii="Times New Roman" w:hAnsi="Times New Roman"/>
          <w:sz w:val="20"/>
        </w:rPr>
      </w:pPr>
      <w:r>
        <w:rPr>
          <w:rFonts w:ascii="Times New Roman" w:hAnsi="Times New Roman"/>
          <w:sz w:val="20"/>
        </w:rPr>
        <w:t xml:space="preserve">We have elected to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market risks in the ordinary course of our business. These risks primarily include interest rate sensitivities.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We had cash and cash equivalents of $291.2 million as of March 31, 2022 that consisted of bank deposits and money market funds deposited with several financial institutions that may exceed the Federal Deposit Insurance Corporations insurance limits. We also held marketable securities of $72.3 million at March 31, 2022. Historical fluctuations in interest rates have not been significant for us and because our investments are primarily short-term in duration we do not believe that a hypothetical 1% change in market interest rates during any of the periods presented would have had a material effect on our consolidated financial statements included elsewhere in this prospectus. We had no outstanding debt as of December 31, 2021 or March 31, 2022.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See Note 2 to our audited consolidated financial statements and our unaudited condensed consolidated financial statements included elsewhere in this prospectus for more information about recent accounting pronouncements, the timing of their adoption, and our assessment, to the extent we have made one yet, of their potential impact on our consolidated financial condition or results of operation.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rom241143_12"/>
      <w:bookmarkEnd w:id="14"/>
      <w:r>
        <w:rPr>
          <w:rFonts w:ascii="Times New Roman" w:hAnsi="Times New Roman"/>
          <w:b/>
          <w:sz w:val="20"/>
        </w:rPr>
        <w:t xml:space="preserve">BUSINESS </w:t>
      </w:r>
    </w:p>
    <w:p>
      <w:pPr>
        <w:pStyle w:val="TextBody"/>
        <w:bidi w:val="0"/>
        <w:spacing w:before="120" w:after="0"/>
        <w:jc w:val="left"/>
        <w:rPr>
          <w:rFonts w:ascii="Times New Roman" w:hAnsi="Times New Roman"/>
          <w:b/>
          <w:sz w:val="20"/>
        </w:rPr>
      </w:pPr>
      <w:r>
        <w:rPr>
          <w:rFonts w:ascii="Times New Roman" w:hAnsi="Times New Roman"/>
          <w:b/>
          <w:sz w:val="20"/>
        </w:rPr>
        <w:t xml:space="preserve">Our Mission </w:t>
      </w:r>
    </w:p>
    <w:p>
      <w:pPr>
        <w:pStyle w:val="TextBody"/>
        <w:bidi w:val="0"/>
        <w:spacing w:before="120" w:after="0"/>
        <w:jc w:val="left"/>
        <w:rPr>
          <w:rFonts w:ascii="Times New Roman" w:hAnsi="Times New Roman"/>
          <w:sz w:val="20"/>
        </w:rPr>
      </w:pPr>
      <w:r>
        <w:rPr>
          <w:rFonts w:ascii="Times New Roman" w:hAnsi="Times New Roman"/>
          <w:sz w:val="20"/>
        </w:rPr>
        <w:t xml:space="preserve">We are in the midst of a global brain disease crisis that is having a profound, enduring impact on patients, their families and society. Neuropsychiatric disorders and neurodegenerative diseases affect approximately 1.5 billion individuals globally, are typically chronic and progressive in nature and are associated with significant disability and a reduced quality of life. Over $110 billion is estimated to have been spent on neuroscience research and development since 2019 in the United States alone, representing approximately 33% of all disease-specific spending. However, only approximately 12% of all new therapies approved during that time period have been for the treatment of brain diseases. We believe the relative lack of progress and innovation within the broader central nervous system (CNS) landscape is due in large part to the complex, heterogeneous nature of such diseases, which makes defining patient populations and matching them with appropriate therapies challenging. As a result, patients, families and communities affected by brain diseases have been left behind. </w:t>
      </w:r>
    </w:p>
    <w:p>
      <w:pPr>
        <w:pStyle w:val="TextBody"/>
        <w:bidi w:val="0"/>
        <w:spacing w:before="240" w:after="0"/>
        <w:jc w:val="left"/>
        <w:rPr>
          <w:rFonts w:ascii="Times New Roman" w:hAnsi="Times New Roman"/>
          <w:sz w:val="20"/>
        </w:rPr>
      </w:pPr>
      <w:r>
        <w:rPr>
          <w:rFonts w:ascii="Times New Roman" w:hAnsi="Times New Roman"/>
          <w:sz w:val="20"/>
        </w:rPr>
        <w:t xml:space="preserve">The time has come to take a fundamentally different approach to the way treatments for brain diseases are developed. We founded Neumora to pioneer a new era of precision neuroscience medicines by using patient enrichment strategies to help potentially improve clinical development success rates. Our approach is designed to integrate advanced data science capabilities and translational neuroscience tools and methods, which together we refer to as our Precision Toolbox. We believe this Precision Toolbox provides modular flexibility for us to tailor its application across development programs and disease indications. Our proprietary approach leverages recent advances in data science and translational neuroscience to cut through the heterogeneity inherent in brain disease. By approaching patient enrichment and clinical development strategies through this lens, we aim to match the right patient populations to the right targeted therapeutics, thereby driving innovation and the potential for clinical development success in this field and, ultimately, providing better therapies to patients. Our goal is to build a global, fully integrated precision neuroscience company that is purpose-built at scale to achieve our ambitious mission of conquering one of the greatest medical challenges of our generation.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biotechnology company pioneering a precision medicine approach for brain diseases through the integration of data science and translational neuroscience. High failure rates have plagued neuroscience drug development for decades, contributing to a lack of targeted, effective medicines for patients. We are focused on redefining neuroscience research and development by leveraging a proprietary approach to patient enrichment that is enabled by artificial intelligence and machine learning (AI/ML) technology, which we integrate with advanced translational neuroscience tools and methods to develop novel precision medicines. We believe our precision neuroscience approach will help us to cut through patient heterogeneity to potentially increase clinical development success rates and improve patient outcomes. Through our internal discovery efforts and business development activities, we have rapidly scaled a pipeline currently consisting of seven clinical and preclinical precision neuroscience programs targeting a broad range of underserved neuropsychiatric disorders and neurodegenerative diseases. Our most advanced product candidate, NMRA-140, is a kappa opioid receptor (KOR) antagonist currently in Phase 2a clinical development for the treatment of major depressive disorder (MDD). We anticipate topline results from the current trial will be available in                . Our team unites some of the worlds leading data scientists, neuroscience drug developers and company builders to usher in a new era of precision neuroscience and to accelerate development of novel therapies for patients and families affected by brain diseases. We are complemented by world-class scientific and technical advisors and by an experienced board of directors and syndicate of investors. We have raised over $500.0 million of capital as of March 31, 2022 to pursue this mission at scale. </w:t>
      </w:r>
    </w:p>
    <w:p>
      <w:pPr>
        <w:pStyle w:val="TextBody"/>
        <w:bidi w:val="0"/>
        <w:spacing w:before="240" w:after="0"/>
        <w:jc w:val="left"/>
        <w:rPr>
          <w:rFonts w:ascii="Times New Roman" w:hAnsi="Times New Roman"/>
          <w:sz w:val="20"/>
        </w:rPr>
      </w:pPr>
      <w:r>
        <w:rPr>
          <w:rFonts w:ascii="Times New Roman" w:hAnsi="Times New Roman"/>
          <w:sz w:val="20"/>
        </w:rPr>
        <w:t xml:space="preserve">Patients with common neuropsychiatric disorders and neurodegenerative diseases, such as depression, schizophrenia, Parkinsons disease and Alzheimers disease, can present with diverse symptoms and have multiple underlying disease drivers. However, despite the inherent heterogeneity of these disorders, patients are diagnosed based on broad disease classifications defined by subjective clinical symptoms rather than specific underlying genetic and biological mechanisms. As a result, clinical development in neuroscience to date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taken a one-size-fits-all approach, which precludes enrichment for homogeneous cohorts of patients and can result in a lower rate of clinical development success. </w:t>
      </w:r>
    </w:p>
    <w:p>
      <w:pPr>
        <w:pStyle w:val="TextBody"/>
        <w:bidi w:val="0"/>
        <w:spacing w:before="240" w:after="0"/>
        <w:jc w:val="left"/>
        <w:rPr>
          <w:rFonts w:ascii="Times New Roman" w:hAnsi="Times New Roman"/>
          <w:sz w:val="20"/>
        </w:rPr>
      </w:pPr>
      <w:r>
        <w:rPr>
          <w:rFonts w:ascii="Times New Roman" w:hAnsi="Times New Roman"/>
          <w:sz w:val="20"/>
        </w:rPr>
        <w:t xml:space="preserve">Recent advancements in oncology provide a relevant analog for the impact of applying data-driven, precision medicine approaches to improve patient outcomes. For decades, cancers were classified based primarily on the affected organs, as researchers did not have the tools or technologies to develop effective treatments targeting the biological drivers of these malignancies. However, through the clinical implementation of biopsies, high-throughput sequencing and the advancement in data science tools, the oncology field developed the ability to define cancers more precisely based on the rich insights generated from these data. Our goal is to extend a similar data-driven, precision approach for the treatment of brain diseases that leverages recent advancements in data science techniques and translational neuroscience capabilities to gain insight into the complex drivers of brain disease.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Precision Neuroscience Approach </w:t>
      </w:r>
    </w:p>
    <w:p>
      <w:pPr>
        <w:pStyle w:val="TextBody"/>
        <w:bidi w:val="0"/>
        <w:spacing w:before="240" w:after="0"/>
        <w:jc w:val="left"/>
        <w:rPr>
          <w:rFonts w:ascii="Times New Roman" w:hAnsi="Times New Roman"/>
          <w:sz w:val="20"/>
        </w:rPr>
      </w:pPr>
      <w:r>
        <w:rPr>
          <w:rFonts w:ascii="Times New Roman" w:hAnsi="Times New Roman"/>
          <w:sz w:val="20"/>
        </w:rPr>
        <w:t xml:space="preserve">We are taking a data-driven precision neuroscience approach to match the right patients to the right </w:t>
      </w:r>
    </w:p>
    <w:p>
      <w:pPr>
        <w:pStyle w:val="TextBody"/>
        <w:bidi w:val="0"/>
        <w:spacing w:before="0" w:after="0"/>
        <w:jc w:val="left"/>
        <w:rPr>
          <w:rFonts w:ascii="Times New Roman" w:hAnsi="Times New Roman"/>
          <w:sz w:val="20"/>
        </w:rPr>
      </w:pPr>
      <w:r>
        <w:rPr>
          <w:rFonts w:ascii="Times New Roman" w:hAnsi="Times New Roman"/>
          <w:sz w:val="20"/>
        </w:rPr>
        <w:t xml:space="preserve">targeted therapeutics. Our approach is powered by our Precision Toolbox comprised of translational tools, unimodal features and multimodal methods that we leverage to develop strategies to identify enriched patient populations, which we refer to as Precision Phenotypes. Precision Phenotypes are defined by common characteristics, which can include biological and/or clinical measures, and serve as guides to match the right patients to the right targeted therapeutic. To our knowledge, we are the only company applying this multimodal approach, which we believe has the potential to redefine neuroscience research and development, with the promise of improving clinical development success rates creating more therapeutics to address the global brain crisis. </w:t>
      </w:r>
    </w:p>
    <w:p>
      <w:pPr>
        <w:pStyle w:val="TextBody"/>
        <w:bidi w:val="0"/>
        <w:spacing w:before="240" w:after="0"/>
        <w:jc w:val="left"/>
        <w:rPr>
          <w:rFonts w:ascii="Times New Roman" w:hAnsi="Times New Roman"/>
          <w:sz w:val="20"/>
        </w:rPr>
      </w:pPr>
      <w:r>
        <w:rPr>
          <w:rFonts w:ascii="Times New Roman" w:hAnsi="Times New Roman"/>
          <w:sz w:val="20"/>
        </w:rPr>
        <w:t xml:space="preserve">Our precision neuroscience approach utilizes three techniques to match the right patients to the right targeted therapeutics and enable patient enrichment: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Drug Signature Generation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Through a process we refer to as drug signature generation, we characterize the therapeutic profiles of drug candidates in order to better inform clinical development strategies within each development program. To generate a drug signature, we use both translational tools and unimodal features from our Precision Toolbox to predict the therapeutic effect a drug candidate will have on biological and behavioral measures. We believe the characterization of these therapeutic profiles will support the identification of Precision Phenotypes to inform inclusion/exclusion criteria and clinical trial design and achieve targeted patient enrichment.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Cluster 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patient cluster formation approach is focused on integrating longitudinal, multimodal patient data to form patient groups with shared features and characteristics, which we refer to as patient clusters. Our data science platform integrates libraries of patient datasets using proprietary AI/ML tools to create compact, multimodal representations of multiple features of a disease, such as genetics, phenotypes and behavior, that highlight the most important factors of differentiation of each patient. We refer to these multimodal representations as Data Biopsy Signatures. We then use specific algorithms to group the Data Biopsy Signatures from each patient to create groups of homogeneous patient clusters, which can inform Precision Phenotype identification and be used as a basis for enrichment. To date, we have onboarded a library of multimodal datasets encompassing billions of datapoints across multiple modalities.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Alignment of Patient Clusters with Drug Signature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alignment approach is focused on matching features of a drug signature with the optimal set of patient clusters to form a Precision Phenotype as a basis for predictive enrichment. The process of aligning a compound-specific drug signature with patient clusters leverages all aspects of our Precision Toolbox. </w:t>
      </w:r>
    </w:p>
    <w:p>
      <w:pPr>
        <w:pStyle w:val="TextBody"/>
        <w:bidi w:val="0"/>
        <w:spacing w:before="240" w:after="0"/>
        <w:jc w:val="left"/>
        <w:rPr>
          <w:rFonts w:ascii="Times New Roman" w:hAnsi="Times New Roman"/>
          <w:sz w:val="20"/>
        </w:rPr>
      </w:pPr>
      <w:r>
        <w:rPr>
          <w:rFonts w:ascii="Times New Roman" w:hAnsi="Times New Roman"/>
          <w:sz w:val="20"/>
        </w:rPr>
        <w:t xml:space="preserve">Our approach has been created through the tight integration of our data science and neuroscience expertise and our proprietary platform is protected by a broad and multi-faceted intellectual property portfolio. We believe our dynamic approach and modular flexibility will allow us to tailor our data science and translational strategies and tools on a program-by-program basis to guide the development of novel precision therapeutics. </w:t>
      </w:r>
    </w:p>
    <w:p>
      <w:pPr>
        <w:pStyle w:val="TextBody"/>
        <w:bidi w:val="0"/>
        <w:spacing w:before="0" w:after="0"/>
        <w:jc w:val="left"/>
        <w:rPr/>
      </w:pPr>
      <w:r>
        <w:rPr/>
        <w:t> </w:t>
      </w:r>
    </w:p>
    <w:p>
      <w:pPr>
        <w:pStyle w:val="TextBody"/>
        <w:bidi w:val="0"/>
        <w:spacing w:before="0" w:after="0"/>
        <w:jc w:val="center"/>
        <w:rPr/>
      </w:pPr>
      <w:r>
        <w:rPr/>
        <w:drawing>
          <wp:inline distT="0" distB="0" distL="0" distR="0">
            <wp:extent cx="493395" cy="34925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493395" cy="3492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4: Neumoras precision neuroscience approaches to enable patient enrichment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Precision Neuroscience Pipeline </w:t>
      </w:r>
    </w:p>
    <w:p>
      <w:pPr>
        <w:pStyle w:val="TextBody"/>
        <w:bidi w:val="0"/>
        <w:spacing w:before="120" w:after="0"/>
        <w:jc w:val="left"/>
        <w:rPr>
          <w:rFonts w:ascii="Times New Roman" w:hAnsi="Times New Roman"/>
          <w:sz w:val="20"/>
        </w:rPr>
      </w:pPr>
      <w:r>
        <w:rPr>
          <w:rFonts w:ascii="Times New Roman" w:hAnsi="Times New Roman"/>
          <w:sz w:val="20"/>
        </w:rPr>
        <w:t xml:space="preserve">We are building a broad pipeline of novel precision medicine candidates for neuropsychiatric disorders and neurodegenerative diseases, each with a targeted approach to development. Our precision neuroscience approach is flexible, and we are able to apply it in a modular fashion, which allows us to tailor our application to both internal or external programs and at any stage of development. We are leveraging multiple tools to develop strategies to identify enriched patient populations and are in the process of generating drug signatures and forming patient clusters for our pipeline programs. Our pipeline is comprised of seven programs, two of which are in clinical development and five of which are in preclinical development, as summarized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3707130" cy="210058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3707130" cy="210058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i/>
          <w:sz w:val="20"/>
        </w:rPr>
      </w:pPr>
      <w:r>
        <w:rPr>
          <w:rFonts w:ascii="Times New Roman" w:hAnsi="Times New Roman"/>
          <w:i/>
          <w:sz w:val="20"/>
        </w:rPr>
        <w:t xml:space="preserve">Figure 5: Neumora precision neuroscience pipeline </w:t>
      </w:r>
    </w:p>
    <w:p>
      <w:pPr>
        <w:pStyle w:val="TextBody"/>
        <w:bidi w:val="0"/>
        <w:spacing w:before="240" w:after="0"/>
        <w:jc w:val="left"/>
        <w:rPr>
          <w:rFonts w:ascii="Times New Roman" w:hAnsi="Times New Roman"/>
          <w:sz w:val="20"/>
        </w:rPr>
      </w:pPr>
      <w:r>
        <w:rPr>
          <w:rFonts w:ascii="Times New Roman" w:hAnsi="Times New Roman"/>
          <w:b/>
          <w:i/>
          <w:sz w:val="20"/>
        </w:rPr>
        <w:t>NMRA-140</w:t>
      </w:r>
      <w:r>
        <w:rPr>
          <w:rFonts w:ascii="Times New Roman" w:hAnsi="Times New Roman"/>
          <w:sz w:val="20"/>
        </w:rPr>
        <w:t xml:space="preserve"> is an investigational antagonist of KOR in development for the treatment of major depressive disorder (MDD), which is a chronic neuropsychiatric disorder with significant unmet need given that nearly 70% of MDD patients fail to achieve remission with first-line treatment. The KOR/dynorphin system is a well-characterized pathway known to modulate depressive-like states. The KOR antagonist mechanism has demonstrated potential as a treatment for MDD in a positive Phase 2 randomized, placebo-controlled trial of aticaprant as an adjunctive therapy for MDD. When we acquired BlackThorn Therapeutics, Inc. (BlackThorn) in September 2020, BlackThorn had initiated a Phase 2a clinical trial of BTRX-335140, now known as NMRA-140, in adult patients with MDD. This Phase 2a clinical trial was initiated as a double-blind, placebo-controlled, randomized trial of NMRA-140 in 120 patients. We subsequently modified the trial to generate a multimodal drug signature by increasing the enrollment to 204 patients and added additional digital tools to further augment and support our precision neuroscience approach. We have also developed a proprietary blood-based pharmacogenetic model of OPRK1 (the gene encoding KOR) expression, which we intend to apply to peripheral DNA samples collected from patients enrolled in the trial. We plan to leverage the multimodal drug signature generated from this trial to support future clinical development of NMRA-140. We anticipate topline results from the current trial will be available in                 . We co-own one of the patent families related to NMRA-140 with The Scripps Research Institute (TSRI) and have an exclusive license from TSRI for the other patent family. </w:t>
      </w:r>
    </w:p>
    <w:p>
      <w:pPr>
        <w:pStyle w:val="TextBody"/>
        <w:bidi w:val="0"/>
        <w:spacing w:before="240" w:after="0"/>
        <w:jc w:val="left"/>
        <w:rPr>
          <w:rFonts w:ascii="Times New Roman" w:hAnsi="Times New Roman"/>
          <w:sz w:val="20"/>
        </w:rPr>
      </w:pPr>
      <w:r>
        <w:rPr>
          <w:rFonts w:ascii="Times New Roman" w:hAnsi="Times New Roman"/>
          <w:b/>
          <w:i/>
          <w:sz w:val="20"/>
        </w:rPr>
        <w:t xml:space="preserve">NMRA-511 </w:t>
      </w:r>
      <w:r>
        <w:rPr>
          <w:rFonts w:ascii="Times New Roman" w:hAnsi="Times New Roman"/>
          <w:sz w:val="20"/>
        </w:rPr>
        <w:t xml:space="preserve">is an investigational antagonist of the vasopressin 1a receptor (V1aR). Vasopressin plays a role in the regulation of aggression, affiliation, stress and anxiety response. Based on our encouraging preclinical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findings in non-human primates as well as preclinical and clinical results from third parties, we believe V1aR has the potential to be a promising novel target for multiple neuropsychiatric disorders across the spectrum of anxiety, aggression and stress. We completed a Phase 1a clinical trial of NMRA-511 in February 2021 and are currently evaluating Phase 1b study designs with the goal of generating a drug signature for future clinical development. </w:t>
      </w:r>
    </w:p>
    <w:p>
      <w:pPr>
        <w:pStyle w:val="TextBody"/>
        <w:bidi w:val="0"/>
        <w:spacing w:before="240" w:after="0"/>
        <w:jc w:val="left"/>
        <w:rPr>
          <w:rFonts w:ascii="Times New Roman" w:hAnsi="Times New Roman"/>
          <w:sz w:val="20"/>
        </w:rPr>
      </w:pPr>
      <w:r>
        <w:rPr>
          <w:rFonts w:ascii="Times New Roman" w:hAnsi="Times New Roman"/>
          <w:b/>
          <w:i/>
          <w:sz w:val="20"/>
        </w:rPr>
        <w:t>NMRA-M4R is a positive allosteric modulator of the M4 muscarini</w:t>
      </w:r>
      <w:r>
        <w:rPr>
          <w:rFonts w:ascii="Times New Roman" w:hAnsi="Times New Roman"/>
          <w:b/>
          <w:sz w:val="20"/>
        </w:rPr>
        <w:t>c</w:t>
      </w:r>
      <w:r>
        <w:rPr>
          <w:rFonts w:ascii="Times New Roman" w:hAnsi="Times New Roman"/>
          <w:sz w:val="20"/>
        </w:rPr>
        <w:t xml:space="preserve"> </w:t>
      </w:r>
      <w:r>
        <w:rPr>
          <w:rFonts w:ascii="Times New Roman" w:hAnsi="Times New Roman"/>
          <w:b/>
          <w:i/>
          <w:sz w:val="20"/>
        </w:rPr>
        <w:t xml:space="preserve">receptor (M4R) for the treatment of schizophrenia. Our M4R positive allosteric modulator program is designed to be highly selective for the M4 receptor subtype of the muscarinic receptor family. Muscarinic receptor-targeting compounds have achieved clinical validation as an approach to treating schizophrenia, with potential to treat other neuropsychiatric disorders such as dementia-related psychosis and cognitive disorders, where innovation has been stagnant for decades. Selective M4R receptor positive allosteric modulators have the potential to deliver the antipsychotic efficacy associated with targeting this receptor subtype, while minimizing the side effects associated with current antipsychotics and other non-selective muscarinic agonists. We expect to initiate IND-enabling studies for our NMRA-M4R program in                 . We exclusively licensed certain intellectual property rights related to NMRA-M4R from Vanderbilt University. </w:t>
      </w:r>
    </w:p>
    <w:p>
      <w:pPr>
        <w:pStyle w:val="TextBody"/>
        <w:bidi w:val="0"/>
        <w:spacing w:before="240" w:after="0"/>
        <w:jc w:val="left"/>
        <w:rPr>
          <w:rFonts w:ascii="Times New Roman" w:hAnsi="Times New Roman"/>
          <w:sz w:val="20"/>
        </w:rPr>
      </w:pPr>
      <w:r>
        <w:rPr>
          <w:rFonts w:ascii="Times New Roman" w:hAnsi="Times New Roman"/>
          <w:b/>
          <w:i/>
          <w:sz w:val="20"/>
        </w:rPr>
        <w:t>NMRA-GRIN2A</w:t>
      </w:r>
      <w:r>
        <w:rPr>
          <w:rFonts w:ascii="Times New Roman" w:hAnsi="Times New Roman"/>
          <w:sz w:val="20"/>
        </w:rPr>
        <w:t xml:space="preserve"> is a GRIN2A positive allosteric modulator selective for the GluN2A receptor subunit of the N-methyl-D-aspartate (NMDA) receptor for the treatment of schizophrenia. Recent breakthroughs in genome-wide association studies have provided genetic evidence in support of the role of GRIN2A in schizophrenia, including a study showing GRIN2A as one of the highest risk genes for schizophrenia, providing genetic support for the dysregulation of glutamatergic signaling as a possible mechanism of disease. Furthermore, human studies suggest NMDA receptor antagonists (e.g., ketamine) lead to a schizophrenia-like syndrome, which provides compelling evidence for this target. Our NMRA-GRIN2A program is in the preclinical phase of development. </w:t>
      </w:r>
    </w:p>
    <w:p>
      <w:pPr>
        <w:pStyle w:val="TextBody"/>
        <w:bidi w:val="0"/>
        <w:spacing w:before="240" w:after="0"/>
        <w:jc w:val="left"/>
        <w:rPr>
          <w:rFonts w:ascii="Times New Roman" w:hAnsi="Times New Roman"/>
          <w:sz w:val="20"/>
        </w:rPr>
      </w:pPr>
      <w:r>
        <w:rPr>
          <w:rFonts w:ascii="Times New Roman" w:hAnsi="Times New Roman"/>
          <w:b/>
          <w:i/>
          <w:sz w:val="20"/>
        </w:rPr>
        <w:t xml:space="preserve">NMRA-NLRP3 </w:t>
      </w:r>
      <w:r>
        <w:rPr>
          <w:rFonts w:ascii="Times New Roman" w:hAnsi="Times New Roman"/>
          <w:sz w:val="20"/>
        </w:rPr>
        <w:t xml:space="preserve">is an inhibitor program focused on targeting the NLRP3 inflammasome for the treatment of certain neurodegenerative conditions. The inflammasome is a critical part of the innate immune system that responds to pathogens and cellular damage and is implicated in brain disorders, such as Parkinsons disease (PD), as well as immune disorders. The NLRP3 inflammasome can be activated in brain microglia, a type of cell in the brain, and other cell types by a range of proteins linked to neurodegeneration, including alpha-synuclein (a neuronal protein that regulates synaptic vesicle trafficking), which suggests the inflammasome may have a mechanistic role in PD. Our NMRA-NLRP3 program is in the preclinical phase of development. </w:t>
      </w:r>
    </w:p>
    <w:p>
      <w:pPr>
        <w:pStyle w:val="TextBody"/>
        <w:bidi w:val="0"/>
        <w:spacing w:before="240" w:after="0"/>
        <w:jc w:val="left"/>
        <w:rPr>
          <w:rFonts w:ascii="Times New Roman" w:hAnsi="Times New Roman"/>
          <w:sz w:val="20"/>
        </w:rPr>
      </w:pPr>
      <w:r>
        <w:rPr>
          <w:rFonts w:ascii="Times New Roman" w:hAnsi="Times New Roman"/>
          <w:b/>
          <w:i/>
          <w:sz w:val="20"/>
        </w:rPr>
        <w:t>NMRA-CK1</w:t>
      </w:r>
      <w:r>
        <w:rPr>
          <w:rFonts w:ascii="SYMBOL" w:hAnsi="SYMBOL"/>
          <w:sz w:val="16"/>
        </w:rPr>
        <w:t>d</w:t>
      </w:r>
      <w:r>
        <w:rPr>
          <w:rFonts w:ascii="Times New Roman" w:hAnsi="Times New Roman"/>
          <w:sz w:val="20"/>
        </w:rPr>
        <w:t xml:space="preserve"> is a CK1</w:t>
      </w:r>
      <w:r>
        <w:rPr>
          <w:rFonts w:ascii="SYMBOL" w:hAnsi="SYMBOL"/>
          <w:sz w:val="20"/>
        </w:rPr>
        <w:t>d</w:t>
      </w:r>
      <w:r>
        <w:rPr>
          <w:rFonts w:ascii="Times New Roman" w:hAnsi="Times New Roman"/>
          <w:sz w:val="20"/>
        </w:rPr>
        <w:t xml:space="preserve"> inhibitor program that we intend to develop for amyotrophic lateral sclerosis (ALS). CK1</w:t>
      </w:r>
      <w:r>
        <w:rPr>
          <w:rFonts w:ascii="SYMBOL" w:hAnsi="SYMBOL"/>
          <w:sz w:val="20"/>
        </w:rPr>
        <w:t>d</w:t>
      </w:r>
      <w:r>
        <w:rPr>
          <w:rFonts w:ascii="Times New Roman" w:hAnsi="Times New Roman"/>
          <w:sz w:val="20"/>
        </w:rPr>
        <w:t xml:space="preserve"> is a kinase that has been identified as a conductor of the process known as phosphorylation, which is the addition of a phosphate group to a molecule, in a protein component known as TDP-43 that is closely linked to ALS. Phosphorylation is a key driver of TDP-43-driven pathology in approximately 95% of sporadic ALS cases. There is also genetic evidence linking TDP-43 to both familial and sporadic ALS. Our NMRA-CK1</w:t>
      </w:r>
      <w:r>
        <w:rPr>
          <w:rFonts w:ascii="SYMBOL" w:hAnsi="SYMBOL"/>
          <w:sz w:val="20"/>
        </w:rPr>
        <w:t>d</w:t>
      </w:r>
      <w:r>
        <w:rPr>
          <w:rFonts w:ascii="Times New Roman" w:hAnsi="Times New Roman"/>
          <w:sz w:val="20"/>
        </w:rPr>
        <w:t xml:space="preserve"> program is in the preclinical phase of development, and we may seek to identify other potential Precision Phenotypes associated with TDP-43-driven pathologies beyond ALS. We exclusively licensed certain intellectual property rights related to NMRA-CK1</w:t>
      </w:r>
      <w:r>
        <w:rPr>
          <w:rFonts w:ascii="SYMBOL" w:hAnsi="SYMBOL"/>
          <w:sz w:val="20"/>
        </w:rPr>
        <w:t>d</w:t>
      </w:r>
      <w:r>
        <w:rPr>
          <w:rFonts w:ascii="Times New Roman" w:hAnsi="Times New Roman"/>
          <w:sz w:val="20"/>
        </w:rPr>
        <w:t xml:space="preserve"> from Amgen Inc. (Amgen). </w:t>
      </w:r>
    </w:p>
    <w:p>
      <w:pPr>
        <w:pStyle w:val="TextBody"/>
        <w:bidi w:val="0"/>
        <w:spacing w:before="240" w:after="0"/>
        <w:jc w:val="left"/>
        <w:rPr>
          <w:rFonts w:ascii="Times New Roman" w:hAnsi="Times New Roman"/>
          <w:sz w:val="20"/>
        </w:rPr>
      </w:pPr>
      <w:r>
        <w:rPr>
          <w:rFonts w:ascii="Times New Roman" w:hAnsi="Times New Roman"/>
          <w:b/>
          <w:i/>
          <w:sz w:val="20"/>
        </w:rPr>
        <w:t xml:space="preserve">NMRA-GCase </w:t>
      </w:r>
      <w:r>
        <w:rPr>
          <w:rFonts w:ascii="Times New Roman" w:hAnsi="Times New Roman"/>
          <w:sz w:val="20"/>
        </w:rPr>
        <w:t xml:space="preserve">is an activator program focused on elevating the activity of the enzyme glucocerebrocidase (GCase) that we intend to develop for the treatment of PD. Mutations in the GBA gene, which codes for the enzyme GCase, are the single largest genetic risk factor for PD. GCase deficiencies lead to storage disorders of the lysosome, which plays an important role in maintaining cellular balance, and a group of patients with PD have lysosomal dysfunction. Our NMRA-GCase program is in the preclinical phase of development. We exclusively licensed certain intellectual property rights related to NMRA-GCase from Amgen. </w:t>
      </w:r>
    </w:p>
    <w:p>
      <w:pPr>
        <w:pStyle w:val="TextBody"/>
        <w:bidi w:val="0"/>
        <w:spacing w:before="360" w:after="0"/>
        <w:jc w:val="left"/>
        <w:rPr>
          <w:rFonts w:ascii="Times New Roman" w:hAnsi="Times New Roman"/>
          <w:b/>
          <w:sz w:val="20"/>
        </w:rPr>
      </w:pPr>
      <w:r>
        <w:rPr>
          <w:rFonts w:ascii="Times New Roman" w:hAnsi="Times New Roman"/>
          <w:b/>
          <w:sz w:val="20"/>
        </w:rPr>
        <w:t xml:space="preserve">Our Team and Investors </w:t>
      </w:r>
    </w:p>
    <w:p>
      <w:pPr>
        <w:pStyle w:val="TextBody"/>
        <w:bidi w:val="0"/>
        <w:spacing w:before="120" w:after="0"/>
        <w:jc w:val="left"/>
        <w:rPr>
          <w:rFonts w:ascii="Times New Roman" w:hAnsi="Times New Roman"/>
          <w:sz w:val="20"/>
        </w:rPr>
      </w:pPr>
      <w:r>
        <w:rPr>
          <w:rFonts w:ascii="Times New Roman" w:hAnsi="Times New Roman"/>
          <w:sz w:val="20"/>
        </w:rPr>
        <w:t xml:space="preserve">Our people are the backbone of the company and our most important asset. We have assembled a diverse team of experienced company builders, leading neuroscience drug developers and data scientists, complemented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world-class scientific and technical advisors and an experienced board of directors and syndicate of investors. This group shares a long-term vision to position us to execute on our mission to build a precision neuroscience company that is fundamentally shifting the approach to discovering and developing therapeutics for brain diseases.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Experienced Company Builders.</w:t>
            </w:r>
            <w:r>
              <w:rPr>
                <w:rFonts w:ascii="Times New Roman" w:hAnsi="Times New Roman"/>
                <w:sz w:val="20"/>
              </w:rPr>
              <w:t xml:space="preserve"> We have multiple individuals with experience building disruptive biotechnology companies. Our Co-Founder, Chief Executive Officer and Chairman of our board of directors, Paul Berns, is a Managing Director at ARCH Venture Partners and was previously the President, Chief Executive Officer and Chairman of the Board of Anacor Pharmaceuticals, acquired by Pfizer in 2016. Carol Suh, our Co-Founder and Senior Vice President of Strategy, is a Partner at ARCH Venture Partners and has built a number of biotechnology companies. Dr. Joshua Pinto serves as our Chief Financial Officer and, from his time as an investment banker at Credit Suisse, has experience advising leading biotechnology companies across their life cycles.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Leading Neuroscience Drug Developers.</w:t>
            </w:r>
            <w:r>
              <w:rPr>
                <w:rFonts w:ascii="Times New Roman" w:hAnsi="Times New Roman"/>
                <w:sz w:val="20"/>
              </w:rPr>
              <w:t xml:space="preserve"> Our scientific leadership team includes world-class scientists with extensive neuroscience drug development experience. Dr. John Dunlop, our Head of Research &amp; Development, previously served as Vice President at Amgen, where he led the neuroscience research program, and prior to that was the Vice President and Head of Neuroscience at AstraZeneca and Pfizer. Dr. Nick Brandon, our Chief Scientific Officer, previously served as Chief Scientist of AstraZenecas Neuroscience Innovative Medicines and Early Development Division, as well as Head of Psychiatry and Behavioral Disorders for a period that bridged the Wyeth and Pfizer Neuroscience organizations. Our Chief Medical Officer, Dr. Jane Tiller held several positions at Bristol Myers Squibb including Vice President of Global Medical for Neuroscience, Virology &amp; Immunoscience. Prior to that, Dr. Tiller served as Vice President of Neuroscience and Pain at Cephalon. Dr. Bill Aurora, our Chief Corporate Affairs Officer, previously served as Chief Scientific Affairs Officer of Dermira, Inc. and held medical and scientific affairs leadership roles at Neurocrine Biosciences, Merck Research Laboratories and Amgen.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Expert Data Scientists.</w:t>
            </w:r>
            <w:r>
              <w:rPr>
                <w:rFonts w:ascii="Times New Roman" w:hAnsi="Times New Roman"/>
                <w:sz w:val="20"/>
              </w:rPr>
              <w:t xml:space="preserve"> Our Chief Data Sciences Officer, Dr. John Reynders, leads our team of data scientists. Dr. Reynders is an experienced data scientist with over two decades of experience in computational science and its integration in the drug development process. He has served as Vice President of Data Science, Genomics and Bioinformatics at Alexion Pharmaceuticals, Founding Chief Information Officer at Moderna Therapeutics and Head of Neuroscience Biomarkers and Integrative Solutions at Johnson &amp; Johnson. Our Vice President, Head of Data Sciences, Dr. Andrew Jaffe, is a leader in the field of computational neurogenetics and was previously an associate professor at Johns Hopkins University.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Scientific and Technical Advisory Boards.</w:t>
            </w:r>
            <w:r>
              <w:rPr>
                <w:rFonts w:ascii="Times New Roman" w:hAnsi="Times New Roman"/>
                <w:sz w:val="20"/>
              </w:rPr>
              <w:t xml:space="preserve"> We have built a scientific advisory board with research and drug development expertise spanning molecular genetics, neurobiology, molecular cell biology, neural circuitry, medicinal chemistry, translational medicine and the development of statistical methodologies across a broad spectrum of neuropsychiatric disorders and neurodegenerative diseases. We have also established a technical advisory board with expertise that includes computational and cognitive neuroscience, brain behavior mapping, the identification of biomarkers and treatment response, and the application of data science, AI/ML and digital tools to the development and delivery of therapeutics.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Board of Directors and Investors with Shared Long-Term Vision.</w:t>
            </w:r>
            <w:r>
              <w:rPr>
                <w:rFonts w:ascii="Times New Roman" w:hAnsi="Times New Roman"/>
                <w:sz w:val="20"/>
              </w:rPr>
              <w:t xml:space="preserve"> Our board of directors is comprised of renowned company builders, operators, leaders, scientists, drug developers and investors with experience across a diverse array of companies.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Strategy </w:t>
      </w:r>
    </w:p>
    <w:p>
      <w:pPr>
        <w:pStyle w:val="TextBody"/>
        <w:bidi w:val="0"/>
        <w:spacing w:before="120" w:after="0"/>
        <w:jc w:val="left"/>
        <w:rPr>
          <w:rFonts w:ascii="Times New Roman" w:hAnsi="Times New Roman"/>
          <w:sz w:val="20"/>
        </w:rPr>
      </w:pPr>
      <w:r>
        <w:rPr>
          <w:rFonts w:ascii="Times New Roman" w:hAnsi="Times New Roman"/>
          <w:sz w:val="20"/>
        </w:rPr>
        <w:t xml:space="preserve">We are taking a fundamentally different approach to the way treatments for brain diseases are developed across neuropsychiatric disorders and neurodegenerative diseases. Our mission is to usher in a new era of precision neuroscience to transform care for patients and families affected by these diseases. The key components of our business strategy to deliver on our mission are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Build a leading global precision neuroscience company to revolutionize the treatment of brain diseases.</w:t>
            </w:r>
            <w:r>
              <w:rPr>
                <w:rFonts w:ascii="Times New Roman" w:hAnsi="Times New Roman"/>
                <w:sz w:val="20"/>
              </w:rPr>
              <w:t xml:space="preserve"> We founded Neumora to pioneer a new era of precision neuroscience medicines that aims to improve the standard of care for patients with brain diseases. By leveraging our precision approach, including our proprietary data sciences and translational neuroscience capabilities, we are advancing a pipeline of product candidates for large, underserved patient populations with neuropsychiatric disorders and neurodegenerative diseases. We plan to supplement our current pipeline through strategic transactions and business development, and, as our pipeline and capabilities mature over time, become the partner of choice for neuroscience-focused companies. Our company is being built to operate at scale, and we will continue to invest in our technology and infrastructure to support our goal of driving global impact for patients, families and communities affected by brain diseases.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Leverage our Precision Toolbox of data science capabilities and translational neuroscience tools and methods to generate Precision Phenotypes.</w:t>
            </w:r>
            <w:r>
              <w:rPr>
                <w:rFonts w:ascii="Times New Roman" w:hAnsi="Times New Roman"/>
                <w:sz w:val="20"/>
              </w:rPr>
              <w:t xml:space="preserve"> Our scalable precision neuroscience platform enables us to generate unique insights from multimodal data to identify drug signatures and patient clusters to define Precision Phenotypes, or targeted patient populations. These Precision Phenotypes will serve as a proprietary roadmap that we can use to match the right patients to the right targeted therapeutics across neuropsychiatric disorders and neurodegenerative diseases.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Build an industry-leading pipeline of precision neuroscience therapeutics.</w:t>
            </w:r>
            <w:r>
              <w:rPr>
                <w:rFonts w:ascii="Times New Roman" w:hAnsi="Times New Roman"/>
                <w:sz w:val="20"/>
              </w:rPr>
              <w:t xml:space="preserve"> We have rapidly scaled a pipeline that includes seven programs across clinical and preclinical development though our internal discovery and external business development efforts. We are applying our precision neuroscience approach to each program to improve the rate of clinical development success.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Continually evaluate strategic external opportunities to maximize our patient impact.</w:t>
            </w:r>
            <w:r>
              <w:rPr>
                <w:rFonts w:ascii="Times New Roman" w:hAnsi="Times New Roman"/>
                <w:sz w:val="20"/>
              </w:rPr>
              <w:t xml:space="preserve"> To maximize the value of our precision neuroscience approach, we will not be constrained solely to the development of internally discovered assets. We believe our approach has the potential to identify Precision Phenotypes that may be applicable to partnered programs. We will continue to actively evaluate in- and out-licensing opportunities, strategic collaborations and corporate acquisitions to optimize our product pipeline, enhance our data science platform to pioneer a new era of precision neuroscience medicines for patients. To further our goal of delivering transformative therapies to the broadest possible patient population, we intend to become a global, fully integrated precision neuroscience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Further enhance our intellectual property portfolio to protect our precision neuroscience platform by covering our molecules, AI/ML methods and Precision Phenotypes. </w:t>
            </w:r>
            <w:r>
              <w:rPr>
                <w:rFonts w:ascii="Times New Roman" w:hAnsi="Times New Roman"/>
                <w:sz w:val="20"/>
              </w:rPr>
              <w:t xml:space="preserve">Our intellectual property estate is broad and multi-faceted. Our molecule patents include composition of matter and method of treatment patents that span a diverse set of targets and indications. Our AI/ML patents cover key artificial intelligence algorithms and machine learning-based processes for discovering, diagnosing and monitoring Precision Phenotypes from multimodal data. Our Precision Phenotypes are protected by biomarker patents that cover methods of diagnosing and treating the relevant patients with our molecules, which uniquely extends and enhances the patent lifecycle for our programs.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company has been purpose-built at scale to achieve our ambitious mission of changing the paradigm for developing treatments for diseases of the brain. We intend to continue to invest at scale in our platform, our people and our programs to achieve our goal of building a global, fully integrated precision neuroscience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Industry Background and Historical Challenges </w:t>
      </w:r>
    </w:p>
    <w:p>
      <w:pPr>
        <w:pStyle w:val="TextBody"/>
        <w:bidi w:val="0"/>
        <w:spacing w:before="120" w:after="0"/>
        <w:jc w:val="left"/>
        <w:rPr>
          <w:rFonts w:ascii="Times New Roman" w:hAnsi="Times New Roman"/>
          <w:sz w:val="20"/>
        </w:rPr>
      </w:pPr>
      <w:r>
        <w:rPr>
          <w:rFonts w:ascii="Times New Roman" w:hAnsi="Times New Roman"/>
          <w:sz w:val="20"/>
        </w:rPr>
        <w:t xml:space="preserve">The market for therapeutics for brain diseases is large, accounting for more than $80 billion in worldwide revenue in 2020. However, approximately half of the patient population suffering from brain diseases remains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underserved due to poor efficacy and side-effect profiles of existing therapeutics. For example, depression is an underserved neuropsychiatric disorder that is estimated to affect 5% of the global adult population. Approximately 70% of major depressive disorder patients fail to achieve remission with first-line treatment, leading to devastating effects in the quality of life of these patients and their families. </w:t>
      </w:r>
    </w:p>
    <w:p>
      <w:pPr>
        <w:pStyle w:val="TextBody"/>
        <w:bidi w:val="0"/>
        <w:spacing w:before="240" w:after="0"/>
        <w:jc w:val="left"/>
        <w:rPr>
          <w:rFonts w:ascii="Times New Roman" w:hAnsi="Times New Roman"/>
          <w:sz w:val="20"/>
        </w:rPr>
      </w:pPr>
      <w:r>
        <w:rPr>
          <w:rFonts w:ascii="Times New Roman" w:hAnsi="Times New Roman"/>
          <w:sz w:val="20"/>
        </w:rPr>
        <w:t xml:space="preserve">The human brain is complex  it possesses a large number of cell types and has diverse signaling pathways and intricate neural circuitry  factors that make it challenging to gain a deep understanding of the underlying drivers of brain disease. Historical and current attempts at developing effective therapeutics for brain diseases have been focused on targeting patients who are classified by broad symptomatic domains. This all comers approach ignores the reality that different causal mechanisms may relate to the same brain disease  which we refer to as the heterogeneity problem. This paradigm has made the process of choosing, measuring and interpreting clinical endpoints with the most relevance difficult. The challenge is exacerbated during later stages of clinical development as therapies advance into larger trials which are lengthy and costly. </w:t>
      </w:r>
    </w:p>
    <w:p>
      <w:pPr>
        <w:pStyle w:val="TextBody"/>
        <w:bidi w:val="0"/>
        <w:spacing w:before="240" w:after="0"/>
        <w:jc w:val="left"/>
        <w:rPr>
          <w:rFonts w:ascii="Times New Roman" w:hAnsi="Times New Roman"/>
          <w:sz w:val="20"/>
        </w:rPr>
      </w:pPr>
      <w:r>
        <w:rPr>
          <w:rFonts w:ascii="Times New Roman" w:hAnsi="Times New Roman"/>
          <w:sz w:val="20"/>
        </w:rPr>
        <w:t xml:space="preserve">The heterogeneity problem affecting brain diseases has contributed to high clinical failure rates in this field. Additionally, from 2006 to 2015, clinical trial success rates for new drug candidates targeting broad neuropsychiatric disorders and other neuro-related diseases were approximately 6% and 8%, respectively, compared to success rates as high as 26% for targeted approaches in certain other indications. </w:t>
      </w:r>
    </w:p>
    <w:p>
      <w:pPr>
        <w:pStyle w:val="TextBody"/>
        <w:bidi w:val="0"/>
        <w:spacing w:before="240" w:after="0"/>
        <w:jc w:val="left"/>
        <w:rPr>
          <w:rFonts w:ascii="Times New Roman" w:hAnsi="Times New Roman"/>
          <w:sz w:val="20"/>
        </w:rPr>
      </w:pPr>
      <w:r>
        <w:rPr>
          <w:rFonts w:ascii="Times New Roman" w:hAnsi="Times New Roman"/>
          <w:sz w:val="20"/>
        </w:rPr>
        <w:t xml:space="preserve">While the patient heterogeneity problem is not confined to brain diseases, other therapeutic areas, such as oncology, have developed data-driven, precision medicine approaches to enrich for homogeneous patient populations (e.g., tissue biopsies), which are not practical for brain diseases. The inability to enrich for homogeneous cohorts of patients has led to high failure rates, large trials, and long timelines relative to other therapeutic areas. To address this challenge in neuroscience drug development and recapitulate the data-driven success we have seen in other therapeutic areas, a precision medicine approach is needed. </w:t>
      </w:r>
    </w:p>
    <w:p>
      <w:pPr>
        <w:pStyle w:val="TextBody"/>
        <w:bidi w:val="0"/>
        <w:spacing w:before="360" w:after="0"/>
        <w:jc w:val="left"/>
        <w:rPr>
          <w:rFonts w:ascii="Times New Roman" w:hAnsi="Times New Roman"/>
          <w:b/>
          <w:sz w:val="20"/>
        </w:rPr>
      </w:pPr>
      <w:r>
        <w:rPr>
          <w:rFonts w:ascii="Times New Roman" w:hAnsi="Times New Roman"/>
          <w:b/>
          <w:sz w:val="20"/>
        </w:rPr>
        <w:t xml:space="preserve">Our Precision Neuroscience Approach </w:t>
      </w:r>
    </w:p>
    <w:p>
      <w:pPr>
        <w:pStyle w:val="TextBody"/>
        <w:bidi w:val="0"/>
        <w:spacing w:before="120" w:after="0"/>
        <w:jc w:val="left"/>
        <w:rPr>
          <w:rFonts w:ascii="Times New Roman" w:hAnsi="Times New Roman"/>
          <w:sz w:val="20"/>
        </w:rPr>
      </w:pPr>
      <w:r>
        <w:rPr>
          <w:rFonts w:ascii="Times New Roman" w:hAnsi="Times New Roman"/>
          <w:sz w:val="20"/>
        </w:rPr>
        <w:t xml:space="preserve">We are taking a data-driven precision neuroscience approach to match the right patients to the right targeted therapeutics. Our approach is powered by our Precision Toolbox comprised of translational tools, unimodal features and multimodal methods that we leverage to develop strategies to identify enriched patient populations, which we refer to as Precision Phenotypes. Precision Phenotypes are defined by common characteristics, which can include biological and/or clinical measures, and serve as guides to match the right patients to the right targeted therapeutics. To our knowledge, we are the only company applying this multimodal approach, which we believe has the potential to redefine neuroscience research and development, with the promise of potentially improving clinical development success rates and creating more therapeutics to address the global brain crisis.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precision neuroscience approach utilizes three techniques to match the right patients to the right targeted therapeutics and enable patient enrichment.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493395" cy="34925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493395" cy="34925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i/>
          <w:sz w:val="20"/>
        </w:rPr>
      </w:pPr>
      <w:r>
        <w:rPr>
          <w:rFonts w:ascii="Times New Roman" w:hAnsi="Times New Roman"/>
          <w:i/>
          <w:sz w:val="20"/>
        </w:rPr>
        <w:t xml:space="preserve">Figure 6: Neumoras precision neuroscience approaches to enable patient enrichment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Drug Signature Generation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Through a process we refer to as drug signature generation, we characterize the therapeutic profiles of drug candidates in order to better inform clinical development strategies within each development program. To generation a drug signature, we use both translational tools and unimodal features from our Precision Toolbox to predict the therapeutic effect a drug candidate will have on biological and behavioral measures. We believe the characterization of these therapeutic profiles will support the identification of Precision Phenotypes to inform inclusion and exclusion criteria and clinical trial design and achieve targeted patient enrichment. </w:t>
      </w:r>
    </w:p>
    <w:p>
      <w:pPr>
        <w:pStyle w:val="TextBody"/>
        <w:bidi w:val="0"/>
        <w:spacing w:before="120" w:after="0"/>
        <w:jc w:val="left"/>
        <w:rPr>
          <w:rFonts w:ascii="Times New Roman" w:hAnsi="Times New Roman"/>
          <w:sz w:val="20"/>
        </w:rPr>
      </w:pPr>
      <w:r>
        <w:rPr>
          <w:rFonts w:ascii="Times New Roman" w:hAnsi="Times New Roman"/>
          <w:sz w:val="20"/>
        </w:rPr>
        <w:t xml:space="preserve">We are focused on generating drug signatures across all programs in our development pipeline, utilizing both clinical and preclinical studies to generate translational data to inform Precision Phenotypes.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Cluster 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patient cluster formation approach is focused on integrating longitudinal, multimodal patient data to form patient groups with shared features and characteristics, which we refer to as patient clusters. Our data science platform integrates libraries of patient datasets using proprietary AI/ML tools to create compact, multimodal representations of multiple features of a disease, such as genetics, phenotypes and behavior, that highlight the most important factors of differentiation of each patient. We refer to these multimodal representations as Data Biopsy Signatures. We then use specific algorithms to group the Data Biopsy Signatures from each patient to create groups of homogeneous patient clusters which can inform Precision Phenotype identification and be used as a basis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enrichment. To date, we have onboarded a library of multimodal datasets encompassing billions of datapoints across multiple modalities. </w:t>
      </w:r>
    </w:p>
    <w:p>
      <w:pPr>
        <w:pStyle w:val="TextBody"/>
        <w:bidi w:val="0"/>
        <w:spacing w:before="120" w:after="0"/>
        <w:jc w:val="left"/>
        <w:rPr>
          <w:rFonts w:ascii="Times New Roman" w:hAnsi="Times New Roman"/>
          <w:sz w:val="20"/>
        </w:rPr>
      </w:pPr>
      <w:r>
        <w:rPr>
          <w:rFonts w:ascii="Times New Roman" w:hAnsi="Times New Roman"/>
          <w:sz w:val="20"/>
        </w:rPr>
        <w:t xml:space="preserve">We are initially focused on generating patient clusters across our schizophrenia, ALS and Parkinsons disease development programs.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Alignment of Patient Clusters with Drug Signature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alignment approach is focused on matching features of a drug signature with the optimal set of patient clusters to form a Precision Phenotype as a basis for predictive enrichment. The process of aligning a compound-specific drug signature with patient clusters leverages all aspects of our Precision Toolbox.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Precision Toolbox </w:t>
      </w:r>
    </w:p>
    <w:p>
      <w:pPr>
        <w:pStyle w:val="TextBody"/>
        <w:bidi w:val="0"/>
        <w:spacing w:before="120" w:after="0"/>
        <w:jc w:val="left"/>
        <w:rPr>
          <w:rFonts w:ascii="Times New Roman" w:hAnsi="Times New Roman"/>
          <w:sz w:val="20"/>
        </w:rPr>
      </w:pPr>
      <w:r>
        <w:rPr>
          <w:rFonts w:ascii="Times New Roman" w:hAnsi="Times New Roman"/>
          <w:sz w:val="20"/>
        </w:rPr>
        <w:t xml:space="preserve">Our precision neuroscience approach is enabled by our Precision Toolbox, which integrates a suite of proprietary and advanced data science and translational neuroscience tools and methods. This Precision Toolbox is designed to be dynamic and provide modular flexibility across our three approaches, development programs and disease indications, allowing us to tailor our strategies on a program-by-program basis. </w:t>
      </w:r>
    </w:p>
    <w:p>
      <w:pPr>
        <w:pStyle w:val="TextBody"/>
        <w:bidi w:val="0"/>
        <w:spacing w:before="240" w:after="0"/>
        <w:jc w:val="left"/>
        <w:rPr>
          <w:rFonts w:ascii="Times New Roman" w:hAnsi="Times New Roman"/>
          <w:sz w:val="20"/>
        </w:rPr>
      </w:pPr>
      <w:r>
        <w:rPr>
          <w:rFonts w:ascii="Times New Roman" w:hAnsi="Times New Roman"/>
          <w:sz w:val="20"/>
        </w:rPr>
        <w:t xml:space="preserve">To support our Precision Toolbox, we have assembled a cloud-driven technology stack that is purpose-built to enable the unimodal and multimodal components of our platform. The technology stack we built enables fast and flexible scaling of storage and compute resources to manage the complex flow of modeling and analytics required through all stages of our precision neuroscience platform. By leveraging cloud solutions, we can provision super-computer scale throughput, including hardware acceleration of neural network methods, and integrate these systems with high-performance data storage systems, all on-demand. This enables a balance of high-throughput and cost-effective computation to drive our precision platform and its application across multiple programs and projects. </w:t>
      </w:r>
    </w:p>
    <w:p>
      <w:pPr>
        <w:pStyle w:val="TextBody"/>
        <w:bidi w:val="0"/>
        <w:spacing w:before="0" w:after="0"/>
        <w:jc w:val="left"/>
        <w:rPr/>
      </w:pPr>
      <w:r>
        <w:rPr/>
        <w:t> </w:t>
      </w:r>
    </w:p>
    <w:p>
      <w:pPr>
        <w:pStyle w:val="TextBody"/>
        <w:bidi w:val="0"/>
        <w:spacing w:before="0" w:after="0"/>
        <w:jc w:val="left"/>
        <w:rPr/>
      </w:pPr>
      <w:r>
        <w:rPr/>
        <w:drawing>
          <wp:inline distT="0" distB="0" distL="0" distR="0">
            <wp:extent cx="565150" cy="331470"/>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565150" cy="3314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7: Neumoras Precision Toolbox and Technology Stack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Drug Signature Generation </w:t>
      </w:r>
    </w:p>
    <w:p>
      <w:pPr>
        <w:pStyle w:val="TextBody"/>
        <w:bidi w:val="0"/>
        <w:spacing w:before="120" w:after="0"/>
        <w:jc w:val="left"/>
        <w:rPr>
          <w:rFonts w:ascii="Times New Roman" w:hAnsi="Times New Roman"/>
          <w:sz w:val="20"/>
        </w:rPr>
      </w:pPr>
      <w:r>
        <w:rPr>
          <w:rFonts w:ascii="Times New Roman" w:hAnsi="Times New Roman"/>
          <w:sz w:val="20"/>
        </w:rPr>
        <w:t xml:space="preserve">For our drug signature generation approach, we characterize the therapeutic profiles of our drug candidates using clinical and/or preclinical data. This process leverages both translational tools and the unimodal computational framework in our Precision Toolbox based on individual program requirements. Examples of translational tools include the use of circuitry measures of neural activity, such as the use of EEG or functional magnetic resonance imaging (fMRI) to characterize a drug candidates effect on measures of brain activity. We have developed in-house human iPSC-derived models to study disease-relevant phenotypes and identify genes and pathways impacted by specific drug candidate treatment and we are leveraging proteomics to corroborate and/or contrast transcriptome changes to characterize compound-specific signatures. By characterizing a drug candidates therapeutic profile, we believe we can inform Precision Phenotype identification which will improve our clinical development success by informing inclusion/exclusion criteria, clinical trial design and targeted patient enrichment.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Leveraging our Proprietary Data Science Platform for Patient Cluster Formation </w:t>
      </w:r>
    </w:p>
    <w:p>
      <w:pPr>
        <w:pStyle w:val="TextBody"/>
        <w:bidi w:val="0"/>
        <w:spacing w:before="120" w:after="0"/>
        <w:jc w:val="left"/>
        <w:rPr>
          <w:rFonts w:ascii="Times New Roman" w:hAnsi="Times New Roman"/>
          <w:sz w:val="20"/>
        </w:rPr>
      </w:pPr>
      <w:r>
        <w:rPr>
          <w:rFonts w:ascii="Times New Roman" w:hAnsi="Times New Roman"/>
          <w:sz w:val="20"/>
        </w:rPr>
        <w:t xml:space="preserve">We have built a data science platform that leverages proprietary AI/ML methods supported by our robust technology stack to integrate rich patient dataset libraries and transform multiple modalities of data into clinically relevant homogenous patient clusters. We are leveraging a suite of tools and methods from our Precision Toolbox, supported by a cloud-enabled infrastructure that is the backbone for our approach, and has been built to support analytics across all of our programs. The infrastructure utilizes proprietary unimodal feature engineering algorithms and proprietary multimodal AI/ML methods that include integration, clustering, and end-to-end optimization capabilities that are supported by our technology stack. To date, we have logged over 1.7 million super-computing hours across our projects, with over 700 terabytes of data onboarded, all within brain diseases, and over 100 billion genetic-molecular associations, demonstrating the scale of our infrastructure and capabilities. </w:t>
      </w:r>
    </w:p>
    <w:p>
      <w:pPr>
        <w:pStyle w:val="TextBody"/>
        <w:bidi w:val="0"/>
        <w:spacing w:before="240" w:after="0"/>
        <w:jc w:val="left"/>
        <w:rPr>
          <w:rFonts w:ascii="Times New Roman" w:hAnsi="Times New Roman"/>
          <w:sz w:val="20"/>
        </w:rPr>
      </w:pPr>
      <w:r>
        <w:rPr>
          <w:rFonts w:ascii="Times New Roman" w:hAnsi="Times New Roman"/>
          <w:sz w:val="20"/>
        </w:rPr>
        <w:t xml:space="preserve">Our approach starts with the collection and ingestion, or onboarding, of multimodal patient datasets. Multimodal data means multiple types of data, which currently includes genomic, imaging, EEG, digital and clinical data collected from both single patients and unique cohorts of patients. We believe that multimodal data is critical for precision neuroscience because it enables us to use multiple lenses of data and insights to cut through the complexity of brain diseases. Interrogating multiple types of data and linking disparate modes of systems-level and patient-level data, provide more opportunities to identify distinct characteristics that define patient groups. This enables a more comprehensive and precise understanding of the distinct disease drivers of that patient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built proprietary unimodal feature engineering algorithms with an initial focus on genetic, imaging, EEG, digital and clinical data modalities. In this step, we design features for each modality best able to discern clinically relevant differences in patient populations. The feature engineering algorithms prepare and optimize the features for multimodal AI/ML analysis. We have built proprietary AI/ML capabilities to integrate the unimodal features extracted through the feature engineering process into a compact, multimodal representation that integrates clinical and biological information across multiple data modalities for each patient, which we refer to as Data Biopsy Signatures. We use hypothesis-free, unsupervised AI/ML methods to enable the data to assign these patients into homogeneous groups, or patient clusters, of the broader heterogeneous population in an unbiased way. </w:t>
      </w:r>
    </w:p>
    <w:p>
      <w:pPr>
        <w:pStyle w:val="TextBody"/>
        <w:bidi w:val="0"/>
        <w:spacing w:before="0" w:after="0"/>
        <w:jc w:val="center"/>
        <w:rPr/>
      </w:pPr>
      <w:r>
        <w:rPr/>
        <w:drawing>
          <wp:inline distT="0" distB="0" distL="0" distR="0">
            <wp:extent cx="573405" cy="238760"/>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573405" cy="2387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8: Using Neumoras AI/ML methods to form homogeneous patient clusters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Inputting Our Vast Library of Multimodal Patient Datasets </w:t>
      </w:r>
    </w:p>
    <w:p>
      <w:pPr>
        <w:pStyle w:val="TextBody"/>
        <w:bidi w:val="0"/>
        <w:spacing w:before="120" w:after="0"/>
        <w:jc w:val="left"/>
        <w:rPr>
          <w:rFonts w:ascii="Times New Roman" w:hAnsi="Times New Roman"/>
          <w:sz w:val="20"/>
        </w:rPr>
      </w:pPr>
      <w:r>
        <w:rPr>
          <w:rFonts w:ascii="Times New Roman" w:hAnsi="Times New Roman"/>
          <w:sz w:val="20"/>
        </w:rPr>
        <w:t xml:space="preserve">We have onboarded a vast library of multimodal datasets currently encompassing billions of datapoints across multiple data modalities in a range of brain diseases. We collect our datasets from three sources: publicly available datasets, partnerships and the generation of proprietary datasets.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 datasets: To date, we have onboarded over 700 terabytes of longitudinal multimodal data. These longitudinal datasets consist of genetic, imaging, EEG, digital and clinical data across a range of neuropsychiatric disorders and neurodegenerative diseases, including schizophrenia, depression, anxiety, bipolar disorder, ALS and PD. We believe this is the worlds largest collection of longitudinal multimodal data for brain diseases. As the quality, quantity and availability of multimodal data continues to accelerate at a rapid pace, we believe our platform puts us in a unique position to onboard these datasets as they become available and leverage for our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Proprietary datasets: We currently generate proprietary data in three ways: (i) through our clinical trials; (ii) through the use of translational tools; and (iii) by means of derived data via the application of our proprietary, multimodal AI/ML methods to all of our data sources. Each of these data generation processes creates a feedback learning loop that improves and informs our multimodal, AI/ML methods.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Partnered datasets: We will look to external partners such as academic institutions, hospital systems, governments, healthcare technology platform companies and commercial partners for additional sources of data to support our efforts. We will look to either onboard partnered data or work with partners to interrogate their data and inform unique insights about Precision Phenotypes for neuropsychiatric disorders and neurodegenerative diseases.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557530" cy="37782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557530" cy="3778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9: Neumoras vast library of multimodal brain disease patient datasets </w:t>
      </w:r>
    </w:p>
    <w:p>
      <w:pPr>
        <w:pStyle w:val="TextBody"/>
        <w:bidi w:val="0"/>
        <w:spacing w:before="240" w:after="0"/>
        <w:jc w:val="left"/>
        <w:rPr>
          <w:rFonts w:ascii="Times New Roman" w:hAnsi="Times New Roman"/>
          <w:sz w:val="20"/>
        </w:rPr>
      </w:pPr>
      <w:r>
        <w:rPr>
          <w:rFonts w:ascii="Times New Roman" w:hAnsi="Times New Roman"/>
          <w:b/>
          <w:i/>
          <w:sz w:val="20"/>
        </w:rPr>
        <w:t>Proprietary Multimodal AI/ML Methods to Integrate Rich Multimodal Patient Data into Data Biopsy Signatures and Precision Phenotypes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Once the data is onboarded, there is a critical set of steps to organize, or stage, the data to enable our AI/ML analysis. In particular, we stage the data to enable the access and movement of large amounts (terabyte scale) of data around our cloud in a secure, fast, cost-effective fashion, which is a prerequisite to enable data analysis. To achieve this, we utilize staging technologies designed to optimize the flow and accessibility of data in our cloud-based system. </w:t>
      </w:r>
    </w:p>
    <w:p>
      <w:pPr>
        <w:pStyle w:val="TextBody"/>
        <w:bidi w:val="0"/>
        <w:spacing w:before="240" w:after="0"/>
        <w:jc w:val="left"/>
        <w:rPr>
          <w:rFonts w:ascii="Times New Roman" w:hAnsi="Times New Roman"/>
          <w:sz w:val="20"/>
        </w:rPr>
      </w:pPr>
      <w:r>
        <w:rPr>
          <w:rFonts w:ascii="Times New Roman" w:hAnsi="Times New Roman"/>
          <w:sz w:val="20"/>
        </w:rPr>
        <w:t xml:space="preserve">Once we have identified unimodal features, the data is ready for multimodal analyses. We have built proprietary AI/ML capabilities to integrate the unimodal features extracted through the feature engineering process into a Data Biopsy Signature for each patient. We use hypothesis-free, unsupervised AI/ML methods to enable the data to assign these patients into homogeneous groups, or patient clusters, of the broader heterogeneous population in an unbiased way. Below are the key proprietary AI/ML capabilities that we are developing: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Deep Neural Networks: We use deep neural networks to combine each of the unimodal data components into a compact multimodal representation that highlights the most important factors of differentiation for each patient, which we call a Data Biopsy Signature.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Spectral Clustering Algorithms: We use proprietary clustering algorithms to group the integrated multimodal Data Biopsy Signatures from each patient to create homogeneous patient clusters, which can be used as a basis for enrichment. Our clustering techniques are designed to ensure cluster stability, robustness and interpretability.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Projection Techniques: We intend to map insights leveraged from our Precision Phenotype to clinical trial inclusion/exclusion criterion and diagnostic practice by using AI/ML methods which match data dimensions to standard clinical measures.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Alignment Techniques: We will align our patient clusters with drug signatures using end-to-end AI/ML methods.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484505" cy="227330"/>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484505" cy="2273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10: Neumoras Data Biopsy Signature approach can be used to cluster homogeneous patient groups </w:t>
      </w:r>
    </w:p>
    <w:p>
      <w:pPr>
        <w:pStyle w:val="TextBody"/>
        <w:bidi w:val="0"/>
        <w:spacing w:before="360" w:after="0"/>
        <w:jc w:val="left"/>
        <w:rPr>
          <w:rFonts w:ascii="Times New Roman" w:hAnsi="Times New Roman"/>
          <w:sz w:val="20"/>
        </w:rPr>
      </w:pPr>
      <w:r>
        <w:rPr>
          <w:rFonts w:ascii="Times New Roman" w:hAnsi="Times New Roman"/>
          <w:b/>
          <w:i/>
          <w:sz w:val="20"/>
        </w:rPr>
        <w:t>Alignment of Patient Clusters with Drug Signature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Our alignment approach is focused on matching features of a drug signature with the optimal set of patient clusters to form a Precision Phenotype as a basis for predictive enrichment. We create a target signature of a drug candidate that we then correlate to clinically relevant patient clusters, using end-to-end AI/ML to optimize our unimodal features, multimodal neural networks and proprietary clustering techniques, selecting the patient clusters with the best match to form the final Precision Phenotype for that program. This alignment process is dynamic, which enables us to fine-tune the matching specifications and thereby select degrees of precision to best balance desired outcomes, such as clinical trial design and regulatory, reimbursement and commercial factors. </w:t>
      </w:r>
    </w:p>
    <w:p>
      <w:pPr>
        <w:pStyle w:val="TextBody"/>
        <w:bidi w:val="0"/>
        <w:spacing w:before="240" w:after="0"/>
        <w:jc w:val="left"/>
        <w:rPr>
          <w:rFonts w:ascii="Times New Roman" w:hAnsi="Times New Roman"/>
          <w:sz w:val="20"/>
        </w:rPr>
      </w:pPr>
      <w:r>
        <w:rPr>
          <w:rFonts w:ascii="Times New Roman" w:hAnsi="Times New Roman"/>
          <w:sz w:val="20"/>
        </w:rPr>
        <w:t xml:space="preserve">Through these strategies, we believe our precision neuroscience approach can generate Precision Phenotypes and enable patient enrichment to match the right patients to the right targeted therapeutics, thereby improve the rate of clinical development success and improve patient outcomes.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Precision Neuroscience Pipeline </w:t>
      </w:r>
    </w:p>
    <w:p>
      <w:pPr>
        <w:pStyle w:val="TextBody"/>
        <w:bidi w:val="0"/>
        <w:spacing w:before="120" w:after="0"/>
        <w:jc w:val="left"/>
        <w:rPr>
          <w:rFonts w:ascii="Times New Roman" w:hAnsi="Times New Roman"/>
          <w:sz w:val="20"/>
        </w:rPr>
      </w:pPr>
      <w:r>
        <w:rPr>
          <w:rFonts w:ascii="Times New Roman" w:hAnsi="Times New Roman"/>
          <w:sz w:val="20"/>
        </w:rPr>
        <w:t xml:space="preserve">We are building a broad pipeline of novel precision medicine candidates for neuropsychiatric disorders and neurodegenerative diseases, each with a targeted approach to development. Our precision neuroscience approach is flexible, and we are able to apply it in a modular fashion, which allows us to tailor its application to both internal or external programs and at any stage of development. We are leveraging multiple tools to develop strategies to identify enriched patient populations and are in the process of generating drug signatures and forming patient clusters for our pipeline programs. Since inception, we have rapidly scaled our pipeline through both internal discovery and external business development efforts. To date, our disclosed pipeline comprises seven programs, two of which are in clinical development and five of which are in preclinical development, as summarized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3707130" cy="2100580"/>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3707130" cy="210058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11: Neumora precision neuroscience pipeline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NMRA-140 (KOR) </w:t>
      </w:r>
    </w:p>
    <w:p>
      <w:pPr>
        <w:pStyle w:val="TextBody"/>
        <w:bidi w:val="0"/>
        <w:spacing w:before="120" w:after="0"/>
        <w:jc w:val="left"/>
        <w:rPr>
          <w:rFonts w:ascii="Times New Roman" w:hAnsi="Times New Roman"/>
          <w:sz w:val="20"/>
        </w:rPr>
      </w:pPr>
      <w:r>
        <w:rPr>
          <w:rFonts w:ascii="Times New Roman" w:hAnsi="Times New Roman"/>
          <w:sz w:val="20"/>
        </w:rPr>
        <w:t xml:space="preserve">NMRA-140 is an investigational antagonist of KOR in development for the treatment of MDD, which is a chronic neuropsychiatric disorder with significant unmet need given that nearly 70% of MDD patients fail to achieve remission with first-line treatment. The KOR/dynorphin system is a well-characterized pathway known to modulate depressive-like states. The KOR antagonist mechanism has been clinically validated as a treatment for MDD in a positive Phase 2 randomized, placebo-controlled trial of aticaprant as an adjunctive therapy for MDD. When we acquired BlackThorn in September 2020, BlackThorn had initiated a Phase 2a clinical trial of BTRX-335140, now known as NMRA-140, in adult patients with MDD. This Phase 2a clinical trial was initiated as a double-blind, placebo-controlled, randomized trial of NMRA-140 in 120 patients. We subsequently modified the trial to generate a drug signature for NMRA-140 by increasing the enrollment to 204 patients and added additional digital tools to further augment and support our precision neuroscience approach. We have also developed a proprietary blood-based pharmacogenetic model of OPRK1 (the gene encoding KOR) expression, which we intend to apply to peripheral DNA samples collected from patients enrolled in the trial. We plan to leverage the multimodal drug signature generated from this trial to support future clinical development of NMRA-140. We anticipate topline results from the current trial will be available in                 . We co-own one of the patent families related to NMRA-140 with TSRI and have an exclusive license from TSRI for the other patent family.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Indication Overview </w:t>
      </w:r>
    </w:p>
    <w:p>
      <w:pPr>
        <w:pStyle w:val="TextBody"/>
        <w:bidi w:val="0"/>
        <w:spacing w:before="120" w:after="0"/>
        <w:jc w:val="left"/>
        <w:rPr>
          <w:rFonts w:ascii="Times New Roman" w:hAnsi="Times New Roman"/>
          <w:sz w:val="20"/>
        </w:rPr>
      </w:pPr>
      <w:r>
        <w:rPr>
          <w:rFonts w:ascii="Times New Roman" w:hAnsi="Times New Roman"/>
          <w:sz w:val="20"/>
        </w:rPr>
        <w:t xml:space="preserve">MDD is a chronic psychiatric condition characterized by low mood and impairment in functioning, including episodes where an individual experiences a loss of interest or pleasure in daily activities and has symptoms such as problems with sleep, eating, energy, concentration or sense of self-worth. MDD is estimated to impact over twenty-one million adults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Most currently approved therapeutics indicated to treat MDD target monoamine neurotransmitters, which are signaling molecules that allow communication between nerve cells. Approved therapeutics include selective serotonin reuptake inhibitors (SSRIs), serotonin and norepinephrine reuptake inhibitors (SNRIs) and atypical antipsychotics. Nearly 70% of MDD patients fail to achieve remission with first-line treatment, which can be associated with negative side effects, including weight gain, sexual dysfunction, drowsiness, nausea and insomnia. Approximately 40% of patients on therapy discontinue treatment due to loss of response or adverse side effects. </w:t>
      </w:r>
    </w:p>
    <w:p>
      <w:pPr>
        <w:pStyle w:val="TextBody"/>
        <w:bidi w:val="0"/>
        <w:spacing w:before="360" w:after="0"/>
        <w:jc w:val="left"/>
        <w:rPr>
          <w:rFonts w:ascii="Times New Roman" w:hAnsi="Times New Roman"/>
          <w:i/>
          <w:sz w:val="20"/>
        </w:rPr>
      </w:pPr>
      <w:r>
        <w:rPr>
          <w:rFonts w:ascii="Times New Roman" w:hAnsi="Times New Roman"/>
          <w:i/>
          <w:sz w:val="20"/>
        </w:rPr>
        <w:t xml:space="preserve">Target Rationale </w:t>
      </w:r>
    </w:p>
    <w:p>
      <w:pPr>
        <w:pStyle w:val="TextBody"/>
        <w:bidi w:val="0"/>
        <w:spacing w:before="120" w:after="0"/>
        <w:jc w:val="left"/>
        <w:rPr>
          <w:rFonts w:ascii="Times New Roman" w:hAnsi="Times New Roman"/>
          <w:sz w:val="20"/>
        </w:rPr>
      </w:pPr>
      <w:r>
        <w:rPr>
          <w:rFonts w:ascii="Times New Roman" w:hAnsi="Times New Roman"/>
          <w:sz w:val="20"/>
        </w:rPr>
        <w:t xml:space="preserve">NMRA-140 is an investigational, small molecule inhibitor of the KOR, which we believe represents a novel potential approach to the treatment of MDD. The KOR and the molecule that binds to it, known as dynorphin, are expressed in brain regions that regulate the effects of stress on mood and cognition. Activation of KOR modulates neuronal circuits associated with many neuropsychiatric disorders, including depression, anxiety, schizophrenia, bipolar disorder and obsessive compulsive disorder. The KOR/dynorphin system is an important mediator of stress-induced alterations in reward processing and a mood state known as dysphoria, which is a state of dissatisfaction, unease and unhappiness. Evidence from postmortem studies in subjects diagnosed with MDD show dysregulation of genes associated via pathway with KOR across brain regions associated with social-bond formation, introspection, suicide and others. </w:t>
      </w:r>
    </w:p>
    <w:p>
      <w:pPr>
        <w:pStyle w:val="TextBody"/>
        <w:bidi w:val="0"/>
        <w:spacing w:before="240" w:after="0"/>
        <w:jc w:val="left"/>
        <w:rPr>
          <w:rFonts w:ascii="Times New Roman" w:hAnsi="Times New Roman"/>
          <w:sz w:val="20"/>
        </w:rPr>
      </w:pPr>
      <w:r>
        <w:rPr>
          <w:rFonts w:ascii="Times New Roman" w:hAnsi="Times New Roman"/>
          <w:sz w:val="20"/>
        </w:rPr>
        <w:t xml:space="preserve">There are multiple lines of converging clinical evidence implicating the role of the KOR system in dysphoria. KOR agonists have been shown to produce dysphoric effects in humans, suggesting KOR antagonists could be effective antidepressants. The KOR antagonist mechanism has demonstrated potential as a treatment for MDD in a positive Phase 2 randomized, placebo-controlled trial of aticaprant as an adjunctive therapy for MDD. We believe that the development of a highly selective and potent antagonist of KOR, which is paired with a Precision Phenotype, offers the opportunity for a novel, targeted antidepressant therapy. </w:t>
      </w:r>
    </w:p>
    <w:p>
      <w:pPr>
        <w:pStyle w:val="TextBody"/>
        <w:bidi w:val="0"/>
        <w:spacing w:before="360" w:after="0"/>
        <w:jc w:val="left"/>
        <w:rPr>
          <w:rFonts w:ascii="Times New Roman" w:hAnsi="Times New Roman"/>
          <w:i/>
          <w:sz w:val="20"/>
        </w:rPr>
      </w:pPr>
      <w:r>
        <w:rPr>
          <w:rFonts w:ascii="Times New Roman" w:hAnsi="Times New Roman"/>
          <w:i/>
          <w:sz w:val="20"/>
        </w:rPr>
        <w:t xml:space="preserve">Pharmacological Properties </w:t>
      </w:r>
    </w:p>
    <w:p>
      <w:pPr>
        <w:pStyle w:val="TextBody"/>
        <w:bidi w:val="0"/>
        <w:spacing w:before="120" w:after="0"/>
        <w:jc w:val="left"/>
        <w:rPr>
          <w:rFonts w:ascii="Times New Roman" w:hAnsi="Times New Roman"/>
          <w:sz w:val="20"/>
        </w:rPr>
      </w:pPr>
      <w:r>
        <w:rPr>
          <w:rFonts w:ascii="Times New Roman" w:hAnsi="Times New Roman"/>
          <w:sz w:val="20"/>
        </w:rPr>
        <w:t xml:space="preserve">NMRA-140 is a potent and highly selective antagonist for KOR and, in preclinical studies, has shown more than 300-fold selectivity over the Mu opioid receptor. None of our preclinical studies are powered for significance given the purpose of such studies. We believe this selectivity is important to avoid the potential negative effects of Mu antagonism on mood. An additional potential advantage of utilizing an antagonist such as NMRA-140 is that we believe it will not have the abuse liability associated with a mixed agonist/antagonist such as buprenorphine. </w:t>
      </w:r>
    </w:p>
    <w:p>
      <w:pPr>
        <w:pStyle w:val="TextBody"/>
        <w:bidi w:val="0"/>
        <w:spacing w:before="240" w:after="0"/>
        <w:jc w:val="left"/>
        <w:rPr>
          <w:rFonts w:ascii="Times New Roman" w:hAnsi="Times New Roman"/>
          <w:sz w:val="20"/>
        </w:rPr>
      </w:pPr>
      <w:r>
        <w:rPr>
          <w:rFonts w:ascii="Times New Roman" w:hAnsi="Times New Roman"/>
          <w:sz w:val="20"/>
        </w:rPr>
        <w:t>We evaluated the safety, tolerability and pharmacokinetics of NMRA-140 in a randomized, double-blind, placebo-controlled Phase 1 clinical trial consisting of single ascending dose (SAD) and multiple ascending dose (MAD) portions. The SAD and MAD portions of the clinical trial were conducted to establish the safety profile that would be used for subsequent clinical trials. In the SAD portion of the trial, 56 healthy subjects were randomized to receive either a single dose of NMRA-140 or placebo at doses ranging up to 240 mg. In the MAD portion, 32 healthy subjects were randomized to receive 10 daily doses ranging up to 160 mg. The effect of food on the rate and extent of absorption of NMRA-140 was also assessed in the SAD portion of the trial. In the Phase 1 trial, NMRA-140 showed generally dose-proportional pharmacokinetic results with a half-life supportive of once-daily oral dosing.</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NMRA-140 was found to be well-tolerated at all dose levels with no serious adverse events reported during the treatment and follow-up periods of the Phase 1 trial. In the ongoing Phase 2a clinical trial, we are monitoring visual acuity and corneal integrity based on an ocular phototoxicity finding that was observed in a preclinical rodent study at a dose exposure 14-fold higher than the 80 mg dose currently under clinical evaluation.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6766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577850" cy="367665"/>
                    </a:xfrm>
                    <a:prstGeom prst="rect">
                      <a:avLst/>
                    </a:prstGeom>
                  </pic:spPr>
                </pic:pic>
              </a:graphicData>
            </a:graphic>
          </wp:inline>
        </w:drawing>
      </w:r>
      <w:r>
        <w:rPr/>
        <w:t xml:space="preserve"> </w:t>
      </w:r>
    </w:p>
    <w:p>
      <w:pPr>
        <w:pStyle w:val="TextBody"/>
        <w:bidi w:val="0"/>
        <w:spacing w:before="60" w:after="0"/>
        <w:jc w:val="center"/>
        <w:rPr>
          <w:rFonts w:ascii="Times New Roman" w:hAnsi="Times New Roman"/>
          <w:i/>
          <w:sz w:val="20"/>
        </w:rPr>
      </w:pPr>
      <w:r>
        <w:rPr>
          <w:rFonts w:ascii="Times New Roman" w:hAnsi="Times New Roman"/>
          <w:i/>
          <w:sz w:val="20"/>
        </w:rPr>
        <w:t xml:space="preserve">Figure 12: Single ascending dose study of NMRA-140 in healthy subjects (n=56)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572135" cy="38671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572135" cy="386715"/>
                    </a:xfrm>
                    <a:prstGeom prst="rect">
                      <a:avLst/>
                    </a:prstGeom>
                  </pic:spPr>
                </pic:pic>
              </a:graphicData>
            </a:graphic>
          </wp:inline>
        </w:drawing>
      </w:r>
      <w:r>
        <w:rPr/>
        <w:t xml:space="preserve"> </w:t>
      </w:r>
    </w:p>
    <w:p>
      <w:pPr>
        <w:pStyle w:val="TextBody"/>
        <w:bidi w:val="0"/>
        <w:spacing w:before="60" w:after="0"/>
        <w:jc w:val="center"/>
        <w:rPr>
          <w:rFonts w:ascii="Times New Roman" w:hAnsi="Times New Roman"/>
          <w:i/>
          <w:sz w:val="20"/>
        </w:rPr>
      </w:pPr>
      <w:r>
        <w:rPr>
          <w:rFonts w:ascii="Times New Roman" w:hAnsi="Times New Roman"/>
          <w:i/>
          <w:sz w:val="20"/>
        </w:rPr>
        <w:t xml:space="preserve">Figure 13: Multiple ascending dose study of NMRA-140 in healthy subjects (n=32)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observed target engagement as well as target binding, which is known as receptor occupancy, in a Phase 1 clinical trial in healthy human volunteers using a positron emission tomography (PET) ligand, which is a radiotracer molecule that binds to the KOR. Based on the results of the Phase 1 SAD/MAD and PET clinical trials, we were able to model receptor occupancy at various doses, and a dose of 80 mg is predicted to achieve approximately 80% to 90% receptor occupancy for 24 hours allowing for once daily dosing. We are evaluating the 80 mg dose in the ongoing Phase 2a clinical trial.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485" cy="353060"/>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578485" cy="3530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14: Receptor occupancy of NMRA-140 modeled at various doses </w:t>
      </w:r>
    </w:p>
    <w:p>
      <w:pPr>
        <w:pStyle w:val="TextBody"/>
        <w:bidi w:val="0"/>
        <w:spacing w:before="240" w:after="0"/>
        <w:jc w:val="left"/>
        <w:rPr>
          <w:rFonts w:ascii="Times New Roman" w:hAnsi="Times New Roman"/>
          <w:i/>
          <w:sz w:val="20"/>
        </w:rPr>
      </w:pPr>
      <w:r>
        <w:rPr>
          <w:rFonts w:ascii="Times New Roman" w:hAnsi="Times New Roman"/>
          <w:i/>
          <w:sz w:val="20"/>
        </w:rPr>
        <w:t xml:space="preserve">Precision Approach </w:t>
      </w:r>
    </w:p>
    <w:p>
      <w:pPr>
        <w:pStyle w:val="TextBody"/>
        <w:bidi w:val="0"/>
        <w:spacing w:before="120" w:after="0"/>
        <w:jc w:val="left"/>
        <w:rPr>
          <w:rFonts w:ascii="Times New Roman" w:hAnsi="Times New Roman"/>
          <w:sz w:val="20"/>
        </w:rPr>
      </w:pPr>
      <w:r>
        <w:rPr>
          <w:rFonts w:ascii="Times New Roman" w:hAnsi="Times New Roman"/>
          <w:sz w:val="20"/>
        </w:rPr>
        <w:t xml:space="preserve">We are leveraging multiple tools to develop strategies to identify enriched patient populations: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Drug signature generation: We are conducting a Phase 2a trial of NMRA-140 in MDD patients designed to generate clinical, genetic, and digital data to inform enrichment strategies for future NMRA-140 clinical development across a range of potential precision populations: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0"/>
        <w:gridCol w:w="8882"/>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We are generating data in our Phase 2a clinical trial based on well-accepted measures of depression, including HAMD-17 clinical endpoints and other clinical endpoints focused on evaluating measures of anhedonia or anxiety.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Genetic: We have created a proprietary genetic model that is designed to predict expression of the OPRK1 gene, the gene that encodes the KOR, in the human brain based on sequence information (SNIPs) from peripheral DNA found in blood or saliva. We believe this model may yield a potential biomarker for treatment response to enable patient enrichment in future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Digital: We are utilizing two proprietary digital tools to explore objective measures of motivation and to identify novel digital signatures.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cluster formation: We are generating homogenous patient clusters using patient datasets including from the clinical trial known as Establishing Moderators/Biosignatures of Antidepressant Response - Clinical Care MDD Treatment and Controls, or EMBARC.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Development Plan </w:t>
      </w:r>
    </w:p>
    <w:p>
      <w:pPr>
        <w:pStyle w:val="TextBody"/>
        <w:bidi w:val="0"/>
        <w:spacing w:before="120" w:after="0"/>
        <w:jc w:val="left"/>
        <w:rPr>
          <w:rFonts w:ascii="Times New Roman" w:hAnsi="Times New Roman"/>
          <w:sz w:val="20"/>
        </w:rPr>
      </w:pPr>
      <w:r>
        <w:rPr>
          <w:rFonts w:ascii="Times New Roman" w:hAnsi="Times New Roman"/>
          <w:sz w:val="20"/>
        </w:rPr>
        <w:t xml:space="preserve">When we acquired BlackThorn in September 2020, BlackThorn had initiated a Phase 2a clinical trial of BTRX-335140, now known as NMRA-140, in adult patients with MDD. This trial was initiated as a double-blind, placebo-controlled, randomized trial of NMRA-140 in 120 patients. The enrollment criteria were based on a rules list BlackThorn generated from an analysis of the Fast-fail Trial in Mood and Anxiety Spectrum Disorders (FAST-MAS) data. The rules list enriches for MDD patients with pronounced anhedonia, which is a mood state characterized by the inability to experience pleasure. The rules list is based on baseline scores across the Hamilton Depression Rating Scale 17 item version (HAM-D17), the Snaith Hamilton Assessment of Pleasure Scale (SHAPS) and the Hamilton Anxiety Rating Scale (HAM-A). We believe that an effective KOR antagonist may have potential in MDD beyond anhedonia. We subsequently modified the trial to generate more unique data by increasing the trial enrollment to 204 patients and added additional digital instrumentation to further augment and support our precision approach. We have also developed a proprietary blood-based pharmacogenetic model of OPRK1 (the gene encoding KOR) expression, which we intend to apply to peripheral DNA samples from the clinical trial to evaluate the relationship between predicted gene expression and clinical response. We plan to leverage the multimodal drug signature generated from this trial to support future clinical development of NMRA-140. We anticipate topline results from the current trial will be available in                 . </w:t>
      </w:r>
    </w:p>
    <w:p>
      <w:pPr>
        <w:pStyle w:val="TextBody"/>
        <w:bidi w:val="0"/>
        <w:spacing w:before="360" w:after="0"/>
        <w:jc w:val="left"/>
        <w:rPr>
          <w:rFonts w:ascii="Times New Roman" w:hAnsi="Times New Roman"/>
          <w:b/>
          <w:i/>
          <w:sz w:val="20"/>
        </w:rPr>
      </w:pPr>
      <w:r>
        <w:rPr>
          <w:rFonts w:ascii="Times New Roman" w:hAnsi="Times New Roman"/>
          <w:b/>
          <w:i/>
          <w:sz w:val="20"/>
        </w:rPr>
        <w:t xml:space="preserve">NMRA-511 </w:t>
      </w:r>
    </w:p>
    <w:p>
      <w:pPr>
        <w:pStyle w:val="TextBody"/>
        <w:bidi w:val="0"/>
        <w:spacing w:before="120" w:after="0"/>
        <w:jc w:val="left"/>
        <w:rPr>
          <w:rFonts w:ascii="Times New Roman" w:hAnsi="Times New Roman"/>
          <w:sz w:val="20"/>
        </w:rPr>
      </w:pPr>
      <w:r>
        <w:rPr>
          <w:rFonts w:ascii="Times New Roman" w:hAnsi="Times New Roman"/>
          <w:sz w:val="20"/>
        </w:rPr>
        <w:t xml:space="preserve">NMRA-511 is an investigational antagonist of the vasopressin 1a receptor (V1aR). Vasopressin plays a role in the regulation of aggression, affiliation, stress and anxiety response. Based on our encouraging preclinical findings in non-human primates as well as preclinical and clinical results from third parties, we believe V1aR has the potential to be a promising novel target for multiple neuropsychiatric disorders across the spectrum of anxiety, aggression and stress. We completed a Phase 1a clinical trial of NMRA-511 in February 2021 and are evaluating Phase 1b clinical trial designs with the goal of generating a drug signature to guide future clinical development. </w:t>
      </w:r>
    </w:p>
    <w:p>
      <w:pPr>
        <w:pStyle w:val="TextBody"/>
        <w:bidi w:val="0"/>
        <w:spacing w:before="360" w:after="0"/>
        <w:jc w:val="left"/>
        <w:rPr>
          <w:rFonts w:ascii="Times New Roman" w:hAnsi="Times New Roman"/>
          <w:i/>
          <w:sz w:val="20"/>
        </w:rPr>
      </w:pPr>
      <w:r>
        <w:rPr>
          <w:rFonts w:ascii="Times New Roman" w:hAnsi="Times New Roman"/>
          <w:i/>
          <w:sz w:val="20"/>
        </w:rPr>
        <w:t xml:space="preserve">Indication Overview </w:t>
      </w:r>
    </w:p>
    <w:p>
      <w:pPr>
        <w:pStyle w:val="TextBody"/>
        <w:bidi w:val="0"/>
        <w:spacing w:before="120" w:after="0"/>
        <w:jc w:val="left"/>
        <w:rPr>
          <w:rFonts w:ascii="Times New Roman" w:hAnsi="Times New Roman"/>
          <w:sz w:val="20"/>
        </w:rPr>
      </w:pPr>
      <w:r>
        <w:rPr>
          <w:rFonts w:ascii="Times New Roman" w:hAnsi="Times New Roman"/>
          <w:sz w:val="20"/>
        </w:rPr>
        <w:t xml:space="preserve">Disorders with symptoms of anxiety, stress and aggression are some of the most common forms of mental illness in the United States. Related disorders include obsessive-compulsive disorder, PTSD, SAD, and generalized anxiety disorder (GAD). Aggression and violent behavior are found in a range of neuropsychiatric and neurodegenerative diseases, including dementia and Huntingtons disease. Anxiety affects approximately 40 million adults in the United States every year. GAD alone affects 6.8 million adults in the United States. SAD affects approximately 15 million adults, and PTSD affects approximately 7.7 million adults in the United States (although now classified as separate from anxiety disorders in DSM V, there is significant overlap in the neural signature of PTSD and anxiety). </w:t>
      </w:r>
    </w:p>
    <w:p>
      <w:pPr>
        <w:pStyle w:val="TextBody"/>
        <w:bidi w:val="0"/>
        <w:spacing w:before="240" w:after="0"/>
        <w:jc w:val="left"/>
        <w:rPr>
          <w:rFonts w:ascii="Times New Roman" w:hAnsi="Times New Roman"/>
          <w:sz w:val="20"/>
        </w:rPr>
      </w:pPr>
      <w:r>
        <w:rPr>
          <w:rFonts w:ascii="Times New Roman" w:hAnsi="Times New Roman"/>
          <w:sz w:val="20"/>
        </w:rPr>
        <w:t xml:space="preserve">First-line anxiety treatments include antidepressants such as SSRIs and SNRIs and buspirone, a serotonin 5-HT1A receptor agonist. However, first-line treatments often provide only modest relief and often take weeks to have an effect. Benzodiazepines targeting the GABA-A receptor are also known to have anti-anxiety activity and are prescribed as a second-line treatment or in combination with SSRI/SNRIs. However, benzodiazepines have negative side effects including cognitive impairment and sedation and are prone to physical and psychological dependence. Therefore, we believe there is still a significant unmet need for safe and effective treatments for patients that suffer from the spectrum of anxiety and stress disorders. </w:t>
      </w:r>
    </w:p>
    <w:p>
      <w:pPr>
        <w:pStyle w:val="TextBody"/>
        <w:bidi w:val="0"/>
        <w:spacing w:before="360" w:after="0"/>
        <w:jc w:val="left"/>
        <w:rPr>
          <w:rFonts w:ascii="Times New Roman" w:hAnsi="Times New Roman"/>
          <w:i/>
          <w:sz w:val="20"/>
        </w:rPr>
      </w:pPr>
      <w:r>
        <w:rPr>
          <w:rFonts w:ascii="Times New Roman" w:hAnsi="Times New Roman"/>
          <w:i/>
          <w:sz w:val="20"/>
        </w:rPr>
        <w:t xml:space="preserve">Target Rationale </w:t>
      </w:r>
    </w:p>
    <w:p>
      <w:pPr>
        <w:pStyle w:val="TextBody"/>
        <w:bidi w:val="0"/>
        <w:spacing w:before="120" w:after="0"/>
        <w:jc w:val="left"/>
        <w:rPr>
          <w:rFonts w:ascii="Times New Roman" w:hAnsi="Times New Roman"/>
          <w:sz w:val="20"/>
        </w:rPr>
      </w:pPr>
      <w:r>
        <w:rPr>
          <w:rFonts w:ascii="Times New Roman" w:hAnsi="Times New Roman"/>
          <w:sz w:val="20"/>
        </w:rPr>
        <w:t xml:space="preserve">NMRA-511 is an investigational small molecule antagonist of V1aR, which we believe represents a novel approach to the treatment of neuropsychiatric disorders. V1aR is the receptor for arginine vasopressin (AVP), a neuropeptide implicated in a range of physiological processes, including mood and stress.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Preclinical studies support the involvement of the vasopressin system in mediating behaviors across multiple relevant symptoms, including physiological stress responses, aggression, avoidance, fear and anxiety. In rodents, aversive stimuli increased vasopressin levels in brain regions implicated in anxiety pathophysiology, as demonstrated through functional neuroimaging and increased V1a receptor binding in hypothalamic regions important in mediating stress responses. Direct administration of vasopressin into the brain of rodents can increase fear and anxiety-like behavior, while systemic administration of V1a receptor antagonists and deletion of the V1aR gene resulted in decreased anxiety-like behaviors. Moreover, evidence that the V1a receptor is important in mediating aggression has been demonstrated using the selective V1a receptor antagonist, SRX251, which reduced aggressive behaviors and suppressed activity in key brain regions involved in aggression. Recently, a small study with SRX246, a V1a receptor antagonist, in human subjects demonstrated reduced anxiety induced by unpredictable threats. </w:t>
      </w:r>
    </w:p>
    <w:p>
      <w:pPr>
        <w:pStyle w:val="TextBody"/>
        <w:bidi w:val="0"/>
        <w:spacing w:before="360" w:after="0"/>
        <w:jc w:val="left"/>
        <w:rPr>
          <w:rFonts w:ascii="Times New Roman" w:hAnsi="Times New Roman"/>
          <w:i/>
          <w:sz w:val="20"/>
        </w:rPr>
      </w:pPr>
      <w:r>
        <w:rPr>
          <w:rFonts w:ascii="Times New Roman" w:hAnsi="Times New Roman"/>
          <w:i/>
          <w:sz w:val="20"/>
        </w:rPr>
        <w:t xml:space="preserve">Pharmacological Properties </w:t>
      </w:r>
    </w:p>
    <w:p>
      <w:pPr>
        <w:pStyle w:val="TextBody"/>
        <w:bidi w:val="0"/>
        <w:spacing w:before="120" w:after="0"/>
        <w:jc w:val="left"/>
        <w:rPr>
          <w:rFonts w:ascii="Times New Roman" w:hAnsi="Times New Roman"/>
          <w:sz w:val="20"/>
        </w:rPr>
      </w:pPr>
      <w:r>
        <w:rPr>
          <w:rFonts w:ascii="Times New Roman" w:hAnsi="Times New Roman"/>
          <w:sz w:val="20"/>
        </w:rPr>
        <w:t xml:space="preserve">NMRA-511 is a potent and highly selective antagonist for V1aR. In preclinical studies, NMRA-511 exhibited greater than 3,000-fold selectivity over the V1b and V2 receptors and approximately 300-fold selectivity over the oxytocin receptor. We conducted three preclinical studies in 24 marmosets using an animal model of anxiety known as the human threat test. In these studies, NMRA-511 reduced measures of anxiety. In one of the studies, changes in brain waves were also measured by means of EEG, which revealed changes at three different frequencies in the marmoset cohort that received the dose level associated with anxiety reduction, which we believe reflects target engagement. We believe these preclinical data suggest that NMRA- 511 has the potential to address anxiety disorders. None of our preclinical studies are powered for significance given the purpose of such studies. </w:t>
      </w:r>
    </w:p>
    <w:p>
      <w:pPr>
        <w:pStyle w:val="TextBody"/>
        <w:bidi w:val="0"/>
        <w:spacing w:before="240" w:after="0"/>
        <w:jc w:val="left"/>
        <w:rPr>
          <w:rFonts w:ascii="Times New Roman" w:hAnsi="Times New Roman"/>
          <w:sz w:val="20"/>
        </w:rPr>
      </w:pPr>
      <w:r>
        <w:rPr>
          <w:rFonts w:ascii="Times New Roman" w:hAnsi="Times New Roman"/>
          <w:sz w:val="20"/>
        </w:rPr>
        <w:t xml:space="preserve">We also conducted a Phase 1a SAD/MAD clinical trial with 55 healthy volunteers, which was completed in February 2021. In the SAD portion of the trial, 12 subjects received a single dose of NMRA-511 and four subjects received placebo. In the MAD portion of the trial, 18 subjects received multiple doses of NMRA-511 and six subjects received the same number of doses of placebo. Another cohort of 12 subjects received doses of NMRA-511 under one of two treatment sequences of being fed versus fasting to assess the effect of food on the rate and extent of absorption of NMRA-511. In the SAD and MAD portions of this clinical trial, quantitative EEG (qEEG) analysis showed significant Tmax-centered increases in placebo-corrected alpha and theta brain wave frequencies on day 1. This Phase 1a clinical trial was not a powered study given the purpose of the clinical trial. </w:t>
      </w:r>
    </w:p>
    <w:p>
      <w:pPr>
        <w:pStyle w:val="TextBody"/>
        <w:bidi w:val="0"/>
        <w:spacing w:before="360" w:after="0"/>
        <w:jc w:val="left"/>
        <w:rPr>
          <w:rFonts w:ascii="Times New Roman" w:hAnsi="Times New Roman"/>
          <w:i/>
          <w:sz w:val="20"/>
        </w:rPr>
      </w:pPr>
      <w:r>
        <w:rPr>
          <w:rFonts w:ascii="Times New Roman" w:hAnsi="Times New Roman"/>
          <w:i/>
          <w:sz w:val="20"/>
        </w:rPr>
        <w:t xml:space="preserve">Precision Approach </w:t>
      </w:r>
    </w:p>
    <w:p>
      <w:pPr>
        <w:pStyle w:val="TextBody"/>
        <w:bidi w:val="0"/>
        <w:spacing w:before="120" w:after="0"/>
        <w:jc w:val="left"/>
        <w:rPr>
          <w:rFonts w:ascii="Times New Roman" w:hAnsi="Times New Roman"/>
          <w:sz w:val="20"/>
        </w:rPr>
      </w:pPr>
      <w:r>
        <w:rPr>
          <w:rFonts w:ascii="Times New Roman" w:hAnsi="Times New Roman"/>
          <w:sz w:val="20"/>
        </w:rPr>
        <w:t xml:space="preserve">We are leveraging multiple tools to develop strategies to identify enriched patient populations: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Drug signature generation: In addition to our existing data, we are currently evaluating clinical challenge models for a potential Phase 1b clinical trial of NMRA-511 to supplement our drug signature.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cluster formation: We are analyzing longitudinal, multimodal datasets of neuropsychiatric disorders, including AURORA.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Development Plan </w:t>
      </w:r>
    </w:p>
    <w:p>
      <w:pPr>
        <w:pStyle w:val="TextBody"/>
        <w:bidi w:val="0"/>
        <w:spacing w:before="120" w:after="0"/>
        <w:jc w:val="left"/>
        <w:rPr>
          <w:rFonts w:ascii="Times New Roman" w:hAnsi="Times New Roman"/>
          <w:sz w:val="20"/>
        </w:rPr>
      </w:pPr>
      <w:r>
        <w:rPr>
          <w:rFonts w:ascii="Times New Roman" w:hAnsi="Times New Roman"/>
          <w:sz w:val="20"/>
        </w:rPr>
        <w:t xml:space="preserve">We have an open IND for NMRA-511 and are evaluating Phase 1b clinical trial designs to inform NMRA-511s drug signature to guide future clinical development.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NMRA-M4R </w:t>
      </w:r>
    </w:p>
    <w:p>
      <w:pPr>
        <w:pStyle w:val="TextBody"/>
        <w:bidi w:val="0"/>
        <w:spacing w:before="120" w:after="0"/>
        <w:jc w:val="left"/>
        <w:rPr>
          <w:rFonts w:ascii="Times New Roman" w:hAnsi="Times New Roman"/>
          <w:sz w:val="20"/>
        </w:rPr>
      </w:pPr>
      <w:r>
        <w:rPr>
          <w:rFonts w:ascii="Times New Roman" w:hAnsi="Times New Roman"/>
          <w:sz w:val="20"/>
        </w:rPr>
        <w:t>NMRA-M4R is a positive allosteric modulator of the M4 muscarinic receptor (M4R) for the treatment of schizophrenia. Our NMRA-M4R program is designed to b</w:t>
      </w:r>
      <w:r>
        <w:rPr>
          <w:rFonts w:ascii="Times New Roman" w:hAnsi="Times New Roman"/>
          <w:b/>
          <w:sz w:val="20"/>
        </w:rPr>
        <w:t>e</w:t>
      </w:r>
      <w:r>
        <w:rPr>
          <w:rFonts w:ascii="Times New Roman" w:hAnsi="Times New Roman"/>
          <w:sz w:val="20"/>
        </w:rPr>
        <w:t xml:space="preserve"> highly selective for the M4 receptor subtype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muscarinic receptor family. Muscarinic receptor-targeting compounds have achieved clinical validation as an approach to treating schizophrenia, with potential to treat other neuropsychiatric disorders such as dementia-related psychosis and cognitive disorders, where innovation has been stagnant for decades. We believe selective M4R receptor positive allosteric modulators have the potential to deliver the antipsychotic efficacy associated with targeting this receptor subtype, while minimizing the side effects associated with current antipsychotics and other non-selective muscarinic agonists. To create a drug signature for NMRA-M4R, we are exploring genomic and EEG-based markers, and we are also identifying patient clusters using longitudinal, multimodal datasets. We expect to initiate IND-enabling studies in                 . We exclusively licensed certain intellectual property rights related to NMRA-M4R from Vanderbilt University. </w:t>
      </w:r>
    </w:p>
    <w:p>
      <w:pPr>
        <w:pStyle w:val="TextBody"/>
        <w:bidi w:val="0"/>
        <w:spacing w:before="360" w:after="0"/>
        <w:jc w:val="left"/>
        <w:rPr>
          <w:rFonts w:ascii="Times New Roman" w:hAnsi="Times New Roman"/>
          <w:i/>
          <w:sz w:val="20"/>
        </w:rPr>
      </w:pPr>
      <w:r>
        <w:rPr>
          <w:rFonts w:ascii="Times New Roman" w:hAnsi="Times New Roman"/>
          <w:i/>
          <w:sz w:val="20"/>
        </w:rPr>
        <w:t xml:space="preserve">Indication Overview </w:t>
      </w:r>
    </w:p>
    <w:p>
      <w:pPr>
        <w:pStyle w:val="TextBody"/>
        <w:bidi w:val="0"/>
        <w:spacing w:before="120" w:after="0"/>
        <w:jc w:val="left"/>
        <w:rPr>
          <w:rFonts w:ascii="Times New Roman" w:hAnsi="Times New Roman"/>
          <w:sz w:val="20"/>
        </w:rPr>
      </w:pPr>
      <w:r>
        <w:rPr>
          <w:rFonts w:ascii="Times New Roman" w:hAnsi="Times New Roman"/>
          <w:sz w:val="20"/>
        </w:rPr>
        <w:t xml:space="preserve">Schizophrenia is a debilitating neuropsychiatric disorder characterized by positive symptoms (e.g., delusions, hallucinations), negative symptoms (e.g., diminished emotional expression) and cognitive symptoms (e.g., deficits in types of memory). The disease is also associated with a 10 to 25 year reduction in life expectancy overall. It is estimated that approximately three million people in the United States have schizophrenia. </w:t>
      </w:r>
    </w:p>
    <w:p>
      <w:pPr>
        <w:pStyle w:val="TextBody"/>
        <w:bidi w:val="0"/>
        <w:spacing w:before="240" w:after="0"/>
        <w:jc w:val="left"/>
        <w:rPr>
          <w:rFonts w:ascii="Times New Roman" w:hAnsi="Times New Roman"/>
          <w:sz w:val="20"/>
        </w:rPr>
      </w:pPr>
      <w:r>
        <w:rPr>
          <w:rFonts w:ascii="Times New Roman" w:hAnsi="Times New Roman"/>
          <w:sz w:val="20"/>
        </w:rPr>
        <w:t xml:space="preserve">No therapies with a novel mechanism of action have been recently approved for schizophrenia, with all currently approved antipsychotics based on mechanisms originally based on chlorpromazine, which was developed in the 1950s. Currently approved therapies focus on treating the positive symptoms of schizophrenia and have little impact on the negative or cognitive symptoms. They also have potentially serious side effects, including movement and metabolic effects, which historically has resulted in poor compliance. </w:t>
      </w:r>
    </w:p>
    <w:p>
      <w:pPr>
        <w:pStyle w:val="TextBody"/>
        <w:bidi w:val="0"/>
        <w:spacing w:before="360" w:after="0"/>
        <w:jc w:val="left"/>
        <w:rPr>
          <w:rFonts w:ascii="Times New Roman" w:hAnsi="Times New Roman"/>
          <w:i/>
          <w:sz w:val="20"/>
        </w:rPr>
      </w:pPr>
      <w:r>
        <w:rPr>
          <w:rFonts w:ascii="Times New Roman" w:hAnsi="Times New Roman"/>
          <w:i/>
          <w:sz w:val="20"/>
        </w:rPr>
        <w:t xml:space="preserve">Target Rationale </w:t>
      </w:r>
    </w:p>
    <w:p>
      <w:pPr>
        <w:pStyle w:val="TextBody"/>
        <w:bidi w:val="0"/>
        <w:spacing w:before="120" w:after="0"/>
        <w:jc w:val="left"/>
        <w:rPr>
          <w:rFonts w:ascii="Times New Roman" w:hAnsi="Times New Roman"/>
          <w:sz w:val="20"/>
        </w:rPr>
      </w:pPr>
      <w:r>
        <w:rPr>
          <w:rFonts w:ascii="Times New Roman" w:hAnsi="Times New Roman"/>
          <w:sz w:val="20"/>
        </w:rPr>
        <w:t xml:space="preserve">NMRA-M4R is an investigational positive allosteric modulator of the M4 muscarinic receptor. While current antipsychotics approved for schizophrenia work primarily by antagonizing D2 dopamine receptors, growing evidence supports the approach of targeting the M4 muscarinic receptor to produce antipsychotic effects. M4 muscarinic receptor-targeting compounds have achieved clinical validation as an approach to treating schizophrenia in multiple, placebo-controlled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In a Phase 2 randomized, double-blind, placebo-controlled clinical trial of 182 schizophrenia patients conducted by Karuna Therapeutics, Inc., an M1/M4-preferring muscarinic agonist, KarXT (xanomeline-trospium), demonstrated a statistically significant and clinically meaningful improvement in the total Positive and Negative Syndrome Scale (PANSS) score, the most widely used measure of symptom severity in schizophrenia. These results were further supported by a positive Phase 1b randomized, double-blind, placebo-controlled clinical trial conducted by Cerevel Therapeutics, Inc. of emraclidine (CVL-231), an M4 receptor positive allosteric modulator demonstrating robust improvements in PANSS scores. These clinical data in schizophrenia patients are further supported by a robust body of preclinical and clinical evidence shows that the muscarinic acetylcholine receptor system plays an important role in regulating cognition, movement, learning and memory, suggesting its importance as a potential drug target for the treatment of several brain disorders. These studies suggest compounds which elevate M4 receptor activity have the potential to treat other neuropsychiatric disorders, in addition to schizophrenia. </w:t>
      </w:r>
    </w:p>
    <w:p>
      <w:pPr>
        <w:pStyle w:val="TextBody"/>
        <w:bidi w:val="0"/>
        <w:spacing w:before="360" w:after="0"/>
        <w:jc w:val="left"/>
        <w:rPr>
          <w:rFonts w:ascii="Times New Roman" w:hAnsi="Times New Roman"/>
          <w:i/>
          <w:sz w:val="20"/>
        </w:rPr>
      </w:pPr>
      <w:r>
        <w:rPr>
          <w:rFonts w:ascii="Times New Roman" w:hAnsi="Times New Roman"/>
          <w:i/>
          <w:sz w:val="20"/>
        </w:rPr>
        <w:t xml:space="preserve">Pharmacological Properties </w:t>
      </w:r>
    </w:p>
    <w:p>
      <w:pPr>
        <w:pStyle w:val="TextBody"/>
        <w:bidi w:val="0"/>
        <w:spacing w:before="120" w:after="0"/>
        <w:jc w:val="left"/>
        <w:rPr>
          <w:rFonts w:ascii="Times New Roman" w:hAnsi="Times New Roman"/>
          <w:sz w:val="20"/>
        </w:rPr>
      </w:pPr>
      <w:r>
        <w:rPr>
          <w:rFonts w:ascii="Times New Roman" w:hAnsi="Times New Roman"/>
          <w:sz w:val="20"/>
        </w:rPr>
        <w:t xml:space="preserve">We have identified a series of M4A positive muscarinic receptors that are designed to be potent, selective and orally bioavailable. The lead molecule has demonstrated robust activity in preclinical efficacy models, as well as high selectivity for the M4R subtype, potential for an improved safety profile over current antipsychotics and non-selective agonist approaches, and an oral once-daily dosing profile. </w:t>
      </w:r>
    </w:p>
    <w:p>
      <w:pPr>
        <w:pStyle w:val="TextBody"/>
        <w:bidi w:val="0"/>
        <w:spacing w:before="360" w:after="0"/>
        <w:jc w:val="left"/>
        <w:rPr>
          <w:rFonts w:ascii="Times New Roman" w:hAnsi="Times New Roman"/>
          <w:i/>
          <w:sz w:val="20"/>
        </w:rPr>
      </w:pPr>
      <w:r>
        <w:rPr>
          <w:rFonts w:ascii="Times New Roman" w:hAnsi="Times New Roman"/>
          <w:i/>
          <w:sz w:val="20"/>
        </w:rPr>
        <w:t xml:space="preserve">Precision Approach </w:t>
      </w:r>
    </w:p>
    <w:p>
      <w:pPr>
        <w:pStyle w:val="TextBody"/>
        <w:bidi w:val="0"/>
        <w:spacing w:before="120" w:after="0"/>
        <w:jc w:val="left"/>
        <w:rPr>
          <w:rFonts w:ascii="Times New Roman" w:hAnsi="Times New Roman"/>
          <w:sz w:val="20"/>
        </w:rPr>
      </w:pPr>
      <w:r>
        <w:rPr>
          <w:rFonts w:ascii="Times New Roman" w:hAnsi="Times New Roman"/>
          <w:sz w:val="20"/>
        </w:rPr>
        <w:t xml:space="preserve">We are leveraging multiple tools to develop strategies to identify enriched patient populations: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Drug signature generation: We are developing a proprietary TWAS-based CHRM4 genetic-prediction model that may serve as a potential predictor of treatment response, which may enable patient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enrichment in our clinical studies. M4R modulators can also be paired with quantitative EEG biomarkers for patient stratification.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cluster formation: We are analyzing longitudinal, multimodal datasets, including the Bipolar &amp; Schizophrenia Network on Intermediate Phenotypes (B-SNIP) dataset, to identify patient clusters. We have developed a proprietary EEG data processing pipeline and have onboarded the B-SNIP dataset which includes EEG data.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Development Plan </w:t>
      </w:r>
    </w:p>
    <w:p>
      <w:pPr>
        <w:pStyle w:val="TextBody"/>
        <w:bidi w:val="0"/>
        <w:spacing w:before="120" w:after="0"/>
        <w:jc w:val="left"/>
        <w:rPr>
          <w:rFonts w:ascii="Times New Roman" w:hAnsi="Times New Roman"/>
          <w:sz w:val="20"/>
        </w:rPr>
      </w:pPr>
      <w:r>
        <w:rPr>
          <w:rFonts w:ascii="Times New Roman" w:hAnsi="Times New Roman"/>
          <w:sz w:val="20"/>
        </w:rPr>
        <w:t xml:space="preserve">Our NMRA-M4R program is in the preclinical stage and we expect to initiate IND-enabling studies in                     . </w:t>
      </w:r>
    </w:p>
    <w:p>
      <w:pPr>
        <w:pStyle w:val="TextBody"/>
        <w:bidi w:val="0"/>
        <w:spacing w:before="360" w:after="0"/>
        <w:jc w:val="left"/>
        <w:rPr>
          <w:rFonts w:ascii="Times New Roman" w:hAnsi="Times New Roman"/>
          <w:b/>
          <w:i/>
          <w:sz w:val="20"/>
        </w:rPr>
      </w:pPr>
      <w:r>
        <w:rPr>
          <w:rFonts w:ascii="Times New Roman" w:hAnsi="Times New Roman"/>
          <w:b/>
          <w:i/>
          <w:sz w:val="20"/>
        </w:rPr>
        <w:t xml:space="preserve">NMRA-GRIN2A </w:t>
      </w:r>
    </w:p>
    <w:p>
      <w:pPr>
        <w:pStyle w:val="TextBody"/>
        <w:bidi w:val="0"/>
        <w:spacing w:before="240" w:after="0"/>
        <w:jc w:val="left"/>
        <w:rPr>
          <w:rFonts w:ascii="Times New Roman" w:hAnsi="Times New Roman"/>
          <w:sz w:val="20"/>
        </w:rPr>
      </w:pPr>
      <w:r>
        <w:rPr>
          <w:rFonts w:ascii="Times New Roman" w:hAnsi="Times New Roman"/>
          <w:sz w:val="20"/>
        </w:rPr>
        <w:t xml:space="preserve">NMRA-GRIN2A is a GRIN2A positive allosteric modulator program designed to target the GluN2A receptor subunit of the NMDA receptor that we intend to develop for the treatment of schizophrenia. Recent breakthroughs in psychiatric genetic studies have provided genetic evidence in support of the role of GRIN2A in schizophrenia. Furthermore, human studies suggest NMDA receptor antagonists (e.g., ketamine) lead to a schizophrenia-like syndrome, which provides compelling evidence for this target. To create a drug signature for NMRA-GRIN2A, we are exploring genomic and EEG-based markers, and we are also identifying patient clusters using longitudinal, multimodal datasets. Our NMRA-GRIN2A program is in the preclincal phase of development. </w:t>
      </w:r>
    </w:p>
    <w:p>
      <w:pPr>
        <w:pStyle w:val="TextBody"/>
        <w:bidi w:val="0"/>
        <w:spacing w:before="360" w:after="0"/>
        <w:jc w:val="left"/>
        <w:rPr>
          <w:rFonts w:ascii="Times New Roman" w:hAnsi="Times New Roman"/>
          <w:i/>
          <w:sz w:val="20"/>
        </w:rPr>
      </w:pPr>
      <w:r>
        <w:rPr>
          <w:rFonts w:ascii="Times New Roman" w:hAnsi="Times New Roman"/>
          <w:i/>
          <w:sz w:val="20"/>
        </w:rPr>
        <w:t xml:space="preserve">Indication Overview </w:t>
      </w:r>
    </w:p>
    <w:p>
      <w:pPr>
        <w:pStyle w:val="TextBody"/>
        <w:bidi w:val="0"/>
        <w:spacing w:before="120" w:after="0"/>
        <w:jc w:val="left"/>
        <w:rPr>
          <w:rFonts w:ascii="Times New Roman" w:hAnsi="Times New Roman"/>
          <w:sz w:val="20"/>
        </w:rPr>
      </w:pPr>
      <w:r>
        <w:rPr>
          <w:rFonts w:ascii="Times New Roman" w:hAnsi="Times New Roman"/>
          <w:sz w:val="20"/>
        </w:rPr>
        <w:t xml:space="preserve">Similar to NMRA-M4R, we are evaluating NMRA-GRIN2A in subsets of patients with schizophrenia. </w:t>
      </w:r>
    </w:p>
    <w:p>
      <w:pPr>
        <w:pStyle w:val="TextBody"/>
        <w:bidi w:val="0"/>
        <w:spacing w:before="360" w:after="0"/>
        <w:jc w:val="left"/>
        <w:rPr>
          <w:rFonts w:ascii="Times New Roman" w:hAnsi="Times New Roman"/>
          <w:i/>
          <w:sz w:val="20"/>
        </w:rPr>
      </w:pPr>
      <w:r>
        <w:rPr>
          <w:rFonts w:ascii="Times New Roman" w:hAnsi="Times New Roman"/>
          <w:i/>
          <w:sz w:val="20"/>
        </w:rPr>
        <w:t xml:space="preserve">Target Rationale </w:t>
      </w:r>
    </w:p>
    <w:p>
      <w:pPr>
        <w:pStyle w:val="TextBody"/>
        <w:bidi w:val="0"/>
        <w:spacing w:before="120" w:after="0"/>
        <w:jc w:val="left"/>
        <w:rPr>
          <w:rFonts w:ascii="Times New Roman" w:hAnsi="Times New Roman"/>
          <w:sz w:val="20"/>
        </w:rPr>
      </w:pPr>
      <w:r>
        <w:rPr>
          <w:rFonts w:ascii="Times New Roman" w:hAnsi="Times New Roman"/>
          <w:sz w:val="20"/>
        </w:rPr>
        <w:t xml:space="preserve">NMRA-GRIN2A is an investigational allosteric modulator of GRIN2A/GluN2A-containing NMDA glutamate receptors. Glutamate is the major excitatory neurotransmitter in the brain, and dysregulation of glutamate levels and downstream pathways has long been hypothesized to be a key molecular driver of schizophrenia. Recently large studies of the genetic basis of schizophrenia have identified the GRIN2A gene, which produces the GluN2A subunit of the NMDA receptor, as a critical genetic risk factor for the disease. Human pharmacology experiments have indicated that decreases in NMDA receptor activity can lead to schizophrenia-like symptoms in healthy volunteers. These studies suggest compounds which elevate NMDA receptor activity have the potential to treat the disease. </w:t>
      </w:r>
    </w:p>
    <w:p>
      <w:pPr>
        <w:pStyle w:val="TextBody"/>
        <w:bidi w:val="0"/>
        <w:spacing w:before="360" w:after="0"/>
        <w:jc w:val="left"/>
        <w:rPr>
          <w:rFonts w:ascii="Times New Roman" w:hAnsi="Times New Roman"/>
          <w:i/>
          <w:sz w:val="20"/>
        </w:rPr>
      </w:pPr>
      <w:r>
        <w:rPr>
          <w:rFonts w:ascii="Times New Roman" w:hAnsi="Times New Roman"/>
          <w:i/>
          <w:sz w:val="20"/>
        </w:rPr>
        <w:t xml:space="preserve">Pharmacological Properties </w:t>
      </w:r>
    </w:p>
    <w:p>
      <w:pPr>
        <w:pStyle w:val="TextBody"/>
        <w:bidi w:val="0"/>
        <w:spacing w:before="120" w:after="0"/>
        <w:jc w:val="left"/>
        <w:rPr>
          <w:rFonts w:ascii="Times New Roman" w:hAnsi="Times New Roman"/>
          <w:sz w:val="20"/>
        </w:rPr>
      </w:pPr>
      <w:r>
        <w:rPr>
          <w:rFonts w:ascii="Times New Roman" w:hAnsi="Times New Roman"/>
          <w:sz w:val="20"/>
        </w:rPr>
        <w:t xml:space="preserve">We have identified a series of investigational GRIN2A positive allosteric modulators that are designed to be potent and orally bioavailable. The lead molecules have been identified through experiments in whole cells, known as cell-based assays, to evaluate potential mechanism and have demonstrated target engagement in animal models, including high selectivity in modulating the GluN2A subunit of the NMDA receptor, compared to other NMDA receptor subunits, in an </w:t>
      </w:r>
      <w:r>
        <w:rPr>
          <w:rFonts w:ascii="Times New Roman" w:hAnsi="Times New Roman"/>
          <w:i/>
          <w:sz w:val="20"/>
        </w:rPr>
        <w:t>in vitro</w:t>
      </w:r>
      <w:r>
        <w:rPr>
          <w:rFonts w:ascii="Times New Roman" w:hAnsi="Times New Roman"/>
          <w:sz w:val="20"/>
        </w:rPr>
        <w:t xml:space="preserve"> selectivity model. </w:t>
      </w:r>
    </w:p>
    <w:p>
      <w:pPr>
        <w:pStyle w:val="TextBody"/>
        <w:bidi w:val="0"/>
        <w:spacing w:before="360" w:after="0"/>
        <w:jc w:val="left"/>
        <w:rPr>
          <w:rFonts w:ascii="Times New Roman" w:hAnsi="Times New Roman"/>
          <w:i/>
          <w:sz w:val="20"/>
        </w:rPr>
      </w:pPr>
      <w:r>
        <w:rPr>
          <w:rFonts w:ascii="Times New Roman" w:hAnsi="Times New Roman"/>
          <w:i/>
          <w:sz w:val="20"/>
        </w:rPr>
        <w:t xml:space="preserve">Precision Approach </w:t>
      </w:r>
    </w:p>
    <w:p>
      <w:pPr>
        <w:pStyle w:val="TextBody"/>
        <w:bidi w:val="0"/>
        <w:spacing w:before="120" w:after="0"/>
        <w:jc w:val="left"/>
        <w:rPr>
          <w:rFonts w:ascii="Times New Roman" w:hAnsi="Times New Roman"/>
          <w:sz w:val="20"/>
        </w:rPr>
      </w:pPr>
      <w:r>
        <w:rPr>
          <w:rFonts w:ascii="Times New Roman" w:hAnsi="Times New Roman"/>
          <w:sz w:val="20"/>
        </w:rPr>
        <w:t xml:space="preserve">We are leveraging multiple tools to develop strategies to identify enriched patient populations: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Drug signature generation: We are focusing on EEG as the principal biomarker tool to generate a drug signature for NMRA-GRIN2A. Mismatch negativity (MMN) is a biomarker measured by EEG based on the brains response to unexpected stimuli. MMN as a biomarker is robustly impaired in schizophrenia patients, translatable between rodents and humans, sensitive to NMDA receptor activity and linked to circuit level brain dysfunction. We are also using genetic approaches to inform the NMRA-GRIN2A drug signature and have developed a proprietary TWAS-based genetic signature that could be used as a potential biomarker.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cluster formation: We are analyzing longitudinal, multimodal datasets, including the B-SNIP dataset, to identify patient clusters.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Development Plan </w:t>
      </w:r>
    </w:p>
    <w:p>
      <w:pPr>
        <w:pStyle w:val="TextBody"/>
        <w:bidi w:val="0"/>
        <w:spacing w:before="120" w:after="0"/>
        <w:jc w:val="left"/>
        <w:rPr>
          <w:rFonts w:ascii="Times New Roman" w:hAnsi="Times New Roman"/>
          <w:sz w:val="20"/>
        </w:rPr>
      </w:pPr>
      <w:r>
        <w:rPr>
          <w:rFonts w:ascii="Times New Roman" w:hAnsi="Times New Roman"/>
          <w:sz w:val="20"/>
        </w:rPr>
        <w:t xml:space="preserve">Our NMRA-GRIN2A program is in the preclinical stage of development.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NMRA-NRLP3 </w:t>
      </w:r>
    </w:p>
    <w:p>
      <w:pPr>
        <w:pStyle w:val="TextBody"/>
        <w:bidi w:val="0"/>
        <w:spacing w:before="120" w:after="0"/>
        <w:jc w:val="left"/>
        <w:rPr>
          <w:rFonts w:ascii="Times New Roman" w:hAnsi="Times New Roman"/>
          <w:sz w:val="20"/>
        </w:rPr>
      </w:pPr>
      <w:r>
        <w:rPr>
          <w:rFonts w:ascii="Times New Roman" w:hAnsi="Times New Roman"/>
          <w:sz w:val="20"/>
        </w:rPr>
        <w:t xml:space="preserve">NMRA-NLRP3 is an inhibitor program focused on targeting the NLRP3 inflammasome for the treatment of certain neurodegenerative conditions. The inflammasome is a critical part of the innate immune system that responds to pathogens and cellular damage and is implicated in brain disorders, such as Parkinsons disease (PD), as well as immune disorders. The NLRP3 inflammasome can be activated in brain microglia, a type of cell in the brain, and other cell types by a range of proteins linked to neurodegeneration, including alpha-synuclein (a neuronal protein that regulates synaptic vesicle trafficking), which suggests the inflammasome may have a mechanistic role in PD. To create a drug signature for NMRA-NLRP3, we are using iPSC-derived cellular assays and an RNA-seq approach, and we are also identifying patient clusters using longitudinal, multimodal datasets. Our NMRA-NLRP3 program is in the preclinical phase of development. </w:t>
      </w:r>
    </w:p>
    <w:p>
      <w:pPr>
        <w:pStyle w:val="TextBody"/>
        <w:bidi w:val="0"/>
        <w:spacing w:before="360" w:after="0"/>
        <w:jc w:val="left"/>
        <w:rPr>
          <w:rFonts w:ascii="Times New Roman" w:hAnsi="Times New Roman"/>
          <w:i/>
          <w:sz w:val="20"/>
        </w:rPr>
      </w:pPr>
      <w:r>
        <w:rPr>
          <w:rFonts w:ascii="Times New Roman" w:hAnsi="Times New Roman"/>
          <w:i/>
          <w:sz w:val="20"/>
        </w:rPr>
        <w:t xml:space="preserve">Indication Overview </w:t>
      </w:r>
    </w:p>
    <w:p>
      <w:pPr>
        <w:pStyle w:val="TextBody"/>
        <w:bidi w:val="0"/>
        <w:spacing w:before="120" w:after="0"/>
        <w:jc w:val="left"/>
        <w:rPr>
          <w:rFonts w:ascii="Times New Roman" w:hAnsi="Times New Roman"/>
          <w:sz w:val="20"/>
        </w:rPr>
      </w:pPr>
      <w:r>
        <w:rPr>
          <w:rFonts w:ascii="Times New Roman" w:hAnsi="Times New Roman"/>
          <w:sz w:val="20"/>
        </w:rPr>
        <w:t xml:space="preserve">PD is a neurodegenerative disorder resulting in progressive and debilitating motor symptoms, such as hypokinesia, or decreased body movement, and bradykinesia, or rigidity, tremor, and postural instability. PD patients lose dopamine-producing neurons in the substantia nigra, the region of the brain responsible for motor control. Approximately one million people in the United States have PD. </w:t>
      </w:r>
    </w:p>
    <w:p>
      <w:pPr>
        <w:pStyle w:val="TextBody"/>
        <w:bidi w:val="0"/>
        <w:spacing w:before="240" w:after="0"/>
        <w:jc w:val="left"/>
        <w:rPr>
          <w:rFonts w:ascii="Times New Roman" w:hAnsi="Times New Roman"/>
          <w:sz w:val="20"/>
        </w:rPr>
      </w:pPr>
      <w:r>
        <w:rPr>
          <w:rFonts w:ascii="Times New Roman" w:hAnsi="Times New Roman"/>
          <w:sz w:val="20"/>
        </w:rPr>
        <w:t xml:space="preserve">Current therapeutics for PD focus on increasing levels of dopamine to manage disease symptoms. For example, levodopa/l-dopa is converted into dopamine in the brain while mono-amine oxidase-B and catechol-O-methyl transferase inhibitors reduce the breakdown of dopamine. Each therapeutic class has meaningful limitations in efficacy and side-effects. </w:t>
      </w:r>
    </w:p>
    <w:p>
      <w:pPr>
        <w:pStyle w:val="TextBody"/>
        <w:bidi w:val="0"/>
        <w:spacing w:before="360" w:after="0"/>
        <w:jc w:val="left"/>
        <w:rPr>
          <w:rFonts w:ascii="Times New Roman" w:hAnsi="Times New Roman"/>
          <w:i/>
          <w:sz w:val="20"/>
        </w:rPr>
      </w:pPr>
      <w:r>
        <w:rPr>
          <w:rFonts w:ascii="Times New Roman" w:hAnsi="Times New Roman"/>
          <w:i/>
          <w:sz w:val="20"/>
        </w:rPr>
        <w:t xml:space="preserve">Target Rationale </w:t>
      </w:r>
    </w:p>
    <w:p>
      <w:pPr>
        <w:pStyle w:val="TextBody"/>
        <w:bidi w:val="0"/>
        <w:spacing w:before="120" w:after="0"/>
        <w:jc w:val="left"/>
        <w:rPr>
          <w:rFonts w:ascii="Times New Roman" w:hAnsi="Times New Roman"/>
          <w:sz w:val="20"/>
        </w:rPr>
      </w:pPr>
      <w:r>
        <w:rPr>
          <w:rFonts w:ascii="Times New Roman" w:hAnsi="Times New Roman"/>
          <w:sz w:val="20"/>
        </w:rPr>
        <w:t xml:space="preserve">The NLRP3 inflammasome is a central component of the innate immune system and is chronically activated in neurodegenerative and inflammatory diseases. It is essential for triggering innate immunity and protecting the host from a variety of pathogens and cellular stressors. Pathological proteins associated with PD, ALS, and AD have also been shown to activate the NLRP3 inflammasome, including (i) alpha-synuclein, a protein that plays multiple roles in brain cell function including regulating communications between nerve cells, (ii) TDP-43, a protein involved in regulating the processing of molecules known as messenger RNAs (mRNAs) which are the intermediates between DNA and proteins in a cell, (iii) beta-amyloid, a protein whose function is poorly understood but which is over-produced in Alzheimers disease, and (iv) tau, a protein that provides structural support to cells. For example, post-mortem analysis of human brains from PD patients showed elevated NLRP3 expression in dopamine producing neurons. Rare NLRP3 mutations can be protective in PD due to downregulation of NLRP3 protein expression. A growing body of work in PD model systems has shown that inhibition of the NLRP3 inflammasome can impact various disease phenotypes in a therapeutically relevant manner. </w:t>
      </w:r>
    </w:p>
    <w:p>
      <w:pPr>
        <w:pStyle w:val="TextBody"/>
        <w:bidi w:val="0"/>
        <w:spacing w:before="360" w:after="0"/>
        <w:jc w:val="left"/>
        <w:rPr>
          <w:rFonts w:ascii="Times New Roman" w:hAnsi="Times New Roman"/>
          <w:i/>
          <w:sz w:val="20"/>
        </w:rPr>
      </w:pPr>
      <w:r>
        <w:rPr>
          <w:rFonts w:ascii="Times New Roman" w:hAnsi="Times New Roman"/>
          <w:i/>
          <w:sz w:val="20"/>
        </w:rPr>
        <w:t xml:space="preserve">Pharmacological Properties </w:t>
      </w:r>
    </w:p>
    <w:p>
      <w:pPr>
        <w:pStyle w:val="TextBody"/>
        <w:bidi w:val="0"/>
        <w:spacing w:before="120" w:after="0"/>
        <w:jc w:val="left"/>
        <w:rPr>
          <w:rFonts w:ascii="Times New Roman" w:hAnsi="Times New Roman"/>
          <w:sz w:val="20"/>
        </w:rPr>
      </w:pPr>
      <w:r>
        <w:rPr>
          <w:rFonts w:ascii="Times New Roman" w:hAnsi="Times New Roman"/>
          <w:sz w:val="20"/>
        </w:rPr>
        <w:t xml:space="preserve">We have has identified multiple series of investigational NLRP3 inhibitors that showed potency and selectivity in preclinical studies. We have evaluated compounds in a range of cellular assays in different immortalized cell lines and primary immune cells.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Precision Approach </w:t>
      </w:r>
    </w:p>
    <w:p>
      <w:pPr>
        <w:pStyle w:val="TextBody"/>
        <w:bidi w:val="0"/>
        <w:spacing w:before="120" w:after="0"/>
        <w:jc w:val="left"/>
        <w:rPr>
          <w:rFonts w:ascii="Times New Roman" w:hAnsi="Times New Roman"/>
          <w:sz w:val="20"/>
        </w:rPr>
      </w:pPr>
      <w:r>
        <w:rPr>
          <w:rFonts w:ascii="Times New Roman" w:hAnsi="Times New Roman"/>
          <w:sz w:val="20"/>
        </w:rPr>
        <w:t xml:space="preserve">We are leveraging multiple tools to develop strategies to identify enriched patient populations: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Drug signature generation: We are focused on characterizing the RNA-seq and proteomic signatures from iPSC-derived and primary immune cellular assays to identify pathways impacted by NMRA-NLRP3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cluster formation: We are analyzing the multimodal Parkinsons Progression Markers Initiative (PPMI) dataset with critical unimodal inputs including clinical, RNA-seq and proteomics data.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Development Plan </w:t>
      </w:r>
    </w:p>
    <w:p>
      <w:pPr>
        <w:pStyle w:val="TextBody"/>
        <w:bidi w:val="0"/>
        <w:spacing w:before="120" w:after="0"/>
        <w:jc w:val="left"/>
        <w:rPr>
          <w:rFonts w:ascii="Times New Roman" w:hAnsi="Times New Roman"/>
          <w:sz w:val="20"/>
        </w:rPr>
      </w:pPr>
      <w:r>
        <w:rPr>
          <w:rFonts w:ascii="Times New Roman" w:hAnsi="Times New Roman"/>
          <w:sz w:val="20"/>
        </w:rPr>
        <w:t xml:space="preserve">Our NMRA-NLRP3 program is in the preclinical phase of development. </w:t>
      </w:r>
    </w:p>
    <w:p>
      <w:pPr>
        <w:pStyle w:val="TextBody"/>
        <w:bidi w:val="0"/>
        <w:spacing w:before="360" w:after="0"/>
        <w:jc w:val="left"/>
        <w:rPr>
          <w:rFonts w:ascii="Times New Roman" w:hAnsi="Times New Roman"/>
          <w:sz w:val="20"/>
        </w:rPr>
      </w:pPr>
      <w:r>
        <w:rPr>
          <w:rFonts w:ascii="Times New Roman" w:hAnsi="Times New Roman"/>
          <w:b/>
          <w:i/>
          <w:sz w:val="20"/>
        </w:rPr>
        <w:t>NMRA-CK1</w:t>
      </w:r>
      <w:r>
        <w:rPr>
          <w:rFonts w:ascii="SYMBOL" w:hAnsi="SYMBOL"/>
          <w:sz w:val="20"/>
        </w:rPr>
        <w:t>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NMRA-CK1</w:t>
      </w:r>
      <w:r>
        <w:rPr>
          <w:rFonts w:ascii="SYMBOL" w:hAnsi="SYMBOL"/>
          <w:sz w:val="20"/>
        </w:rPr>
        <w:t>d</w:t>
      </w:r>
      <w:r>
        <w:rPr>
          <w:rFonts w:ascii="Times New Roman" w:hAnsi="Times New Roman"/>
          <w:sz w:val="20"/>
        </w:rPr>
        <w:t xml:space="preserve"> is a CK1</w:t>
      </w:r>
      <w:r>
        <w:rPr>
          <w:rFonts w:ascii="SYMBOL" w:hAnsi="SYMBOL"/>
          <w:sz w:val="20"/>
        </w:rPr>
        <w:t>d</w:t>
      </w:r>
      <w:r>
        <w:rPr>
          <w:rFonts w:ascii="Times New Roman" w:hAnsi="Times New Roman"/>
          <w:sz w:val="20"/>
        </w:rPr>
        <w:t xml:space="preserve"> inhibitor program that we intend to develop for ALS. CK1</w:t>
      </w:r>
      <w:r>
        <w:rPr>
          <w:rFonts w:ascii="SYMBOL" w:hAnsi="SYMBOL"/>
          <w:sz w:val="20"/>
        </w:rPr>
        <w:t>d</w:t>
      </w:r>
      <w:r>
        <w:rPr>
          <w:rFonts w:ascii="Times New Roman" w:hAnsi="Times New Roman"/>
          <w:sz w:val="20"/>
        </w:rPr>
        <w:t xml:space="preserve"> is a kinase that has been identified as a proximal upstream regulator of TDP-43 phosphorylation, a key driver of TDP-43-driven pathology in approximately 95% of sporadic ALS cases. There is also genetic evidence linking TDP-43 to both familial and sporadic ALS. To create a drug signature for NMRA-CK1</w:t>
      </w:r>
      <w:r>
        <w:rPr>
          <w:rFonts w:ascii="SYMBOL" w:hAnsi="SYMBOL"/>
          <w:sz w:val="20"/>
        </w:rPr>
        <w:t>d</w:t>
      </w:r>
      <w:r>
        <w:rPr>
          <w:rFonts w:ascii="Times New Roman" w:hAnsi="Times New Roman"/>
          <w:sz w:val="20"/>
        </w:rPr>
        <w:t>, we are using iPSC-derived cellular assays and an RNA-seq approach and we are also identifying patient clusters using longitudinal, multimodal datasets. Our NMRA-CK1</w:t>
      </w:r>
      <w:r>
        <w:rPr>
          <w:rFonts w:ascii="SYMBOL" w:hAnsi="SYMBOL"/>
          <w:sz w:val="20"/>
        </w:rPr>
        <w:t>d</w:t>
      </w:r>
      <w:r>
        <w:rPr>
          <w:rFonts w:ascii="Times New Roman" w:hAnsi="Times New Roman"/>
          <w:sz w:val="20"/>
        </w:rPr>
        <w:t xml:space="preserve"> program is in the preclinical phase of development, and we may seek to identify other potential Precision Phenotypes associated with TDP-43-driven pathologies beyond ALS. We exclusively licensed certain intellectual property rights related to NMRA-CK1</w:t>
      </w:r>
      <w:r>
        <w:rPr>
          <w:rFonts w:ascii="SYMBOL" w:hAnsi="SYMBOL"/>
          <w:sz w:val="20"/>
        </w:rPr>
        <w:t>d</w:t>
      </w:r>
      <w:r>
        <w:rPr>
          <w:rFonts w:ascii="Times New Roman" w:hAnsi="Times New Roman"/>
          <w:sz w:val="20"/>
        </w:rPr>
        <w:t xml:space="preserve"> from Amgen. </w:t>
      </w:r>
    </w:p>
    <w:p>
      <w:pPr>
        <w:pStyle w:val="TextBody"/>
        <w:bidi w:val="0"/>
        <w:spacing w:before="360" w:after="0"/>
        <w:jc w:val="left"/>
        <w:rPr>
          <w:rFonts w:ascii="Times New Roman" w:hAnsi="Times New Roman"/>
          <w:i/>
          <w:sz w:val="20"/>
        </w:rPr>
      </w:pPr>
      <w:r>
        <w:rPr>
          <w:rFonts w:ascii="Times New Roman" w:hAnsi="Times New Roman"/>
          <w:i/>
          <w:sz w:val="20"/>
        </w:rPr>
        <w:t xml:space="preserve">Indication Overview </w:t>
      </w:r>
    </w:p>
    <w:p>
      <w:pPr>
        <w:pStyle w:val="TextBody"/>
        <w:bidi w:val="0"/>
        <w:spacing w:before="120" w:after="0"/>
        <w:jc w:val="left"/>
        <w:rPr>
          <w:rFonts w:ascii="Times New Roman" w:hAnsi="Times New Roman"/>
          <w:sz w:val="20"/>
        </w:rPr>
      </w:pPr>
      <w:r>
        <w:rPr>
          <w:rFonts w:ascii="Times New Roman" w:hAnsi="Times New Roman"/>
          <w:sz w:val="20"/>
        </w:rPr>
        <w:t xml:space="preserve">ALS is a rapidly progressing neurodegenerative disease that affects motor neurons in the brain and spinal cord. As motor neurons die, the brain loses the ability to initiate and control muscle movement, and patients may lose the ability to speak, eat, move and breathe. Approximately 5,000 people in the United States are diagnosed with ALS each year, and approximately 16,000 patients live with ALS in the United States at a given time. ALS usually affects patients between the ages of 40 and 70. </w:t>
      </w:r>
    </w:p>
    <w:p>
      <w:pPr>
        <w:pStyle w:val="TextBody"/>
        <w:bidi w:val="0"/>
        <w:spacing w:before="240" w:after="0"/>
        <w:jc w:val="left"/>
        <w:rPr>
          <w:rFonts w:ascii="Times New Roman" w:hAnsi="Times New Roman"/>
          <w:sz w:val="20"/>
        </w:rPr>
      </w:pPr>
      <w:r>
        <w:rPr>
          <w:rFonts w:ascii="Times New Roman" w:hAnsi="Times New Roman"/>
          <w:sz w:val="20"/>
        </w:rPr>
        <w:t xml:space="preserve">Existing therapeutics have modest effects on survival and physical functioning with no effect on mortality and patients have an average life expectancy of two to five years from diagnosis, emphasizing the high unmet medical need. </w:t>
      </w:r>
    </w:p>
    <w:p>
      <w:pPr>
        <w:pStyle w:val="TextBody"/>
        <w:bidi w:val="0"/>
        <w:spacing w:before="360" w:after="0"/>
        <w:jc w:val="left"/>
        <w:rPr>
          <w:rFonts w:ascii="Times New Roman" w:hAnsi="Times New Roman"/>
          <w:i/>
          <w:sz w:val="20"/>
        </w:rPr>
      </w:pPr>
      <w:r>
        <w:rPr>
          <w:rFonts w:ascii="Times New Roman" w:hAnsi="Times New Roman"/>
          <w:i/>
          <w:sz w:val="20"/>
        </w:rPr>
        <w:t xml:space="preserve">Target Rationale </w:t>
      </w:r>
    </w:p>
    <w:p>
      <w:pPr>
        <w:pStyle w:val="TextBody"/>
        <w:bidi w:val="0"/>
        <w:spacing w:before="120" w:after="0"/>
        <w:jc w:val="left"/>
        <w:rPr>
          <w:rFonts w:ascii="Times New Roman" w:hAnsi="Times New Roman"/>
          <w:sz w:val="20"/>
        </w:rPr>
      </w:pPr>
      <w:r>
        <w:rPr>
          <w:rFonts w:ascii="Times New Roman" w:hAnsi="Times New Roman"/>
          <w:sz w:val="20"/>
        </w:rPr>
        <w:t>CK1</w:t>
      </w:r>
      <w:r>
        <w:rPr>
          <w:rFonts w:ascii="SYMBOL" w:hAnsi="SYMBOL"/>
          <w:sz w:val="20"/>
        </w:rPr>
        <w:t>d</w:t>
      </w:r>
      <w:r>
        <w:rPr>
          <w:rFonts w:ascii="Times New Roman" w:hAnsi="Times New Roman"/>
          <w:sz w:val="20"/>
        </w:rPr>
        <w:t xml:space="preserve"> is a key proximal kinase phosphorylating TDP-43, a protein implicated in the pathology of both sporadic and familial ALS. Protein aggregates containing phosphorylated TDP-43 are present in degenerating motor neurons of ALS patients. It is hypothesized that reduction of TDP-43 phosphorylation with a CK1</w:t>
      </w:r>
      <w:r>
        <w:rPr>
          <w:rFonts w:ascii="SYMBOL" w:hAnsi="SYMBOL"/>
          <w:sz w:val="20"/>
        </w:rPr>
        <w:t>d</w:t>
      </w:r>
      <w:r>
        <w:rPr>
          <w:rFonts w:ascii="Times New Roman" w:hAnsi="Times New Roman"/>
          <w:sz w:val="20"/>
        </w:rPr>
        <w:t xml:space="preserve"> inhibitor will reduce TDP-43 driven pathology and slow disease progression. Published data have demonstrated that CK1</w:t>
      </w:r>
      <w:r>
        <w:rPr>
          <w:rFonts w:ascii="SYMBOL" w:hAnsi="SYMBOL"/>
          <w:sz w:val="20"/>
        </w:rPr>
        <w:t>d</w:t>
      </w:r>
      <w:r>
        <w:rPr>
          <w:rFonts w:ascii="Times New Roman" w:hAnsi="Times New Roman"/>
          <w:sz w:val="20"/>
        </w:rPr>
        <w:t xml:space="preserve"> inhibitors reverse aberrant TDP-43 related phenotypes in both </w:t>
      </w:r>
      <w:r>
        <w:rPr>
          <w:rFonts w:ascii="Times New Roman" w:hAnsi="Times New Roman"/>
          <w:i/>
          <w:sz w:val="20"/>
        </w:rPr>
        <w:t>in vitro</w:t>
      </w:r>
      <w:r>
        <w:rPr>
          <w:rFonts w:ascii="Times New Roman" w:hAnsi="Times New Roman"/>
          <w:sz w:val="20"/>
        </w:rPr>
        <w:t xml:space="preserve"> studies, which are studies conducted outside of a living organism, and </w:t>
      </w:r>
      <w:r>
        <w:rPr>
          <w:rFonts w:ascii="Times New Roman" w:hAnsi="Times New Roman"/>
          <w:i/>
          <w:sz w:val="20"/>
        </w:rPr>
        <w:t>in vivo</w:t>
      </w:r>
      <w:r>
        <w:rPr>
          <w:rFonts w:ascii="Times New Roman" w:hAnsi="Times New Roman"/>
          <w:sz w:val="20"/>
        </w:rPr>
        <w:t xml:space="preserve"> studies, which are preclinical studies conducted in a living organism. </w:t>
      </w:r>
    </w:p>
    <w:p>
      <w:pPr>
        <w:pStyle w:val="TextBody"/>
        <w:bidi w:val="0"/>
        <w:spacing w:before="360" w:after="0"/>
        <w:jc w:val="left"/>
        <w:rPr>
          <w:rFonts w:ascii="Times New Roman" w:hAnsi="Times New Roman"/>
          <w:i/>
          <w:sz w:val="20"/>
        </w:rPr>
      </w:pPr>
      <w:r>
        <w:rPr>
          <w:rFonts w:ascii="Times New Roman" w:hAnsi="Times New Roman"/>
          <w:i/>
          <w:sz w:val="20"/>
        </w:rPr>
        <w:t xml:space="preserve">Pharmacological Properties </w:t>
      </w:r>
    </w:p>
    <w:p>
      <w:pPr>
        <w:pStyle w:val="TextBody"/>
        <w:bidi w:val="0"/>
        <w:spacing w:before="120" w:after="0"/>
        <w:jc w:val="left"/>
        <w:rPr>
          <w:rFonts w:ascii="Times New Roman" w:hAnsi="Times New Roman"/>
          <w:sz w:val="20"/>
        </w:rPr>
      </w:pPr>
      <w:r>
        <w:rPr>
          <w:rFonts w:ascii="Times New Roman" w:hAnsi="Times New Roman"/>
          <w:sz w:val="20"/>
        </w:rPr>
        <w:t>NMRA-CK1</w:t>
      </w:r>
      <w:r>
        <w:rPr>
          <w:rFonts w:ascii="SYMBOL" w:hAnsi="SYMBOL"/>
          <w:sz w:val="20"/>
        </w:rPr>
        <w:t>d</w:t>
      </w:r>
      <w:r>
        <w:rPr>
          <w:rFonts w:ascii="Times New Roman" w:hAnsi="Times New Roman"/>
          <w:sz w:val="20"/>
        </w:rPr>
        <w:t xml:space="preserve"> inhibitors have nanomolar (one-billionth of one molar, which is a measurement of concentration) potency, are selective over a number of other kinases and exhibit cell-based activity. Compounds have properties consistent with favorable CNS penetration and we are initiating experiments in both </w:t>
      </w:r>
      <w:r>
        <w:rPr>
          <w:rFonts w:ascii="Times New Roman" w:hAnsi="Times New Roman"/>
          <w:i/>
          <w:sz w:val="20"/>
        </w:rPr>
        <w:t>in vitro</w:t>
      </w:r>
      <w:r>
        <w:rPr>
          <w:rFonts w:ascii="Times New Roman" w:hAnsi="Times New Roman"/>
          <w:sz w:val="20"/>
        </w:rPr>
        <w:t xml:space="preserve"> cell models and </w:t>
      </w:r>
      <w:r>
        <w:rPr>
          <w:rFonts w:ascii="Times New Roman" w:hAnsi="Times New Roman"/>
          <w:i/>
          <w:sz w:val="20"/>
        </w:rPr>
        <w:t>in vivo</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Precision Approach </w:t>
      </w:r>
    </w:p>
    <w:p>
      <w:pPr>
        <w:pStyle w:val="TextBody"/>
        <w:bidi w:val="0"/>
        <w:spacing w:before="120" w:after="0"/>
        <w:jc w:val="left"/>
        <w:rPr>
          <w:rFonts w:ascii="Times New Roman" w:hAnsi="Times New Roman"/>
          <w:sz w:val="20"/>
        </w:rPr>
      </w:pPr>
      <w:r>
        <w:rPr>
          <w:rFonts w:ascii="Times New Roman" w:hAnsi="Times New Roman"/>
          <w:sz w:val="20"/>
        </w:rPr>
        <w:t xml:space="preserve">We are leveraging multiple tools to develop strategies to identify enriched patient populations: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Drug signature generation: We are focused on characterizing the RNA-seq and proteomic signatures from iPSC-derived cellular assays to identify pathways impacted by NMRA-CK1</w:t>
            </w:r>
            <w:r>
              <w:rPr>
                <w:rFonts w:ascii="SYMBOL" w:hAnsi="SYMBOL"/>
                <w:sz w:val="20"/>
              </w:rPr>
              <w:t>d</w:t>
            </w:r>
            <w:r>
              <w:rPr>
                <w:rFonts w:ascii="Times New Roman" w:hAnsi="Times New Roman"/>
                <w:sz w:val="20"/>
              </w:rPr>
              <w:t xml:space="preserve">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cluster formation: We are analyzing data from the multimodal, longitudinal Answer ALS dataset, including clinical data, such as the disease progression of ALS, and the genetic architecture of ALS, including (i) genome-wide association studies, or GWAS, in which traits that typically relate to a disease or disorder are characterized and associated with a specific genetic mutation identified across the relevant study group, (ii) expression quantitative trait loci, or EQTL, which is a genetic marker that provides a quantifiable prediction of the expression levels of a target gene, (iii) transcriptome-wide association studies, or TWAS, in which GWAS data is integrated with gene expression data to form relations between genes and phenotypic traits, (iv) differential expression, and (v) co-localization.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Development Plan </w:t>
      </w:r>
    </w:p>
    <w:p>
      <w:pPr>
        <w:pStyle w:val="TextBody"/>
        <w:bidi w:val="0"/>
        <w:spacing w:before="120" w:after="0"/>
        <w:jc w:val="left"/>
        <w:rPr>
          <w:rFonts w:ascii="Times New Roman" w:hAnsi="Times New Roman"/>
          <w:sz w:val="20"/>
        </w:rPr>
      </w:pPr>
      <w:r>
        <w:rPr>
          <w:rFonts w:ascii="Times New Roman" w:hAnsi="Times New Roman"/>
          <w:sz w:val="20"/>
        </w:rPr>
        <w:t>Our NMRA-CK1</w:t>
      </w:r>
      <w:r>
        <w:rPr>
          <w:rFonts w:ascii="SYMBOL" w:hAnsi="SYMBOL"/>
          <w:sz w:val="20"/>
        </w:rPr>
        <w:t>d</w:t>
      </w:r>
      <w:r>
        <w:rPr>
          <w:rFonts w:ascii="Times New Roman" w:hAnsi="Times New Roman"/>
          <w:sz w:val="20"/>
        </w:rPr>
        <w:t xml:space="preserve"> program is in the preclinical phase of development.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NMRA-GCase </w:t>
      </w:r>
    </w:p>
    <w:p>
      <w:pPr>
        <w:pStyle w:val="TextBody"/>
        <w:bidi w:val="0"/>
        <w:spacing w:before="120" w:after="0"/>
        <w:jc w:val="left"/>
        <w:rPr>
          <w:rFonts w:ascii="Times New Roman" w:hAnsi="Times New Roman"/>
          <w:sz w:val="20"/>
        </w:rPr>
      </w:pPr>
      <w:r>
        <w:rPr>
          <w:rFonts w:ascii="Times New Roman" w:hAnsi="Times New Roman"/>
          <w:sz w:val="20"/>
        </w:rPr>
        <w:t xml:space="preserve">NMRA-GCase is an activator program focused on elevating the activity of the enzyme glucocerebrocidase (GCase) that we intend to develop for the treatment of PD. Mutations in the GBA gene, which codes for the enzyme GCase, are the single largest genetic risk factor for PD. GCase deficiencies lead to storage disorders of the lysosome, which plays an important role in maintaining cellular balance, and a group of patients with PD have lysosomal dysfunction. To create a drug signature for NMRA-GCase, we are using iPSC-derived cellular assays and an RNA-seq approach and we are also identifying patient clusters using longitudinal, multimodal datasets. Our NMRA-GCase program is in the preclinical phase of development. We exclusively licensed certain intellectual property rights related to NMRA-GCase from Amgen. </w:t>
      </w:r>
    </w:p>
    <w:p>
      <w:pPr>
        <w:pStyle w:val="TextBody"/>
        <w:bidi w:val="0"/>
        <w:spacing w:before="360" w:after="0"/>
        <w:jc w:val="left"/>
        <w:rPr>
          <w:rFonts w:ascii="Times New Roman" w:hAnsi="Times New Roman"/>
          <w:i/>
          <w:sz w:val="20"/>
        </w:rPr>
      </w:pPr>
      <w:r>
        <w:rPr>
          <w:rFonts w:ascii="Times New Roman" w:hAnsi="Times New Roman"/>
          <w:i/>
          <w:sz w:val="20"/>
        </w:rPr>
        <w:t xml:space="preserve">Indication Overview </w:t>
      </w:r>
    </w:p>
    <w:p>
      <w:pPr>
        <w:pStyle w:val="TextBody"/>
        <w:bidi w:val="0"/>
        <w:spacing w:before="120" w:after="0"/>
        <w:jc w:val="left"/>
        <w:rPr>
          <w:rFonts w:ascii="Times New Roman" w:hAnsi="Times New Roman"/>
          <w:sz w:val="20"/>
        </w:rPr>
      </w:pPr>
      <w:r>
        <w:rPr>
          <w:rFonts w:ascii="Times New Roman" w:hAnsi="Times New Roman"/>
          <w:sz w:val="20"/>
        </w:rPr>
        <w:t xml:space="preserve">PD is a neurodegenerative disorder resulting in progressive and debilitating motor symptoms, such as hypokinesia, or decreased body movement, and bradykinesia, or rigidity, tremor, and postural instability. PD patients lose dopamine-producing neurons in the substantia nigra, the region of the brain responsible for motor control. Approximately one million people in the United States have PD. </w:t>
      </w:r>
    </w:p>
    <w:p>
      <w:pPr>
        <w:pStyle w:val="TextBody"/>
        <w:bidi w:val="0"/>
        <w:spacing w:before="360" w:after="0"/>
        <w:jc w:val="left"/>
        <w:rPr>
          <w:rFonts w:ascii="Times New Roman" w:hAnsi="Times New Roman"/>
          <w:i/>
          <w:sz w:val="20"/>
        </w:rPr>
      </w:pPr>
      <w:r>
        <w:rPr>
          <w:rFonts w:ascii="Times New Roman" w:hAnsi="Times New Roman"/>
          <w:i/>
          <w:sz w:val="20"/>
        </w:rPr>
        <w:t xml:space="preserve">Target Rationale </w:t>
      </w:r>
    </w:p>
    <w:p>
      <w:pPr>
        <w:pStyle w:val="TextBody"/>
        <w:bidi w:val="0"/>
        <w:spacing w:before="120" w:after="0"/>
        <w:jc w:val="left"/>
        <w:rPr>
          <w:rFonts w:ascii="Times New Roman" w:hAnsi="Times New Roman"/>
          <w:sz w:val="20"/>
        </w:rPr>
      </w:pPr>
      <w:r>
        <w:rPr>
          <w:rFonts w:ascii="Times New Roman" w:hAnsi="Times New Roman"/>
          <w:sz w:val="20"/>
        </w:rPr>
        <w:t xml:space="preserve">The enzyme GCase belongs to a family of proteins known as lysosomal glycoside hydrolases that are located within the lysosome compartments of cells and cause the cleavage of complex molecules containing sugar. The GBA gene encodes Gcase and homozygous or compound heterozygous mutation carriers in GBA are associated with Gauchers disease, a lysosomal storage disorder. Mutations in the GBA gene are associated with PD (approximately 10% of PD patients). Functional GCase is crucial for the recycling and disposal of proteins and lipids in the lysosome. Numerous scientific studies have demonstrated that GCase mutations trigger lysosomal dysfunction, cell toxicity, inflammation and the accumulation of alpha-synuclein (a hallmark of PD), which is toxic to neurons. </w:t>
      </w:r>
    </w:p>
    <w:p>
      <w:pPr>
        <w:pStyle w:val="TextBody"/>
        <w:bidi w:val="0"/>
        <w:spacing w:before="360" w:after="0"/>
        <w:jc w:val="left"/>
        <w:rPr>
          <w:rFonts w:ascii="Times New Roman" w:hAnsi="Times New Roman"/>
          <w:i/>
          <w:sz w:val="20"/>
        </w:rPr>
      </w:pPr>
      <w:r>
        <w:rPr>
          <w:rFonts w:ascii="Times New Roman" w:hAnsi="Times New Roman"/>
          <w:i/>
          <w:sz w:val="20"/>
        </w:rPr>
        <w:t xml:space="preserve">Pharmacological Properties </w:t>
      </w:r>
    </w:p>
    <w:p>
      <w:pPr>
        <w:pStyle w:val="TextBody"/>
        <w:bidi w:val="0"/>
        <w:spacing w:before="120" w:after="0"/>
        <w:jc w:val="left"/>
        <w:rPr>
          <w:rFonts w:ascii="Times New Roman" w:hAnsi="Times New Roman"/>
          <w:sz w:val="20"/>
        </w:rPr>
      </w:pPr>
      <w:r>
        <w:rPr>
          <w:rFonts w:ascii="Times New Roman" w:hAnsi="Times New Roman"/>
          <w:sz w:val="20"/>
        </w:rPr>
        <w:t xml:space="preserve">We have identified and validated multiple chemical hits as GCase activators. We are characterizing these compounds to identify a lead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Precision Approach </w:t>
      </w:r>
    </w:p>
    <w:p>
      <w:pPr>
        <w:pStyle w:val="TextBody"/>
        <w:bidi w:val="0"/>
        <w:spacing w:before="120" w:after="0"/>
        <w:jc w:val="left"/>
        <w:rPr>
          <w:rFonts w:ascii="Times New Roman" w:hAnsi="Times New Roman"/>
          <w:sz w:val="20"/>
        </w:rPr>
      </w:pPr>
      <w:r>
        <w:rPr>
          <w:rFonts w:ascii="Times New Roman" w:hAnsi="Times New Roman"/>
          <w:sz w:val="20"/>
        </w:rPr>
        <w:t xml:space="preserve">We are leveraging multiple tools to develop strategies to identify enriched patient populations: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Drug signature generation: We have developed iPSC-derived cellular assays and an RNA-seq approach to identify pathways impacted by NMRA-GCase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cluster formation: We are analyzing the PPMI multimodal dataset, including genetic populations with GBA mutations. This program will also be able to leverage the genetic and clinical data sciences work from the NLRP3 program in PD.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Development Plan </w:t>
      </w:r>
    </w:p>
    <w:p>
      <w:pPr>
        <w:pStyle w:val="TextBody"/>
        <w:bidi w:val="0"/>
        <w:spacing w:before="120" w:after="0"/>
        <w:jc w:val="left"/>
        <w:rPr>
          <w:rFonts w:ascii="Times New Roman" w:hAnsi="Times New Roman"/>
          <w:sz w:val="20"/>
        </w:rPr>
      </w:pPr>
      <w:r>
        <w:rPr>
          <w:rFonts w:ascii="Times New Roman" w:hAnsi="Times New Roman"/>
          <w:sz w:val="20"/>
        </w:rPr>
        <w:t xml:space="preserve">Our NMRA-GCase program is in the preclinical stage of development.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in large part upon our ability to obtain and maintain proprietary protection for our products and technologies and to operate without infringing the proprietary rights of others. Our policy is to protect our proprietary position by, among other methods, filing U.S. and foreign patent applications that relate to our proprietary technologies, inventions and improvements that are important to the development and implementation of our business. We also rely on trademarks, trade secrets, know-how and continuing technological innovation.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Portfolio </w:t>
      </w:r>
    </w:p>
    <w:p>
      <w:pPr>
        <w:pStyle w:val="TextBody"/>
        <w:bidi w:val="0"/>
        <w:spacing w:before="120" w:after="0"/>
        <w:jc w:val="left"/>
        <w:rPr>
          <w:rFonts w:ascii="Times New Roman" w:hAnsi="Times New Roman"/>
          <w:sz w:val="20"/>
        </w:rPr>
      </w:pPr>
      <w:r>
        <w:rPr>
          <w:rFonts w:ascii="Times New Roman" w:hAnsi="Times New Roman"/>
          <w:sz w:val="20"/>
        </w:rPr>
        <w:t xml:space="preserve">Our patent portfolio includes three primary types of patents and patent applications: (i) molecule patents that cover composition of matter and methods of treatment; (ii) patents directed to our precision neuroscience platform that cover key artificial intelligence algorithms and machine learning-based processes for discovering, diagnosing, and monitoring Precision Phenotypes from multimodal data; and (iii) biomarker patents that cover methods of diagnosing and treating distinct sets of patients, which we refer to as Precision Phenotypes, with our molecules. As of March 31, 2022, we own, co-own, or have an exclusive license to over 250 patents and pending applications in the United States and foreign jurisdictions. These include 31 issued U.S. patents and 48 issued foreign patents. </w:t>
      </w:r>
    </w:p>
    <w:p>
      <w:pPr>
        <w:pStyle w:val="TextBody"/>
        <w:bidi w:val="0"/>
        <w:spacing w:before="240" w:after="0"/>
        <w:jc w:val="left"/>
        <w:rPr>
          <w:rFonts w:ascii="Times New Roman" w:hAnsi="Times New Roman"/>
          <w:sz w:val="20"/>
        </w:rPr>
      </w:pPr>
      <w:r>
        <w:rPr>
          <w:rFonts w:ascii="Times New Roman" w:hAnsi="Times New Roman"/>
          <w:sz w:val="20"/>
        </w:rPr>
        <w:t xml:space="preserve">The term of any individual issued patent depends upon the legal term of the patent in the country in which it is obtained. In most countries that we file, the patent term is 20 years from the earliest date of filing a nonprovisional patent application related to the issued patent. However, the actual protection afforded by an issued patent varies on a product-by-product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 A U.S. patent also may be accorded patent term adjustment, or PTA, under certain circumstances to compensate for delays in obtaining the patent from the USPTO. In some instances, such a PTA may result in a U.S. patent term extending beyond 20 years from the earliest date of filing a non-provisional patent application related to the U.S. patent. In addition, in the United States, the term of a U.S. patent that covers an FDA-approved drug may also be eligible for patent term extension, which permits patent term restoration as compensation for the patent term lost during the FDA regulatory review process. </w:t>
      </w:r>
    </w:p>
    <w:p>
      <w:pPr>
        <w:pStyle w:val="TextBody"/>
        <w:bidi w:val="0"/>
        <w:spacing w:before="360" w:after="0"/>
        <w:jc w:val="left"/>
        <w:rPr>
          <w:rFonts w:ascii="Times New Roman" w:hAnsi="Times New Roman"/>
          <w:i/>
          <w:sz w:val="20"/>
        </w:rPr>
      </w:pPr>
      <w:r>
        <w:rPr>
          <w:rFonts w:ascii="Times New Roman" w:hAnsi="Times New Roman"/>
          <w:i/>
          <w:sz w:val="20"/>
        </w:rPr>
        <w:t xml:space="preserve">Molecule Patent Portfolio </w:t>
      </w:r>
    </w:p>
    <w:p>
      <w:pPr>
        <w:pStyle w:val="TextBody"/>
        <w:bidi w:val="0"/>
        <w:spacing w:before="120" w:after="0"/>
        <w:jc w:val="left"/>
        <w:rPr>
          <w:rFonts w:ascii="Times New Roman" w:hAnsi="Times New Roman"/>
          <w:sz w:val="20"/>
        </w:rPr>
      </w:pPr>
      <w:r>
        <w:rPr>
          <w:rFonts w:ascii="Times New Roman" w:hAnsi="Times New Roman"/>
          <w:sz w:val="20"/>
        </w:rPr>
        <w:t xml:space="preserve">Our molecule patents include over 175 owned and exclusively licensed patents and patent applications, of which include 26 issued U.S. patents and 39 issued foreign patents. A further breakdown of our material molecule patents and applications as of March 31, 2022 is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NMRA-140:</w:t>
            </w:r>
            <w:r>
              <w:rPr>
                <w:rFonts w:ascii="Times New Roman" w:hAnsi="Times New Roman"/>
                <w:sz w:val="20"/>
              </w:rPr>
              <w:t xml:space="preserve"> We own, co-own or exclusively license two patent families that include four issued U.S. patents, 18 issued foreign patents and additional pending U.S. and foreign patent applications related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NMRA-140. These patents and applications cover composition of matter. We have an exclusive license from TSRI to one of the patent families, which includes two issued U.S. patents. Patents in this family are additionally granted in Canada, Europe, Japan and Australia. Patents in this family are expected to expire in 2033, excluding any patent term adjustment or patent term extension. We co-own the other patent family with TSRI. This family has two patents granted in the United States, one patent granted in Mexico, and additional patent applications pending in Europe, Japan, China, Hong Kong, Canada, Australia, Brazil, Israel, India, Korea, Eurasia, Singapore and South Africa. Patents in this family are expected to expire in 2038, excluding any patent term adjustment or patent term extension.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NMRA-511:</w:t>
            </w:r>
            <w:r>
              <w:rPr>
                <w:rFonts w:ascii="Times New Roman" w:hAnsi="Times New Roman"/>
                <w:sz w:val="20"/>
              </w:rPr>
              <w:t xml:space="preserve"> We own two issued U.S. patents and 17 additional pending U.S. and foreign patent applications related to NMRA-511. These patents and applications cover composition of matter. This family has two patents granted in the United States and additional patent applications pending in Europe, Japan, China, Hong Kong, Canada, Australia, Israel, India, Korea, Mexico, New Zealand, Singapore and South Africa. The issued U.S. patents and future patents that issue are expected to expire in 2038, excluding any patent term adjustment or patent term extension.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NMRA-M4R:</w:t>
            </w:r>
            <w:r>
              <w:rPr>
                <w:rFonts w:ascii="Times New Roman" w:hAnsi="Times New Roman"/>
                <w:sz w:val="20"/>
              </w:rPr>
              <w:t xml:space="preserve"> We exclusively license several patent families that include 14 issued U.S. patents, 21 issued foreign patents and additional pending U.S. and foreign patent applications related to our M4R program from Vanderbilt. This patent and these applications cover composition of matter. The last patent expiration date for the issued patents and patents expected to issue that are exclusively licensed from Vanderbilt is 2043, excluding any patent term adjustment or patent term extension.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Precision Neuroscience Platform Patent Portfolio </w:t>
      </w:r>
    </w:p>
    <w:p>
      <w:pPr>
        <w:pStyle w:val="TextBody"/>
        <w:bidi w:val="0"/>
        <w:spacing w:before="120" w:after="0"/>
        <w:jc w:val="left"/>
        <w:rPr>
          <w:rFonts w:ascii="Times New Roman" w:hAnsi="Times New Roman"/>
          <w:sz w:val="20"/>
        </w:rPr>
      </w:pPr>
      <w:r>
        <w:rPr>
          <w:rFonts w:ascii="Times New Roman" w:hAnsi="Times New Roman"/>
          <w:sz w:val="20"/>
        </w:rPr>
        <w:t xml:space="preserve">Our precision neuroscience platform is covered by process patents and patent applications relating to multimodal methods of identifying and monitoring subpopulations of patients, that we call Precision Phenotypes, that we believe will be higher responders to a specific therapeutic than populations comprised of traditional diagnostic groups. The process patents and patent applications are directed to (i) the use of tools to detect and capture data from patients using specific modalities, unimodal processing and/or diagnostic techniques for specific modality types; and (ii) multimodal machine learning and AI based processes for combining different types of data to identify and monitor patient subpopulations. Our precision neuroscience patent portfolio includes several patent families, comprising ten issued U.S. patents, four issued foreign patents and additional pending U.S. and foreign patent applications. The issued U.S. and foreign patent and future patents that issue from these families are expected to expire between 2038 and 2042, excluding any patent term adjustment. </w:t>
      </w:r>
    </w:p>
    <w:p>
      <w:pPr>
        <w:pStyle w:val="TextBody"/>
        <w:bidi w:val="0"/>
        <w:spacing w:before="240" w:after="0"/>
        <w:jc w:val="left"/>
        <w:rPr>
          <w:rFonts w:ascii="Times New Roman" w:hAnsi="Times New Roman"/>
          <w:sz w:val="20"/>
        </w:rPr>
      </w:pPr>
      <w:r>
        <w:rPr>
          <w:rFonts w:ascii="Times New Roman" w:hAnsi="Times New Roman"/>
          <w:sz w:val="20"/>
        </w:rPr>
        <w:t xml:space="preserve">The precision neuroscience platform patent portfolio also includes the following components: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Multimodal Processes: The platform patents include coverage for multimodal processes that span various modalities including genetic, transcriptomic, proteomic, </w:t>
            </w:r>
            <w:r>
              <w:rPr>
                <w:rFonts w:ascii="Times New Roman" w:hAnsi="Times New Roman"/>
                <w:i/>
                <w:sz w:val="20"/>
              </w:rPr>
              <w:t>in vitro</w:t>
            </w:r>
            <w:r>
              <w:rPr>
                <w:rFonts w:ascii="Times New Roman" w:hAnsi="Times New Roman"/>
                <w:sz w:val="20"/>
              </w:rPr>
              <w:t xml:space="preserve"> cell, MRI, EEG, voice, facial, behavioral, clinical and others. The platform patents include four issued U.S. patents, and additional patents and patent applications pending in the United States, Europe, Canada, Japan and China.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Syllable Portfolio: The platform patents also include several active patent families from our acquisition of Syllable, covering methods of automatically identifying animal behaviors using three-dimensional video data. These families include six issued U.S. patents, five issued foreign patents, and additional pending patent applications. Patents are granted in the United States, Australia, China, Israel, Japan, and additional patent applications pending United States, Europe, Canada, and Australia.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Biomarker Patent Portfolio </w:t>
      </w:r>
    </w:p>
    <w:p>
      <w:pPr>
        <w:pStyle w:val="TextBody"/>
        <w:bidi w:val="0"/>
        <w:spacing w:before="120" w:after="0"/>
        <w:jc w:val="left"/>
        <w:rPr>
          <w:rFonts w:ascii="Times New Roman" w:hAnsi="Times New Roman"/>
          <w:sz w:val="20"/>
        </w:rPr>
      </w:pPr>
      <w:r>
        <w:rPr>
          <w:rFonts w:ascii="Times New Roman" w:hAnsi="Times New Roman"/>
          <w:sz w:val="20"/>
        </w:rPr>
        <w:t xml:space="preserve">Our Precision Phenotypes are covered by biomarker patents and applications directed to unimodal and multimodal biomarkers that identify patients that respond to specific drugs. These biomarker patents are process patents for identifying and diagnosing patients with selected biomarkers, and methods of treating patients with those biomarkers with neural drugs. We own four pending patent applications relating to biomarkers that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pending in the United States, Europe, Japan and China. Generally speaking, those selected biomarkers include genetic, proteomic, task based, clinical assessment based, and others.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Trade Secrets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our reliance on patent protection for our inventions, product candidates and platforms, we also rely on trade secrets, know-how, confidentiality agreements and continuing technological innovation to develop and maintain our competitive position. For example, some elements of manufacturing processes, proprietary assays, analytics techniques and processes, knowledge gained through clinical experience such as approaches to dosing and administration and management of patients, as well as our platform algorithms, and related processes and software, are based on unpatented trade secrets and know-how that are not publicly disclosed.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of by the individual during the course of employment, and which relate to or are reasonably capable of being used in our current or planned business or research and development are our exclusive property. In addition, we take other appropriate precautions, such as physical and technological security measures, to guard against misappropriation of our proprietary technologies by third parties.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Trademarks </w:t>
      </w:r>
    </w:p>
    <w:p>
      <w:pPr>
        <w:pStyle w:val="TextBody"/>
        <w:bidi w:val="0"/>
        <w:spacing w:before="120" w:after="0"/>
        <w:jc w:val="left"/>
        <w:rPr>
          <w:rFonts w:ascii="Times New Roman" w:hAnsi="Times New Roman"/>
          <w:sz w:val="20"/>
        </w:rPr>
      </w:pPr>
      <w:r>
        <w:rPr>
          <w:rFonts w:ascii="Times New Roman" w:hAnsi="Times New Roman"/>
          <w:sz w:val="20"/>
        </w:rPr>
        <w:t xml:space="preserve">We also protect our brands through the procurement of trademark rights and have a portfolio of registered and pending trademark applications in the United States and abroad. As of March 31, 2022 the portfolio includes trademark applications for the marks NEUMORA, DIGITAL BIOPSY, and PRECISION PHENOTYPE that are pending in the United States, Europe, United Kingdom, Canada, China, Mexico, Israel, Australia, India, and International Applications filed under the Madrid Protocol. </w:t>
      </w:r>
    </w:p>
    <w:p>
      <w:pPr>
        <w:pStyle w:val="TextBody"/>
        <w:bidi w:val="0"/>
        <w:spacing w:before="360" w:after="0"/>
        <w:jc w:val="left"/>
        <w:rPr>
          <w:rFonts w:ascii="Times New Roman" w:hAnsi="Times New Roman"/>
          <w:b/>
          <w:i/>
          <w:sz w:val="20"/>
        </w:rPr>
      </w:pPr>
      <w:r>
        <w:rPr>
          <w:rFonts w:ascii="Times New Roman" w:hAnsi="Times New Roman"/>
          <w:b/>
          <w:i/>
          <w:sz w:val="20"/>
        </w:rPr>
        <w:t xml:space="preserve">In-Licensing and Collaboration Agreements </w:t>
      </w:r>
    </w:p>
    <w:p>
      <w:pPr>
        <w:pStyle w:val="TextBody"/>
        <w:bidi w:val="0"/>
        <w:spacing w:before="120" w:after="0"/>
        <w:jc w:val="left"/>
        <w:rPr>
          <w:rFonts w:ascii="Times New Roman" w:hAnsi="Times New Roman"/>
          <w:sz w:val="20"/>
        </w:rPr>
      </w:pPr>
      <w:r>
        <w:rPr>
          <w:rFonts w:ascii="Times New Roman" w:hAnsi="Times New Roman"/>
          <w:i/>
          <w:sz w:val="20"/>
        </w:rPr>
        <w:t>Exclusive License Agreements with Amgen for CK1</w:t>
      </w:r>
      <w:r>
        <w:rPr>
          <w:rFonts w:ascii="SYMBOL" w:hAnsi="SYMBOL"/>
          <w:sz w:val="20"/>
        </w:rPr>
        <w:t>d</w:t>
      </w:r>
      <w:r>
        <w:rPr>
          <w:rFonts w:ascii="Times New Roman" w:hAnsi="Times New Roman"/>
          <w:sz w:val="20"/>
        </w:rPr>
        <w:t xml:space="preserve"> </w:t>
      </w:r>
      <w:r>
        <w:rPr>
          <w:rFonts w:ascii="Times New Roman" w:hAnsi="Times New Roman"/>
          <w:i/>
          <w:sz w:val="20"/>
        </w:rPr>
        <w:t xml:space="preserve">and GCase </w:t>
      </w:r>
    </w:p>
    <w:p>
      <w:pPr>
        <w:pStyle w:val="TextBody"/>
        <w:bidi w:val="0"/>
        <w:spacing w:before="120" w:after="0"/>
        <w:jc w:val="left"/>
        <w:rPr>
          <w:rFonts w:ascii="Times New Roman" w:hAnsi="Times New Roman"/>
          <w:sz w:val="20"/>
        </w:rPr>
      </w:pPr>
      <w:r>
        <w:rPr>
          <w:rFonts w:ascii="Times New Roman" w:hAnsi="Times New Roman"/>
          <w:sz w:val="20"/>
        </w:rPr>
        <w:t>In September 2021, we entered into two exclusive license agreements with Amgen (the Amgen Licenses) with one of the agreements covering development of products directed to casein kinase 1 delta (the CK1</w:t>
      </w:r>
      <w:r>
        <w:rPr>
          <w:rFonts w:ascii="SYMBOL" w:hAnsi="SYMBOL"/>
          <w:sz w:val="20"/>
        </w:rPr>
        <w:t>d</w:t>
      </w:r>
      <w:r>
        <w:rPr>
          <w:rFonts w:ascii="Times New Roman" w:hAnsi="Times New Roman"/>
          <w:sz w:val="20"/>
        </w:rPr>
        <w:t xml:space="preserve"> License) and the other covering development of products directed to ß-Glucocerebrosidase (the GCase License). </w:t>
      </w:r>
    </w:p>
    <w:p>
      <w:pPr>
        <w:pStyle w:val="TextBody"/>
        <w:bidi w:val="0"/>
        <w:spacing w:before="240" w:after="0"/>
        <w:jc w:val="left"/>
        <w:rPr>
          <w:rFonts w:ascii="Times New Roman" w:hAnsi="Times New Roman"/>
          <w:sz w:val="20"/>
        </w:rPr>
      </w:pPr>
      <w:r>
        <w:rPr>
          <w:rFonts w:ascii="Times New Roman" w:hAnsi="Times New Roman"/>
          <w:sz w:val="20"/>
        </w:rPr>
        <w:t>Under each Amgen License, Amgen granted to us a worldwide, exclusive, sublicensable license under certain of its patents and know-how to research, develop, manufacture, use and commercialize specified products containing compounds that, with respect to the CK1</w:t>
      </w:r>
      <w:r>
        <w:rPr>
          <w:rFonts w:ascii="SYMBOL" w:hAnsi="SYMBOL"/>
          <w:sz w:val="20"/>
        </w:rPr>
        <w:t>d</w:t>
      </w:r>
      <w:r>
        <w:rPr>
          <w:rFonts w:ascii="Times New Roman" w:hAnsi="Times New Roman"/>
          <w:sz w:val="20"/>
        </w:rPr>
        <w:t xml:space="preserve"> License, are directed to CK1</w:t>
      </w:r>
      <w:r>
        <w:rPr>
          <w:rFonts w:ascii="SYMBOL" w:hAnsi="SYMBOL"/>
          <w:sz w:val="20"/>
        </w:rPr>
        <w:t>d</w:t>
      </w:r>
      <w:r>
        <w:rPr>
          <w:rFonts w:ascii="Times New Roman" w:hAnsi="Times New Roman"/>
          <w:sz w:val="20"/>
        </w:rPr>
        <w:t>, including compounds developed by us prior to the effective date of the CK1</w:t>
      </w:r>
      <w:r>
        <w:rPr>
          <w:rFonts w:ascii="SYMBOL" w:hAnsi="SYMBOL"/>
          <w:sz w:val="20"/>
        </w:rPr>
        <w:t>d</w:t>
      </w:r>
      <w:r>
        <w:rPr>
          <w:rFonts w:ascii="Times New Roman" w:hAnsi="Times New Roman"/>
          <w:sz w:val="20"/>
        </w:rPr>
        <w:t xml:space="preserve"> License, and with respect to the GCase License, are directed to GCase, collectively referred to as the licensed products, for any and all uses. No patents have been filed pursuant to the Amgen License. The license grants are subject to Amgens right to use the licensed patents and know-how solely for internal research use. Until a specified period of time following the achievement of the first successful Phase 2 clinical trial for any licensed product, if we choose to sell, transfer, sublicense or divest rights to a licensed product in certain major markets, Amgen has a time-limited, exclusive right of first negotiation to enter into an agreement with us for such rights. Amgen also agreed to transfer to us certain licensed materials and licensed know-how relating to the licensed products. </w:t>
      </w:r>
    </w:p>
    <w:p>
      <w:pPr>
        <w:pStyle w:val="TextBody"/>
        <w:bidi w:val="0"/>
        <w:spacing w:before="240" w:after="0"/>
        <w:jc w:val="left"/>
        <w:rPr>
          <w:rFonts w:ascii="Times New Roman" w:hAnsi="Times New Roman"/>
          <w:sz w:val="20"/>
        </w:rPr>
      </w:pPr>
      <w:r>
        <w:rPr>
          <w:rFonts w:ascii="Times New Roman" w:hAnsi="Times New Roman"/>
          <w:sz w:val="20"/>
        </w:rPr>
        <w:t xml:space="preserve">Under each Amgen License, we are solely responsible for the research, development, manufacturing and commercialization of the licensed products. We are obligated to use commercially reasonable efforts to develop, manufacture, obtain regulatory approval, and commercialize at least one licensed product under each Amgen License. Under each Amgen License, we also agreed, until a specified period of time following first commercial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sale of the first licensed product in the United States, not to clinically develop, commercialize, or manufacture any compounds or products, other than the licensed products, that are directed to CK1</w:t>
      </w:r>
      <w:r>
        <w:rPr>
          <w:rFonts w:ascii="SYMBOL" w:hAnsi="SYMBOL"/>
          <w:sz w:val="20"/>
        </w:rPr>
        <w:t>d</w:t>
      </w:r>
      <w:r>
        <w:rPr>
          <w:rFonts w:ascii="Times New Roman" w:hAnsi="Times New Roman"/>
          <w:sz w:val="20"/>
        </w:rPr>
        <w:t xml:space="preserve"> or GCase, unless we treat them as licensed products that are subject to diligence, milestone and royalty obligations under the Amgen Licenses. If we choose not to treat such compounds or products obtained through a transaction with a third party as a licensed product, then we are obligated to divest or terminate the program for such compounds or products. </w:t>
      </w:r>
    </w:p>
    <w:p>
      <w:pPr>
        <w:pStyle w:val="TextBody"/>
        <w:bidi w:val="0"/>
        <w:spacing w:before="240" w:after="0"/>
        <w:jc w:val="left"/>
        <w:rPr>
          <w:rFonts w:ascii="Times New Roman" w:hAnsi="Times New Roman"/>
          <w:sz w:val="20"/>
        </w:rPr>
      </w:pPr>
      <w:r>
        <w:rPr>
          <w:rFonts w:ascii="Times New Roman" w:hAnsi="Times New Roman"/>
          <w:sz w:val="20"/>
        </w:rPr>
        <w:t>Under the Amgen Licenses, we agreed to pay Amgen up to an aggregate of $360.0 million in commercial milestone payments upon the achievement of certain sales thresholds per licensed product under the CK1</w:t>
      </w:r>
      <w:r>
        <w:rPr>
          <w:rFonts w:ascii="SYMBOL" w:hAnsi="SYMBOL"/>
          <w:sz w:val="20"/>
        </w:rPr>
        <w:t>d</w:t>
      </w:r>
      <w:r>
        <w:rPr>
          <w:rFonts w:ascii="Times New Roman" w:hAnsi="Times New Roman"/>
          <w:sz w:val="20"/>
        </w:rPr>
        <w:t xml:space="preserve"> License and up to an aggregate $360.0 million in commercial milestone payments upon the achievement of certain sales thresholds per licensed product under the GCase License. As of March 31, 2022, no milestone, royalty or other payments have been made to Amgen pursuant to the Amgen Licenses. We also agreed to pay tiered royalties at percentages ranging from the low to high-single-digits on annual worldwide net sales of licensed products under the CK1</w:t>
      </w:r>
      <w:r>
        <w:rPr>
          <w:rFonts w:ascii="SYMBOL" w:hAnsi="SYMBOL"/>
          <w:sz w:val="20"/>
        </w:rPr>
        <w:t>d</w:t>
      </w:r>
      <w:r>
        <w:rPr>
          <w:rFonts w:ascii="Times New Roman" w:hAnsi="Times New Roman"/>
          <w:sz w:val="20"/>
        </w:rPr>
        <w:t xml:space="preserve"> License, and royalties at a low-single-digit percentage on annual worldwide net sales of licensed products under the GCase License, payable on a licensed product-by-licensed product and country-by-country basis until the later of the expiration of the last to expire licensed patent or Neumora patent claiming the composition of matter of such licensed product and the tenth anniversary of the first commercial sale of such licensed product in such country. Under each Amgen License, the royalty payments are subject to reductions on a country-by-country basis for lack of patent coverage, generic entry and payment obligations for third-party licenses. Additionally, under each of the Amgen Licenses, if we enter into a sublicense agreement prior to the second anniversary of the effective date of the Amgen Licenses, then we are also obligated to pay Amgen a low-double-digit percentage of sublicense income we receive for the CK1</w:t>
      </w:r>
      <w:r>
        <w:rPr>
          <w:rFonts w:ascii="SYMBOL" w:hAnsi="SYMBOL"/>
          <w:sz w:val="20"/>
        </w:rPr>
        <w:t>d</w:t>
      </w:r>
      <w:r>
        <w:rPr>
          <w:rFonts w:ascii="Times New Roman" w:hAnsi="Times New Roman"/>
          <w:sz w:val="20"/>
        </w:rPr>
        <w:t xml:space="preserve"> and/or GCase programs. </w:t>
      </w:r>
    </w:p>
    <w:p>
      <w:pPr>
        <w:pStyle w:val="TextBody"/>
        <w:bidi w:val="0"/>
        <w:spacing w:before="240" w:after="0"/>
        <w:jc w:val="left"/>
        <w:rPr>
          <w:rFonts w:ascii="Times New Roman" w:hAnsi="Times New Roman"/>
          <w:sz w:val="20"/>
        </w:rPr>
      </w:pPr>
      <w:r>
        <w:rPr>
          <w:rFonts w:ascii="Times New Roman" w:hAnsi="Times New Roman"/>
          <w:sz w:val="20"/>
        </w:rPr>
        <w:t>Each of the Amgen Licenses continues in force until the expiration of all royalty payment obligations to Amgen. We may terminate either Amgen License at-will with 30 days prior written notice to Amgen at any time prior to the initiation of clinical development for any licensed product or 120 days prior written notice to Amgen at any time thereafter. Either party may terminate either Amgen License upon written notice for the other partys material breach that remains uncured for ninety days or upon the other partys bankruptcy or insolvency. Amgen may also terminate either Amgen License upon written notice if we breach our obligations to not clinically develop, commercialize or manufacture compounds or products directed to CK1</w:t>
      </w:r>
      <w:r>
        <w:rPr>
          <w:rFonts w:ascii="SYMBOL" w:hAnsi="SYMBOL"/>
          <w:sz w:val="20"/>
        </w:rPr>
        <w:t>d</w:t>
      </w:r>
      <w:r>
        <w:rPr>
          <w:rFonts w:ascii="Times New Roman" w:hAnsi="Times New Roman"/>
          <w:sz w:val="20"/>
        </w:rPr>
        <w:t xml:space="preserve"> or GCase, other than licensed products, unless we treat them as licensed products or divest or terminate the program(s) for such compounds or products. </w:t>
      </w:r>
    </w:p>
    <w:p>
      <w:pPr>
        <w:pStyle w:val="TextBody"/>
        <w:bidi w:val="0"/>
        <w:spacing w:before="240" w:after="0"/>
        <w:jc w:val="left"/>
        <w:rPr>
          <w:rFonts w:ascii="Times New Roman" w:hAnsi="Times New Roman"/>
          <w:sz w:val="20"/>
        </w:rPr>
      </w:pPr>
      <w:r>
        <w:rPr>
          <w:rFonts w:ascii="Times New Roman" w:hAnsi="Times New Roman"/>
          <w:sz w:val="20"/>
        </w:rPr>
        <w:t>Upon termination of either of the Amgen Licenses, all rights and licenses granted by Amgen to us under that license will terminate, except that, under the CK1</w:t>
      </w:r>
      <w:r>
        <w:rPr>
          <w:rFonts w:ascii="SYMBOL" w:hAnsi="SYMBOL"/>
          <w:sz w:val="20"/>
        </w:rPr>
        <w:t>d</w:t>
      </w:r>
      <w:r>
        <w:rPr>
          <w:rFonts w:ascii="Times New Roman" w:hAnsi="Times New Roman"/>
          <w:sz w:val="20"/>
        </w:rPr>
        <w:t xml:space="preserve"> License, we will retain rights to the compounds directed to CK1</w:t>
      </w:r>
      <w:r>
        <w:rPr>
          <w:rFonts w:ascii="SYMBOL" w:hAnsi="SYMBOL"/>
          <w:sz w:val="20"/>
        </w:rPr>
        <w:t>d</w:t>
      </w:r>
      <w:r>
        <w:rPr>
          <w:rFonts w:ascii="Times New Roman" w:hAnsi="Times New Roman"/>
          <w:sz w:val="20"/>
        </w:rPr>
        <w:t xml:space="preserve"> that were developed by us prior to the effective date of the CK1</w:t>
      </w:r>
      <w:r>
        <w:rPr>
          <w:rFonts w:ascii="SYMBOL" w:hAnsi="SYMBOL"/>
          <w:sz w:val="20"/>
        </w:rPr>
        <w:t>d</w:t>
      </w:r>
      <w:r>
        <w:rPr>
          <w:rFonts w:ascii="Times New Roman" w:hAnsi="Times New Roman"/>
          <w:sz w:val="20"/>
        </w:rPr>
        <w:t xml:space="preserve"> License. In addition, with respect to all other licensed products, at Amgens election and in return for tiered royalties at percentages ranging from the low to mid-single-digits on annual worldwide net sales under the CK1</w:t>
      </w:r>
      <w:r>
        <w:rPr>
          <w:rFonts w:ascii="SYMBOL" w:hAnsi="SYMBOL"/>
          <w:sz w:val="20"/>
        </w:rPr>
        <w:t>d</w:t>
      </w:r>
      <w:r>
        <w:rPr>
          <w:rFonts w:ascii="Times New Roman" w:hAnsi="Times New Roman"/>
          <w:sz w:val="20"/>
        </w:rPr>
        <w:t xml:space="preserve"> License, and royalties at a low-single-digit percentage on annual worldwide net sales under the GCase License, we will grant to Amgen an automatic, worldwide, perpetual, sublicensable, irrevocable and exclusive license to exploit such licensed products, under all patent rights and know-how controlled by us that cover such licensed products and are necessary to exploit any such licensed product as it exists as of the termination date.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Collaboration Agreement with Amgen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2021, we entered into a research collaboration and license agreement with Amgen (the Amgen Collaboration Agreement) to discover drug targets, biomarkers, Precision Phenotypes and other insights associated with CNS diseases that are generated by Amgens deCODE genetics and human data research capabilities. The term of the Amgen Collaboration Agreement is five years. In return for Amgen performing research and development activities under the Amgen Collaboration Agreement, we are committed to making non-refundable, non-creditable quarterly payments to Amgen over the next two years totalling $50.0 million and for the third year between $12.5 million and $25.0 million depending on whether certain progress milestones are achieved. These payments are due on a quarterly basis. We made our first and second quarterly payments to Amgen in an amount of $6.3 million each as of March 31, 2022. The third quarterly payment of $6.3 million became due as of March 31, 2022. We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mutually agree on the compensation structure for the fourth and fifth years of the Amgen Collaboration Agreement. The Amgen Collaboration Agreement did not require the payment of upfront fees. </w:t>
      </w:r>
    </w:p>
    <w:p>
      <w:pPr>
        <w:pStyle w:val="TextBody"/>
        <w:bidi w:val="0"/>
        <w:spacing w:before="240" w:after="0"/>
        <w:jc w:val="left"/>
        <w:rPr>
          <w:rFonts w:ascii="Times New Roman" w:hAnsi="Times New Roman"/>
          <w:sz w:val="20"/>
        </w:rPr>
      </w:pPr>
      <w:r>
        <w:rPr>
          <w:rFonts w:ascii="Times New Roman" w:hAnsi="Times New Roman"/>
          <w:sz w:val="20"/>
        </w:rPr>
        <w:t xml:space="preserve">The collaboration is governed by a joint research committee comprised of an equal number of representatives from us and from Amgen. Under the Amgen Collaboration Agreement, each party will solely own the patents and know-how it solely generates in the performance of the collaboration activities and the parties will jointly own all patents and know-how they jointly generate in the performance of the collaboration activities. Amgen has granted to us an exclusive, worldwide, sublicensable, fully paid-up, royalty-free license under Amgens rights in and to the patents and know-how generated in the performance of the collaboration activities that are controlled by Amgen, to exploit therapeutic compounds and diagnostics for use with therapeutics to treat, ameliorate or prevent diseases with effects that manifest primarily in the CNS (the CNS Field). We have granted to Amgen an exclusive, worldwide, sublicensable, fully paid-up, royalty-free license under our rights in and to the patents and know-how generated in the performance of the collaboration activities that are controlled by us, to exploit therapeutic compounds and diagnostics for use with therapeutics outside of the CNS Field. </w:t>
      </w:r>
    </w:p>
    <w:p>
      <w:pPr>
        <w:pStyle w:val="TextBody"/>
        <w:bidi w:val="0"/>
        <w:spacing w:before="240" w:after="0"/>
        <w:jc w:val="left"/>
        <w:rPr>
          <w:rFonts w:ascii="Times New Roman" w:hAnsi="Times New Roman"/>
          <w:sz w:val="20"/>
        </w:rPr>
      </w:pPr>
      <w:r>
        <w:rPr>
          <w:rFonts w:ascii="Times New Roman" w:hAnsi="Times New Roman"/>
          <w:sz w:val="20"/>
        </w:rPr>
        <w:t xml:space="preserve">We also granted to Amgen an exclusive option to negotiate, and the right of first negotiation, to obtain exclusive, worldwide licenses to research, develop, commercialize and otherwise exploit up to two therapeutic products arising from the collaboration, which is exercisable on a product-by-product basis until a specified period of time following the achievement of the first successful Phase 2 clinical trial for such product. That right exists with respect to each compound for up to 60 days following positive Phase 2 results for the compound. </w:t>
      </w:r>
    </w:p>
    <w:p>
      <w:pPr>
        <w:pStyle w:val="TextBody"/>
        <w:bidi w:val="0"/>
        <w:spacing w:before="240" w:after="0"/>
        <w:jc w:val="left"/>
        <w:rPr>
          <w:rFonts w:ascii="Times New Roman" w:hAnsi="Times New Roman"/>
          <w:sz w:val="20"/>
        </w:rPr>
      </w:pPr>
      <w:r>
        <w:rPr>
          <w:rFonts w:ascii="Times New Roman" w:hAnsi="Times New Roman"/>
          <w:sz w:val="20"/>
        </w:rPr>
        <w:t xml:space="preserve">Either party may terminate the Amgen Collaboration Agreement upon material breach of the other party that is not cured within 90 days after written notice is given or for the other partys insolvency or bankruptcy. In addition, the Amgen Collaboration Agreement terminates automatically on the third anniversary of the effective date if the parties are unable to agree on the compensation structure for the fourth and fifth years of the agreement.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agreements, we issued to Amgen 157.0 million shares of our Series A-2 Preferred Stock. Additionally, Amgen purchased 100.0 million shares of our Series A-2 Preferred Stock at a purchase price of $1.00 per share, for total consideration of $100.0 million. Subject to certain conditions, Amgen is also obligated to provide us additional financing of up to $100.0 million. </w:t>
      </w:r>
    </w:p>
    <w:p>
      <w:pPr>
        <w:pStyle w:val="TextBody"/>
        <w:bidi w:val="0"/>
        <w:spacing w:before="360" w:after="0"/>
        <w:jc w:val="left"/>
        <w:rPr>
          <w:rFonts w:ascii="Times New Roman" w:hAnsi="Times New Roman"/>
          <w:i/>
          <w:sz w:val="20"/>
        </w:rPr>
      </w:pPr>
      <w:r>
        <w:rPr>
          <w:rFonts w:ascii="Times New Roman" w:hAnsi="Times New Roman"/>
          <w:i/>
          <w:sz w:val="20"/>
        </w:rPr>
        <w:t xml:space="preserve">2015 TSRI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acquisition of BlackThorn in September 2020, we gained rights to a license agreement between BlackThorn and TSRI entered into in November 2015, as amended in November 2017 and April 2019 (2015 TSRI License Agreement). Pursuant to the 2015 TSRI License Agreement, TSRI granted us a worldwide, exclusive license under certain patent rights and a worldwide, non-exclusive license under certain know-how relating to TSRIs Kappa Opioid Receptor (KOR or NMRA-140), V1aR Receptor (V1aR or NMRA-511) Antagonist and oxytocin receptors (OTR) positive allosteric modulator programs (collectively, the TSRI Programs), in each case that is sublicensable under certain conditions, to use, manufacture and commercialize products (i) that are covered by the relevant licensed patents, (ii) that involve the use or incorporation of the licensed know-how or (iii) that are KOR, V1aR or OTR modulators discovered by BlackThorn within two years of the effective date of the 2015 TSRI License Agreement for the diagnostic, prophylactic and/or therapeutic treatment of humans and animals. The last patent expiration date for the patents licensed pursuant to the TSRI 2015 License Agreement is 2038, excluding any patent term adjustment or patent term extension. The licensed patent rights are subject to TSRIs right to use the licensed patents for internal research and educational purposes and to grant non-exclusive licenses to other non-profit or academic institutions to use the licensed patent rights for internal research and educational purposes.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certain research and development milestone timeline obligations and have agreed to use commercially reasonable efforts to obtain regulatory approvals and to commercialize the licensed products. </w:t>
      </w:r>
    </w:p>
    <w:p>
      <w:pPr>
        <w:pStyle w:val="TextBody"/>
        <w:bidi w:val="0"/>
        <w:spacing w:before="240" w:after="0"/>
        <w:jc w:val="left"/>
        <w:rPr>
          <w:rFonts w:ascii="Times New Roman" w:hAnsi="Times New Roman"/>
          <w:sz w:val="20"/>
        </w:rPr>
      </w:pPr>
      <w:r>
        <w:rPr>
          <w:rFonts w:ascii="Times New Roman" w:hAnsi="Times New Roman"/>
          <w:sz w:val="20"/>
        </w:rPr>
        <w:t xml:space="preserve">Under the 2015 TSRI License Agreement, BlackThorn issued TSRI shares of its capital stock representing one percent of all outstanding shares of its capital stock calculated on a fully-diluted basis. We paid a change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control success fee to TSRI in shares of our Series A-1 convertible preferred stock with a fair value of $0.3 million. Beyond the payment of this change in control success fee, as of March 31, 2022, no milestone, royalty or other payments have been made to TSRI pursuant to the TSRI 2015 License. </w:t>
      </w:r>
    </w:p>
    <w:p>
      <w:pPr>
        <w:pStyle w:val="TextBody"/>
        <w:bidi w:val="0"/>
        <w:spacing w:before="240" w:after="0"/>
        <w:jc w:val="left"/>
        <w:rPr>
          <w:rFonts w:ascii="Times New Roman" w:hAnsi="Times New Roman"/>
          <w:sz w:val="20"/>
        </w:rPr>
      </w:pPr>
      <w:r>
        <w:rPr>
          <w:rFonts w:ascii="Times New Roman" w:hAnsi="Times New Roman"/>
          <w:sz w:val="20"/>
        </w:rPr>
        <w:t xml:space="preserve">We are obligated to pay TSRI a specified nominal annual license fee that is creditable against any royalties due for that calendar year. Upon achieving specified development and regulatory milestone events, we are obligated to pay TSRI milestone payments in the aggregate of up to $1.5 million for each TSRI Program and upon achieving specified commercial milestone events, we are obligated to pay TSRI milestone payments in the aggregate of up to $3.5 million for each occurrence. We are also obligated to pay TSRI a percentage ranging from the mid-single digits to sub-teen double digits of any sublicensing revenues we receive from a sublicensee. We also agreed to pay TSRI, on a product-by-product and country-by-country basis, royalties in the low-single digit percentages on worldwide net sales of products, which are either tiered or not tiered depending on the category of product, until the later of the expiration of the last to expire licensed patent in the world and the tenth anniversary of the first commercial sale of such licensed product in such country, subject to certain reductions for generic entry, lack of patent coverage and payment obligations for third-party licenses. </w:t>
      </w:r>
    </w:p>
    <w:p>
      <w:pPr>
        <w:pStyle w:val="TextBody"/>
        <w:bidi w:val="0"/>
        <w:spacing w:before="240" w:after="0"/>
        <w:jc w:val="left"/>
        <w:rPr>
          <w:rFonts w:ascii="Times New Roman" w:hAnsi="Times New Roman"/>
          <w:sz w:val="20"/>
        </w:rPr>
      </w:pPr>
      <w:r>
        <w:rPr>
          <w:rFonts w:ascii="Times New Roman" w:hAnsi="Times New Roman"/>
          <w:sz w:val="20"/>
        </w:rPr>
        <w:t xml:space="preserve">The 2015 TSRI License Agreement continues in force until the expiration of all royalty payment obligations to TSRI. We may terminate the 2015 TSRI License Agreement for any reason upon 90 days prior written notice to TSRI. TSRI may immediately terminate the 2015 TSRI License Agreement if we fail to make a payment and do not cure within 20 days after written notice from TSRI, default on our indemnification or insurance obligations, become insolvent or bankrupt, are convicted of a felony relating to the development, manufacture, or commercialization of the licensed products, underpay by a certain percentage within any specified period of time, or default in the performance of any of our other obligations and fail to remedy the default within 60 days after written notice from TSRI. In the event we do not use commercially reasonable efforts to achieve the research and development milestones within the agreed upon time period and do not either meet the milestone or make substantial progress towards achieving the goals of the applicable research and development plan for such Program, in each case, within a specified cure period, TSRI has the right, based on the decision of an arbitrator, to either terminate the 2015 TSRI License Agreement with respect to a particular Program or terminate the 2015 License Agreement in its entirety. Upon any termination, all rights and licenses granted by TSRI to us will terminate. We also agreed to grant to TSRI, in return for royalties at a low-single-digit percentage of TSRIs net sales of licensed products, an irrevocable, exclusive, worldwide, perpetual, sublicensable license to data, information, or other materials exclusively controlled by us that directly relate to the licensed products, to research, develop, manufacture and commercialize the licensed products for the diagnostic, prophylactic and/or therapeutic treatment of humans and animals. </w:t>
      </w:r>
    </w:p>
    <w:p>
      <w:pPr>
        <w:pStyle w:val="TextBody"/>
        <w:bidi w:val="0"/>
        <w:spacing w:before="360" w:after="0"/>
        <w:jc w:val="left"/>
        <w:rPr>
          <w:rFonts w:ascii="Times New Roman" w:hAnsi="Times New Roman"/>
          <w:i/>
          <w:sz w:val="20"/>
        </w:rPr>
      </w:pPr>
      <w:r>
        <w:rPr>
          <w:rFonts w:ascii="Times New Roman" w:hAnsi="Times New Roman"/>
          <w:i/>
          <w:sz w:val="20"/>
        </w:rPr>
        <w:t xml:space="preserve">Harvard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acquisition of Syllable, we gained rights to a license agreement between Syllable and President and Fellows of Harvard College (Harvard), entered into in June 2020 (as amended in March 2021, the Harvard License Agreement). Pursuant to the Harvard License Agreement, Syllable was granted an exclusive, worldwide, royalty-bearing, sublicensable license under certain patent rights and copyrights covering behavior imaging and behavioral tracking software, to develop, manufacture and commercialize products and services covered by such patent rights or that incorporate or use such software, in the field of methods, equipment, systems and services included within such patent rights. The last patent expiration date for the patents licensed pursuant to the Harvard License Agreement is 2040, excluding any patent term adjustment or patent term extension. The licensed patent rights are subject to Harvards and other non-profit organizations right to use the patent rights and software for research, educational and scholarly purposes and to one for-profit third partys right to use certain existing patent rights and software for internal research and development purposes, which was secured under a previously existing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use commercially reasonable efforts to develop licensed products in accordance with a development plan and to commercialize licensed products. Additionally, we have obligations to achieve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development milestones within specified time periods between December 2021 and January 2024. Failure to meet such milestones constitutes a material breach of contract that entitles Harvard to terminate the Harvard License Agreement subject to notification and cure periods. In March 2021, we entered into an amendment to the Harvard License Agreement to, among other things, extend the timeline for us to meet our development milestones. As of March 31, 2022, we had not met the December 2021 or January 2022 milestones. Harvard has neither terminated the agreement nor provided notice to us of its intent to do so as a result of our failure to meet these milestones. We and Harvard are currently in discussions to amend the Harvard License Agreement to revise the development milestones. </w:t>
      </w:r>
    </w:p>
    <w:p>
      <w:pPr>
        <w:pStyle w:val="TextBody"/>
        <w:bidi w:val="0"/>
        <w:spacing w:before="240" w:after="0"/>
        <w:jc w:val="left"/>
        <w:rPr>
          <w:rFonts w:ascii="Times New Roman" w:hAnsi="Times New Roman"/>
          <w:sz w:val="20"/>
        </w:rPr>
      </w:pPr>
      <w:r>
        <w:rPr>
          <w:rFonts w:ascii="Times New Roman" w:hAnsi="Times New Roman"/>
          <w:sz w:val="20"/>
        </w:rPr>
        <w:t xml:space="preserve">Under the Harvard License Agreement, Syllable paid a nominal upfront licensing fee and issued shares of its common stock representing five percent of its capital stock on a fully diluted basis. Syllable was also required to pay Harvard a change of control payment, which we agreed to pay on Syllables behalf as part of the acquisition and which was part of the net liabilities we assumed in the transaction. We are obligated to pay Harvard specified nominal annual license maintenance fees that are creditable against any royalty amounts payable for licensed products sold in the same year. We agreed to pay Harvard royalties in the mid-single digits on net sales, which are payable on a country-by-country and product-by-product basis until the later of (i) the expiration of the last to expire valid claim in the licensed patents that cover such product and (ii) the fifteenth anniversary of the first commercial sale of such product in such country. In addition, we are obligated to pay Harvard a percentage of sublicense income we receive, ranging from the high-teens to low-double-digits, based on the effective date of the sublicense agreement. As of March 31, 2022, no milestone, royalty or other payments have been made to Harvard pursuant to the Harvard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Harvard License Agreement will remain in force until the later of the (i) expiration of the last to expire valid claim in the licensed patents and (ii) the fifteenth anniversary of the first commercial sale of the last licensed product offered for sale. We may terminate the Harvard License Agreement for convenience upon 120 days prior written notice to Harvard. Harvard may terminate the Harvard License Agreement upon notice if we become insolvent or bankrupt, or without notice, if we fail to meet development milestones or default in our obligations relating to procuring and maintaining insurance. Either party may terminate the Harvard License Agreement upon material breach of the other party that is not cured within 30 days after receiving written notice of breach. </w:t>
      </w:r>
    </w:p>
    <w:p>
      <w:pPr>
        <w:pStyle w:val="TextBody"/>
        <w:bidi w:val="0"/>
        <w:spacing w:before="360" w:after="0"/>
        <w:jc w:val="left"/>
        <w:rPr>
          <w:rFonts w:ascii="Times New Roman" w:hAnsi="Times New Roman"/>
          <w:i/>
          <w:sz w:val="20"/>
        </w:rPr>
      </w:pPr>
      <w:r>
        <w:rPr>
          <w:rFonts w:ascii="Times New Roman" w:hAnsi="Times New Roman"/>
          <w:i/>
          <w:sz w:val="20"/>
        </w:rPr>
        <w:t xml:space="preserve">Vanderbilt License Agreement and Sponsored Research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Vanderbilt License Agreement, we obtained an exclusive, worldwide, royalty-bearing, sublicensable (subject to certain restrictions) license under certain patent rights and a non-exclusive, worldwide, royalty-bearing, sublicenseable (subject to certain restrictions) license under certain know-how covering small molecule positive allosteric modulators (PAMs) predominantly of the muscarinic acetylcholine receptor subtype 4 (M4), to develop, manufacture and commercialize products, processes, and services covered by such patent rights or that incorporate or use such know-how, for any and all uses. We also have an exclusive option, exercisable for a specified period of time, to obtain an exclusive license to certain patent rights conceived or developed by Vanderbilt in the course of carrying out the sponsored research pursuant to a sponsored research agreement between us and Vanderbilt. The last patent expiration date for the licensed patents that are issued or expected to issue, from currently pending or provisional applications, pursuant to the Vanderbilt License Agreement is 2043, excluding any patent term adjustment or patent term extension. The licensed patent rights are subject to Vanderbilts right to use the patent rights for research, internal non-commercial use and educational purposes.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use commercially reasonable efforts to develop and commercialize licensed products, and to achieve a certain development milestones, the first within a specified period following the effective date and the other on or before June 2024. Failure to meet our obligations in accordance with the Vanderbilt License Agreement to achieve such milestones may constitute a material breach of contract that entitles Vanderbilt to terminate the Vanderbilt License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Vanderbilt License Agreement, we agreed to pay an upfront fee of $13.0 million. We are also obligated to pay Vanderbilt tiered royalties at mid-single-digit percentages on net sales of royalty-bearing products, which are payable on a country-by-country and product-by-product basis until the later of expiration of the last to expire valid claim covering composition of matter in the licensed patents and the tenth anniversary of the first commercial sale of such product in such country. Under the Vanderbilt License Agreement, the royalty payments are subject to reductions on a country-by-country basis for the lack of patent coverage, generic entry and payment obligations for third-party licenses. In addition, we are obligated to pay Vanderbilt a low-double-digit percentage of sublicense income we receive for sublicenses entered into before the achievement of a specified event. We also agreed to pay Vanderbilt payments of up to $42.0 million upon achievement of specified development milestone events and up to $380.0 million upon achievement of specified commercial milestone events. As of March 31, 2022, no milestone, royalty or other payment (other than the upfront payment described above) has become payable to Vanderbilt pursuant to the Vanderbilt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Vanderbilt License Agreement will remain in force, on a country-by-country basis, until the expiration of all royalty payment obligations to Vanderbilt in such country. If we bring a patent challenge against any licensed patents, in addition to paying certain costs associated with the proceeding, Vanderbilt may convert the exclusive licenses to non-exclusive licenses or terminate the Vanderbilt License Agreement. If the licensed patents survive the patent challenge, all payments under the agreement will be increased by a specified amount. We have the right to terminate the Vanderbilt License Agreement at any time by providing Vanderbilt with 90 days prior notice. Vanderbilt has the right to terminate the Vanderbilt License Agreement if we file for bankruptcy. The Vanderbilt License Agreement will automatically terminate if our insurance coverage lapses and is not cured within 90 days. Vanderbilt also has the right to terminate if we fail to make payments, breach our diligence obligations or breach any other material term upon 60 days prior notice.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drug products. A new drug must be approved by the FDA through the New Drug Application (NDA) process before it may be legally marketed in the United States. We, along with any third-party contractors, will be required to navigate the various preclinical, clinical and commercial approval requirements of the governing regulatory agencies of the countries in which we wish to conduct studies or seek approval of our products and product candidates. The process of obtaining regulatory approvals and the subsequent compliance with applicable federal, state, local and foreign statutes and regulations require the expenditure of substantial time and financial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Drug Development Process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the FDA regulates drugs under the federal Food, Drug, and Cosmetic Act (FDCA) and its implementing regulations. The process of obtaining regulatory approvals and the subsequent compliance with appropriate federal, state, local and foreign statutes and regulations require the expenditure of substantial time and financial resources. The process required by the FDA before a drug may be marketed in the United States generally involves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completion of preclinical laboratory tests, animal studies and formulation studies in accordance with FDAs Good Laboratory Practice (GLP) requirements and other applicable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IND, which must become effective before human clinical trials may begin;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Institutional Review Board (IRB) or ethics committee at each clinical site before each trial may be initiated;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in accordance with good clinical practices (GCPs) to establish the safety and efficacy of the proposed drug for its intended use;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preparation of and submission to the FDA of an NDA after completion of all pivotal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determination by the FDA within 60 days of its receipt of an NDA to file the application for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advisory committee review,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inspection of the manufacturing facility or facilities at which the drug is produced to assess compliance with current Good Manufacturing Practice (cGMP) requirements to assure that the facilities, methods and controls are adequate to preserve the drugs identity, strength, quality and purity, and of selected clinical investigation sites to assess compliance with GCPs;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 review and approval of the NDA to permit commercial marketing of the product for particular indications for use 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preclinical developmental stage generally involves laboratory evaluations of chemistry, formulation and stability, as well as studies to evaluate the product candidates toxicity in animals, in an effort to support subsequent clinical testing. The conduct of preclinical studies is subject to federal regulations and requirements, including GLP regulations. </w:t>
      </w:r>
    </w:p>
    <w:p>
      <w:pPr>
        <w:pStyle w:val="TextBody"/>
        <w:bidi w:val="0"/>
        <w:spacing w:before="240" w:after="0"/>
        <w:jc w:val="left"/>
        <w:rPr>
          <w:rFonts w:ascii="Times New Roman" w:hAnsi="Times New Roman"/>
          <w:sz w:val="20"/>
        </w:rPr>
      </w:pPr>
      <w:r>
        <w:rPr>
          <w:rFonts w:ascii="Times New Roman" w:hAnsi="Times New Roman"/>
          <w:sz w:val="20"/>
        </w:rPr>
        <w:t xml:space="preserve">Prior to beginning the first clinical trial with a product candidate in the United States, the trial sponsor must submit an IND to the FDA. An IND is a request for authorization from the FDA to administer an investigational biologic to humans. The central focus of an IND submission is on the general investigational plan and the protocol(s) for clinical studies. The IND also includes results of animal and </w:t>
      </w:r>
      <w:r>
        <w:rPr>
          <w:rFonts w:ascii="Times New Roman" w:hAnsi="Times New Roman"/>
          <w:i/>
          <w:sz w:val="20"/>
        </w:rPr>
        <w:t>in vitro</w:t>
      </w:r>
      <w:r>
        <w:rPr>
          <w:rFonts w:ascii="Times New Roman" w:hAnsi="Times New Roman"/>
          <w:sz w:val="20"/>
        </w:rPr>
        <w:t xml:space="preserve"> studies assessing the toxicology, pharmacokinetics, pharmacology and pharmacodynamic characteristics of the product candidate, chemistry, manufacturing and controls information, and any available human data or literature to support the use of the product candidate.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involve the administration of the investigational product to human subjects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study, the parameters to be used in monitoring subject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trial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trial results to public registries, including clinicaltrials.gov. </w:t>
      </w:r>
    </w:p>
    <w:p>
      <w:pPr>
        <w:pStyle w:val="TextBody"/>
        <w:bidi w:val="0"/>
        <w:spacing w:before="240" w:after="0"/>
        <w:jc w:val="left"/>
        <w:rPr>
          <w:rFonts w:ascii="Times New Roman" w:hAnsi="Times New Roman"/>
          <w:sz w:val="20"/>
        </w:rPr>
      </w:pPr>
      <w:r>
        <w:rPr>
          <w:rFonts w:ascii="Times New Roman" w:hAnsi="Times New Roman"/>
          <w:sz w:val="20"/>
        </w:rPr>
        <w:t xml:space="preserve">Human clinical trials are typically conducted in three sequential phases that may overlap or be combined: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some cases, the FDA may require, or sponsors may voluntarily pursue, additional clinical trials after a product is approved to gain more information about the product. These so-called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of approval of an NDA.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 </w:t>
      </w:r>
    </w:p>
    <w:p>
      <w:pPr>
        <w:pStyle w:val="TextBody"/>
        <w:bidi w:val="0"/>
        <w:spacing w:before="240" w:after="0"/>
        <w:jc w:val="left"/>
        <w:rPr>
          <w:rFonts w:ascii="Times New Roman" w:hAnsi="Times New Roman"/>
          <w:sz w:val="20"/>
        </w:rPr>
      </w:pPr>
      <w:r>
        <w:rPr>
          <w:rFonts w:ascii="Times New Roman" w:hAnsi="Times New Roman"/>
          <w:sz w:val="20"/>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Times New Roman" w:hAnsi="Times New Roman"/>
          <w:i/>
          <w:sz w:val="20"/>
        </w:rPr>
        <w:t xml:space="preserve">in vitro </w:t>
      </w:r>
      <w:r>
        <w:rPr>
          <w:rFonts w:ascii="Times New Roman" w:hAnsi="Times New Roman"/>
          <w:sz w:val="20"/>
        </w:rPr>
        <w:t xml:space="preserve">testing suggesting a significant risk to humans, and any clinically important increased incidence of a serious suspected adverse reaction compared to that listed in the protocol or investigator brochure.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Review and Approval Process </w:t>
      </w:r>
    </w:p>
    <w:p>
      <w:pPr>
        <w:pStyle w:val="TextBody"/>
        <w:bidi w:val="0"/>
        <w:spacing w:before="120" w:after="0"/>
        <w:jc w:val="left"/>
        <w:rPr>
          <w:rFonts w:ascii="Times New Roman" w:hAnsi="Times New Roman"/>
          <w:sz w:val="20"/>
        </w:rPr>
      </w:pPr>
      <w:r>
        <w:rPr>
          <w:rFonts w:ascii="Times New Roman" w:hAnsi="Times New Roman"/>
          <w:sz w:val="20"/>
        </w:rPr>
        <w:t xml:space="preserve">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can come from company-sponsored clinical studies intended to test the safety and effectiveness of a use of the product, or from a number of alternative sources, including studies initiated by independent investigators. The submission of an NDA is subject to the payment of substantial user fees, unless a waiver or exemption applies. </w:t>
      </w:r>
    </w:p>
    <w:p>
      <w:pPr>
        <w:pStyle w:val="TextBody"/>
        <w:bidi w:val="0"/>
        <w:spacing w:before="240" w:after="0"/>
        <w:jc w:val="left"/>
        <w:rPr>
          <w:rFonts w:ascii="Times New Roman" w:hAnsi="Times New Roman"/>
          <w:sz w:val="20"/>
        </w:rPr>
      </w:pPr>
      <w:r>
        <w:rPr>
          <w:rFonts w:ascii="Times New Roman" w:hAnsi="Times New Roman"/>
          <w:sz w:val="20"/>
        </w:rPr>
        <w:t xml:space="preserve">The FDA conducts a preliminary review of all NDAs within the first 60 days after submission, before accepting them for filing, to determine whether they are sufficiently complete to permit substantive review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FDA may request additional information rather than accept an NDA for filing. In this event, the NDA must be resubmitted with the additional information. The resubmitted application also is subject to review before the FDA accepts it for filing. Once filed, the FDA has a goal of ten months from the filing date to complete a standard review of an NDA for a drug that is a new molecular entity. This review typically takes twelve months from the date the NDA is submitted to FDA because the FDA has approximately two months to make a filing decision after it the application is submitted. The FDA reviews an NDA to determine, among other things, whether a product is safe and effective for its intended use and whether its manufacturing is sufficient to assure and preserve the products identity, strength, quality and purity. </w:t>
      </w:r>
    </w:p>
    <w:p>
      <w:pPr>
        <w:pStyle w:val="TextBody"/>
        <w:bidi w:val="0"/>
        <w:spacing w:before="240" w:after="0"/>
        <w:jc w:val="left"/>
        <w:rPr>
          <w:rFonts w:ascii="Times New Roman" w:hAnsi="Times New Roman"/>
          <w:sz w:val="20"/>
        </w:rPr>
      </w:pPr>
      <w:r>
        <w:rPr>
          <w:rFonts w:ascii="Times New Roman" w:hAnsi="Times New Roman"/>
          <w:sz w:val="20"/>
        </w:rPr>
        <w:t xml:space="preserve">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w:t>
      </w:r>
    </w:p>
    <w:p>
      <w:pPr>
        <w:pStyle w:val="TextBody"/>
        <w:bidi w:val="0"/>
        <w:spacing w:before="240" w:after="0"/>
        <w:jc w:val="left"/>
        <w:rPr>
          <w:rFonts w:ascii="Times New Roman" w:hAnsi="Times New Roman"/>
          <w:sz w:val="20"/>
        </w:rPr>
      </w:pPr>
      <w:r>
        <w:rPr>
          <w:rFonts w:ascii="Times New Roman" w:hAnsi="Times New Roman"/>
          <w:sz w:val="20"/>
        </w:rPr>
        <w:t xml:space="preserve">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 </w:t>
      </w:r>
    </w:p>
    <w:p>
      <w:pPr>
        <w:pStyle w:val="TextBody"/>
        <w:bidi w:val="0"/>
        <w:spacing w:before="240" w:after="0"/>
        <w:jc w:val="left"/>
        <w:rPr>
          <w:rFonts w:ascii="Times New Roman" w:hAnsi="Times New Roman"/>
          <w:sz w:val="20"/>
        </w:rPr>
      </w:pPr>
      <w:r>
        <w:rPr>
          <w:rFonts w:ascii="Times New Roman" w:hAnsi="Times New Roman"/>
          <w:sz w:val="20"/>
        </w:rPr>
        <w:t xml:space="preserve">After the FDA evaluates an NDA and conducts inspections of manufacturing facilities where the investigational product and/or its drug substance will be produced, the FDA may issue an approval letter or a Complete Response Letter (CRL). An approval letter authorizes commercial marketing of the product with specific prescribing information for specific indications. A CRL will describe all of the deficiencies that the FDA has identified in the NDA, except that where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in condition for approval, including requests for additional information or clarification. The FDA may delay or refuse approval of an NDA if applicable regulatory criteria are not satisfied, require additional testing or information and/or require post-marketing testing and surveillance to monitor safety or efficacy of a product. </w:t>
      </w:r>
    </w:p>
    <w:p>
      <w:pPr>
        <w:pStyle w:val="TextBody"/>
        <w:bidi w:val="0"/>
        <w:spacing w:before="240" w:after="0"/>
        <w:jc w:val="left"/>
        <w:rPr>
          <w:rFonts w:ascii="Times New Roman" w:hAnsi="Times New Roman"/>
          <w:sz w:val="20"/>
        </w:rPr>
      </w:pPr>
      <w:r>
        <w:rPr>
          <w:rFonts w:ascii="Times New Roman" w:hAnsi="Times New Roman"/>
          <w:sz w:val="20"/>
        </w:rPr>
        <w:t xml:space="preserve">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Phase 4 post- market studies and surveillance to further assess and monitor the products safety and effectiveness after commercialization, and may limit further marketing of the product based on the results of these post-marketing studies.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Pediatric Research Equity Act (PREA) requires a sponsor to conduct pediatric clinical trials for most drugs, for a new active ingredient, new indication, new dosage form, new dosing regimen or new route of administration. Under PREA, NDAs and supplements must contain a pediatric assessment unless the sponsor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Expedited Development and Review Programs </w:t>
      </w:r>
    </w:p>
    <w:p>
      <w:pPr>
        <w:pStyle w:val="TextBody"/>
        <w:bidi w:val="0"/>
        <w:spacing w:before="120" w:after="0"/>
        <w:jc w:val="left"/>
        <w:rPr>
          <w:rFonts w:ascii="Times New Roman" w:hAnsi="Times New Roman"/>
          <w:sz w:val="20"/>
        </w:rPr>
      </w:pPr>
      <w:r>
        <w:rPr>
          <w:rFonts w:ascii="Times New Roman" w:hAnsi="Times New Roman"/>
          <w:sz w:val="20"/>
        </w:rPr>
        <w:t xml:space="preserve">The FDA offers a number of expedited development and review programs for qualifying product candidates. For example, the Fast Track program is intended to expedite or facilitate the process for reviewing new product candidates that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candidate has opportunities for more frequent interactions with the applicable FDA review team during development and, once an NDA is submitted, the product candidate may be eligible for priority review.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t>
      </w:r>
    </w:p>
    <w:p>
      <w:pPr>
        <w:pStyle w:val="TextBody"/>
        <w:bidi w:val="0"/>
        <w:spacing w:before="240" w:after="0"/>
        <w:jc w:val="left"/>
        <w:rPr>
          <w:rFonts w:ascii="Times New Roman" w:hAnsi="Times New Roman"/>
          <w:sz w:val="20"/>
        </w:rPr>
      </w:pPr>
      <w:r>
        <w:rPr>
          <w:rFonts w:ascii="Times New Roman" w:hAnsi="Times New Roman"/>
          <w:sz w:val="20"/>
        </w:rPr>
        <w:t xml:space="preserve">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 </w:t>
      </w:r>
    </w:p>
    <w:p>
      <w:pPr>
        <w:pStyle w:val="TextBody"/>
        <w:bidi w:val="0"/>
        <w:spacing w:before="240" w:after="0"/>
        <w:jc w:val="left"/>
        <w:rPr>
          <w:rFonts w:ascii="Times New Roman" w:hAnsi="Times New Roman"/>
          <w:sz w:val="20"/>
        </w:rPr>
      </w:pPr>
      <w:r>
        <w:rPr>
          <w:rFonts w:ascii="Times New Roman" w:hAnsi="Times New Roman"/>
          <w:sz w:val="20"/>
        </w:rPr>
        <w:t xml:space="preserve">Any marketing application for a drug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 product candidate is eligible for priority review if it is designed to treat a serious or life-threatening disease or condition, and if approved, would provide a significant improvement in safety or effectiveness compared to available alternatives for such disease or condition. For new-molecular-entity NDAs, priority review designation means the FDAs goal is to take action on the marketing application within six months of the 60-day filing date. </w:t>
      </w:r>
    </w:p>
    <w:p>
      <w:pPr>
        <w:pStyle w:val="TextBody"/>
        <w:bidi w:val="0"/>
        <w:spacing w:before="240" w:after="0"/>
        <w:jc w:val="left"/>
        <w:rPr>
          <w:rFonts w:ascii="Times New Roman" w:hAnsi="Times New Roman"/>
          <w:sz w:val="20"/>
        </w:rPr>
      </w:pPr>
      <w:r>
        <w:rPr>
          <w:rFonts w:ascii="Times New Roman" w:hAnsi="Times New Roman"/>
          <w:sz w:val="20"/>
        </w:rPr>
        <w:t xml:space="preserve">Additionally,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in a timely manner or if such studies fail to verify the predicted clinical benefit. In addition, the FDA currently requires as a condition for accelerated approval pre-approval of promotional materials, which could adversely impact the timing of the commercial launch of the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Orphan Drug Designation and Exclusivity </w:t>
      </w:r>
    </w:p>
    <w:p>
      <w:pPr>
        <w:pStyle w:val="TextBody"/>
        <w:bidi w:val="0"/>
        <w:spacing w:before="120" w:after="0"/>
        <w:jc w:val="left"/>
        <w:rPr>
          <w:rFonts w:ascii="Times New Roman" w:hAnsi="Times New Roman"/>
          <w:sz w:val="20"/>
        </w:rPr>
      </w:pPr>
      <w:r>
        <w:rPr>
          <w:rFonts w:ascii="Times New Roman" w:hAnsi="Times New Roman"/>
          <w:sz w:val="20"/>
        </w:rPr>
        <w:t xml:space="preserve">Under the Orphan Drug Act, the FDA may grant orphan designation to a drug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in the United States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 </w:t>
      </w:r>
    </w:p>
    <w:p>
      <w:pPr>
        <w:pStyle w:val="TextBody"/>
        <w:bidi w:val="0"/>
        <w:spacing w:before="240" w:after="0"/>
        <w:jc w:val="left"/>
        <w:rPr>
          <w:rFonts w:ascii="Times New Roman" w:hAnsi="Times New Roman"/>
          <w:sz w:val="20"/>
        </w:rPr>
      </w:pPr>
      <w:r>
        <w:rPr>
          <w:rFonts w:ascii="Times New Roman" w:hAnsi="Times New Roman"/>
          <w:sz w:val="20"/>
        </w:rPr>
        <w:t xml:space="preserve">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drug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 </w:t>
      </w:r>
    </w:p>
    <w:p>
      <w:pPr>
        <w:pStyle w:val="TextBody"/>
        <w:bidi w:val="0"/>
        <w:spacing w:before="240" w:after="0"/>
        <w:jc w:val="left"/>
        <w:rPr>
          <w:rFonts w:ascii="Times New Roman" w:hAnsi="Times New Roman"/>
          <w:sz w:val="20"/>
        </w:rPr>
      </w:pPr>
      <w:r>
        <w:rPr>
          <w:rFonts w:ascii="Times New Roman" w:hAnsi="Times New Roman"/>
          <w:sz w:val="20"/>
        </w:rPr>
        <w:t xml:space="preserve">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Drug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 </w:t>
      </w:r>
    </w:p>
    <w:p>
      <w:pPr>
        <w:pStyle w:val="TextBody"/>
        <w:bidi w:val="0"/>
        <w:spacing w:before="240" w:after="0"/>
        <w:jc w:val="left"/>
        <w:rPr>
          <w:rFonts w:ascii="Times New Roman" w:hAnsi="Times New Roman"/>
          <w:sz w:val="20"/>
        </w:rPr>
      </w:pPr>
      <w:r>
        <w:rPr>
          <w:rFonts w:ascii="Times New Roman" w:hAnsi="Times New Roman"/>
          <w:sz w:val="20"/>
        </w:rPr>
        <w:t xml:space="preserve">The FDA may withdraw approval if compliance with regulatory requirements and standards is not maintained or if problems occur after the product reaches the market. Later discovery of previously unknown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complete withdrawal of the product from the market or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untitled letters;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holds on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product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 decrees, corporate integrity agreements, debarment or exclusion from federal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mandated modification of promotional materials and labeling and the issuance of corrective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safety alerts, Dear Healthcare Provider letters, press releases and other communications containing warnings or other safety information about the product;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Marketing Exclusivity </w:t>
      </w:r>
    </w:p>
    <w:p>
      <w:pPr>
        <w:pStyle w:val="TextBody"/>
        <w:bidi w:val="0"/>
        <w:spacing w:before="120" w:after="0"/>
        <w:jc w:val="left"/>
        <w:rPr>
          <w:rFonts w:ascii="Times New Roman" w:hAnsi="Times New Roman"/>
          <w:sz w:val="20"/>
        </w:rPr>
      </w:pPr>
      <w:r>
        <w:rPr>
          <w:rFonts w:ascii="Times New Roman" w:hAnsi="Times New Roman"/>
          <w:sz w:val="20"/>
        </w:rPr>
        <w:t xml:space="preserve">Market exclusivity provisions authorized under the FDCA can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w:t>
      </w:r>
    </w:p>
    <w:p>
      <w:pPr>
        <w:pStyle w:val="TextBody"/>
        <w:bidi w:val="0"/>
        <w:spacing w:before="240" w:after="0"/>
        <w:jc w:val="left"/>
        <w:rPr>
          <w:rFonts w:ascii="Times New Roman" w:hAnsi="Times New Roman"/>
          <w:sz w:val="20"/>
        </w:rPr>
      </w:pPr>
      <w:r>
        <w:rPr>
          <w:rFonts w:ascii="Times New Roman" w:hAnsi="Times New Roman"/>
          <w:sz w:val="20"/>
        </w:rPr>
        <w:t xml:space="preserve">The FDCA alternatively provides three years of marketing exclusivity for an NDA, or supplement to an existing NDA if new clinical investigations, other than bioavailability studies, that were conducted or sponsored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 </w:t>
      </w:r>
    </w:p>
    <w:p>
      <w:pPr>
        <w:pStyle w:val="TextBody"/>
        <w:bidi w:val="0"/>
        <w:spacing w:before="240" w:after="0"/>
        <w:jc w:val="left"/>
        <w:rPr>
          <w:rFonts w:ascii="Times New Roman" w:hAnsi="Times New Roman"/>
          <w:sz w:val="20"/>
        </w:rPr>
      </w:pPr>
      <w:r>
        <w:rPr>
          <w:rFonts w:ascii="Times New Roman" w:hAnsi="Times New Roman"/>
          <w:sz w:val="20"/>
        </w:rPr>
        <w:t xml:space="preserve">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U.S. Regulatory Requirements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FDA regulation of pharmaceutical products, pharmaceutical companies are also subject to additional healthcare regulation and enforcement by the federal government and by authorities in the states and foreign jurisdictions in which they conduct their business and may constrain the financial arrangements and relationships through which we research, as well as sell, market and distribute any products for which we obtain marketing authorization. Such laws include, without limitation, state and federal anti-kickback, fraud and abuse, false claims, data privacy and security, and transparency laws and regulations related to drug pricing and payments and other transfers of value made to physicians and other healthcare providers. If their operations are found to be in violation of any of such laws or any other governmental regulations that apply, they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Coverage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reimbursements for medical products, drugs and services.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and also have a material adverse effect on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Healthcare Reform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there have been, and continue to be, legislative and regulatory changes and proposed changes regarding the healthcare system that could prevent or delay marketing approval of product candidates, restrict or regulate post-approval activities, and affect the profitable sale of product candidates, and similar healthcare laws and regulations exist in the EU and other jurisdictions. Among policy makers and payors in the United States,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way of example, in March 2010, the Patient Protection and Affordable Care Act (the ACA) was passed, which substantially changed the way healthcare is financed by both governmental and private insurers, and significantly affected the pharmaceutical industry. The ACA, among other things, increased the minimum level of Medicaid rebates payable by manufacturers of brand name drugs from 15.1% to 23.1% of the average manufacturer price; required collection of rebates for drugs paid by Medicaid managed care organizations; required manufacturers to participate in a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and Medicaid Innovation at the CMS to test innovative payment and service delivery models to lower Medicare and Medicaid spending, potentially including prescription drug spending. </w:t>
      </w:r>
    </w:p>
    <w:p>
      <w:pPr>
        <w:pStyle w:val="TextBody"/>
        <w:bidi w:val="0"/>
        <w:spacing w:before="240" w:after="0"/>
        <w:jc w:val="left"/>
        <w:rPr>
          <w:rFonts w:ascii="Times New Roman" w:hAnsi="Times New Roman"/>
          <w:sz w:val="20"/>
        </w:rPr>
      </w:pPr>
      <w:r>
        <w:rPr>
          <w:rFonts w:ascii="Times New Roman" w:hAnsi="Times New Roman"/>
          <w:sz w:val="20"/>
        </w:rPr>
        <w:t xml:space="preserve">Since its enactment, there have been judicial, executive and political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legislative changes have been proposed and adopted since the ACA was enacted. For example,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Further, in August 2011, the Budget Control Act of 2011, among other things, included aggregate reductions to Medicare payments to providers of 2% per fiscal year, which went into effect on April 1, 2013 and, due to subsequent legislative amendments to the statute, will remain in effect through 2031, with the exception of a temporary suspension from May 1, 2020 through March 31, 2022, unless additional Congressional action is taken. Under current legislation the actual reduction in Medicare payments will vary from 1% in 2022 to up to 3% in the final fiscal year of this sequester.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w:t>
      </w:r>
    </w:p>
    <w:p>
      <w:pPr>
        <w:pStyle w:val="TextBody"/>
        <w:bidi w:val="0"/>
        <w:spacing w:before="240" w:after="0"/>
        <w:jc w:val="left"/>
        <w:rPr>
          <w:rFonts w:ascii="Times New Roman" w:hAnsi="Times New Roman"/>
          <w:sz w:val="20"/>
        </w:rPr>
      </w:pPr>
      <w:r>
        <w:rPr>
          <w:rFonts w:ascii="Times New Roman" w:hAnsi="Times New Roman"/>
          <w:sz w:val="20"/>
        </w:rPr>
        <w:t xml:space="preserve">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pharmaceutical products. The likelihood of success of these and other reforms initiated by the former Trump administration is unclear, particularly in light of the new Biden administration. </w:t>
      </w:r>
    </w:p>
    <w:p>
      <w:pPr>
        <w:pStyle w:val="TextBody"/>
        <w:bidi w:val="0"/>
        <w:spacing w:before="240" w:after="0"/>
        <w:jc w:val="left"/>
        <w:rPr>
          <w:rFonts w:ascii="Times New Roman" w:hAnsi="Times New Roman"/>
          <w:sz w:val="20"/>
        </w:rPr>
      </w:pPr>
      <w:r>
        <w:rPr>
          <w:rFonts w:ascii="Times New Roman" w:hAnsi="Times New Roman"/>
          <w:sz w:val="20"/>
        </w:rPr>
        <w:t xml:space="preserve">Individual states in the United States have also become increasingly active in implementing regulations designed to control pharmaceutical product pricing, including price or patient reimbursement constraints,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Data Privacy and Security </w:t>
      </w:r>
    </w:p>
    <w:p>
      <w:pPr>
        <w:pStyle w:val="TextBody"/>
        <w:bidi w:val="0"/>
        <w:spacing w:before="120" w:after="0"/>
        <w:jc w:val="left"/>
        <w:rPr>
          <w:rFonts w:ascii="Times New Roman" w:hAnsi="Times New Roman"/>
          <w:sz w:val="20"/>
        </w:rPr>
      </w:pPr>
      <w:r>
        <w:rPr>
          <w:rFonts w:ascii="Times New Roman" w:hAnsi="Times New Roman"/>
          <w:sz w:val="20"/>
        </w:rPr>
        <w:t xml:space="preserve">Numerous state, federal and foreign laws, regulations and standards govern the collection, use, access to, confidentiality and security of health-related and other personal information, including clinical trial data,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(e.g., Section 5 of the FTC Act) govern the collection, use, disclosure and protection of health-related and other personal information. Further, to the extent we collect personal data from individuals outside of the United States, through clinical trials or otherwise, we could be subject to foreign laws, such as the GDPR, which govern the privacy and security of personal data, including health-related data. Our use of AI/ML may also be subject to evolving laws and regulations, controlling for data bias and antidiscrimination.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w:t>
      </w:r>
    </w:p>
    <w:p>
      <w:pPr>
        <w:pStyle w:val="TextBody"/>
        <w:bidi w:val="0"/>
        <w:spacing w:before="360" w:after="0"/>
        <w:jc w:val="left"/>
        <w:rPr>
          <w:rFonts w:ascii="Times New Roman" w:hAnsi="Times New Roman"/>
          <w:b/>
          <w:sz w:val="20"/>
        </w:rPr>
      </w:pPr>
      <w:r>
        <w:rPr>
          <w:rFonts w:ascii="Times New Roman" w:hAnsi="Times New Roman"/>
          <w:b/>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Total research and development expenses were $17.6 million and $55.8 million for the years ended December 31, 2020 and 2021, respectively and $11.5 million and $22.1 million for the three months ended March 31, 2021 and 2022,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Commercialization </w:t>
      </w:r>
    </w:p>
    <w:p>
      <w:pPr>
        <w:pStyle w:val="TextBody"/>
        <w:bidi w:val="0"/>
        <w:spacing w:before="120" w:after="0"/>
        <w:jc w:val="left"/>
        <w:rPr>
          <w:rFonts w:ascii="Times New Roman" w:hAnsi="Times New Roman"/>
          <w:sz w:val="20"/>
        </w:rPr>
      </w:pPr>
      <w:r>
        <w:rPr>
          <w:rFonts w:ascii="Times New Roman" w:hAnsi="Times New Roman"/>
          <w:sz w:val="20"/>
        </w:rPr>
        <w:t xml:space="preserve">We intend to retain significant development and commercial rights to our product candidates and, if marketing approval is obtained, we may commercialize our product candidates on our own, or potentially with a partner, in the United States and other geographies. We currently have no sales, marketing or commercial product distribution capabilities. We may build the necessary infrastructure and capabilities over time for the United States, and potentially other regions, though like all things we do, we would seek to leverage technology to build these capabilities over time to be significantly more efficient than the industry average. Decisions to create this infrastructure and capability will be made following further advancement of our product candidates and based on our assessment of our ability to build said capabilities and infrastructure with competitive advantage. Clinical data, the size of the addressable patient population, the size of the commercial infrastructure, manufacturing needs and major trends as to how value is accrued in the industry may all influence or alter our commercialization plans.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We do not own or operate any manufacturing facilities. We currently depend on third-party CMOs for all of our requirements of raw materials, drug substance and drug product for our preclinical research and our ongoing clinical trials of our product candidates. Certain of these CMOs, including the drug substance supplier for our NMRA-140 program (Almac) and the drug product suppliers for our NMRA-140 (Almac), NMRA-511 (Aptuit) and NMRA-094 (Piramal) programs, are single source suppliers. None of these single source suppliers have the ability to terminate these agreements for convenience and there are no minimum purchase commitments. If not extended by us and the counter parties thereto, these supplier agreements terminate in the following years: Almac in October 2023, Aptuit in May 2023 and Piramal in August 2026. We intend to continue to rely on CMOs for later-stage development and commercialization of our product candidates, including any additional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candidates that we may identify. Although we rely on CMOs, we have personnel and third-party consultants with extensive manufacturing experience to oversee the relationships with our contract manufacturers.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biotechnology company pioneering a precision medicine approach for brain diseases through the integration of data science and translational neuroscience. Our efforts to date have resulted in a pipeline of seven clinical and preclinical precision neuroscience programs targeting a broad range of underserved neuropsychiatric disorders and neurodegenerative diseases. Our platform is powered by a proprietary approach to patient enrichment enabled by proprietary AI/ML technology, which we integrate with advanced translational neuroscience approaches to develop novel precision medicines. As such, we compete with multiple pharmaceutical and biotechnology companies that are similarly working to develop therapeutics targeting neuropsychiatric disorders and neurodegenerative diseases, as well as companies that are integrating computational and data science methods into their drug discovery and development activities and/or are creating scalable scientific platforms with the potential to generate large therapeutic pipelines. While we believe we have the competitive advantages referred to above, we face competition from major pharmaceutical and biotechnology companies, academic institutions, governmental agencies, consortiums and public and private research institutions, among others, many of whom have significantly greater resources than us. Notable competitors include traditional biotechnology companies targeting brain diseases such as Cerevel Therapeutics, Sage Therapeutics, ATAI Life Sciences, Karuna Therapeutics, Prothena, Cortexyme, Intra-Cellular Therapies and Alector; and other biotechnology companies that are increasingly making their own investments in the application of AI/ML methods across the drug discovery and development value chain such as AbCellera, Adaptive Biotechnologies, Recursion Pharmaceuticals and Absci. Such companies apply sophisticated computational tools to unlock novel insights or accelerate drug discovery and development across different points in the value chain.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Our corporate headquarters are located in Watertown, Massachusetts, where we lease approximately 7,200 square feet of office and laboratory space pursuant to a lease agreement which was executed in September 2020 and expires in October 2023. In May 2022, we entered into a sublease agreement for approximately 30,000 square feet of office and laboratory space in Watertown, Massachusetts. The term of the sublease agreement commenced in June 2022 with respect to the office space and is expected to commence in August 2022 with respect to the lab space. The term of the sublease agreement expires in June 2025. </w:t>
      </w:r>
    </w:p>
    <w:p>
      <w:pPr>
        <w:pStyle w:val="TextBody"/>
        <w:bidi w:val="0"/>
        <w:spacing w:before="240" w:after="0"/>
        <w:jc w:val="left"/>
        <w:rPr>
          <w:rFonts w:ascii="Times New Roman" w:hAnsi="Times New Roman"/>
          <w:sz w:val="20"/>
        </w:rPr>
      </w:pPr>
      <w:r>
        <w:rPr>
          <w:rFonts w:ascii="Times New Roman" w:hAnsi="Times New Roman"/>
          <w:sz w:val="20"/>
        </w:rPr>
        <w:t xml:space="preserve">In March 2021, we entered into a new lease agreement for an office facility in South San Francisco, California. The term of the lease commenced in April 2021 and ends in December 2023.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existing facilities are sufficient for our near-term needs but expect to need additional space as we grow. We believe that suitable additional alternative spaces will be available in the future on commercially reasonable terms, if required.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and Human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2022, we had 94 employees, 60 of whom were primarily engaged in research and development activities. A total of 66 employees have an advanced degree. None of our employees are represented by a labor union or party to a collective bargaining agreement. We consider our relationship with our employees to be good. </w:t>
      </w:r>
    </w:p>
    <w:p>
      <w:pPr>
        <w:pStyle w:val="TextBody"/>
        <w:bidi w:val="0"/>
        <w:spacing w:before="240" w:after="0"/>
        <w:jc w:val="left"/>
        <w:rPr>
          <w:rFonts w:ascii="Times New Roman" w:hAnsi="Times New Roman"/>
          <w:sz w:val="20"/>
        </w:rPr>
      </w:pPr>
      <w:r>
        <w:rPr>
          <w:rFonts w:ascii="Times New Roman" w:hAnsi="Times New Roman"/>
          <w:sz w:val="20"/>
        </w:rPr>
        <w:t xml:space="preserve">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We are not currently a party to any material legal proceedings. From time to time, we may, however, in the ordinary course of business face various claims brought by third parties, and we may, from time to time, make claims or take legal actions to assert our rights, including intellectual property rights as well as claims relating to employment matters and the safety or efficacy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operations, cash flows and financial position. Additionally, any such claims, whether or not successful, could damage our reputation and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rom241143_13"/>
      <w:bookmarkEnd w:id="15"/>
      <w:r>
        <w:rPr>
          <w:rFonts w:ascii="Times New Roman" w:hAnsi="Times New Roman"/>
          <w:b/>
          <w:sz w:val="20"/>
        </w:rPr>
        <w:t xml:space="preserve">MANAGEMENT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Key Employees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our executive officers, key employees and directors as of March 31, 2022: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8"/>
        <w:gridCol w:w="101"/>
        <w:gridCol w:w="509"/>
        <w:gridCol w:w="102"/>
        <w:gridCol w:w="6125"/>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6125" w:type="dxa"/>
            <w:tcBorders/>
            <w:vAlign w:val="center"/>
          </w:tcPr>
          <w:p>
            <w:pPr>
              <w:pStyle w:val="TableContents"/>
              <w:bidi w:val="0"/>
              <w:spacing w:before="0" w:after="283"/>
              <w:jc w:val="left"/>
              <w:rPr>
                <w:sz w:val="4"/>
                <w:szCs w:val="4"/>
              </w:rPr>
            </w:pPr>
            <w:r>
              <w:rPr>
                <w:sz w:val="4"/>
                <w:szCs w:val="4"/>
              </w:rPr>
            </w:r>
          </w:p>
        </w:tc>
      </w:tr>
      <w:tr>
        <w:trPr/>
        <w:tc>
          <w:tcPr>
            <w:tcW w:w="33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Executive Officers and Employee Director</w:t>
            </w:r>
          </w:p>
        </w:tc>
        <w:tc>
          <w:tcPr>
            <w:tcW w:w="101" w:type="dxa"/>
            <w:tcBorders/>
            <w:vAlign w:val="bottom"/>
          </w:tcPr>
          <w:p>
            <w:pPr>
              <w:pStyle w:val="TableContents"/>
              <w:bidi w:val="0"/>
              <w:spacing w:before="0" w:after="283"/>
              <w:jc w:val="left"/>
              <w:rPr/>
            </w:pPr>
            <w:r>
              <w:rPr/>
              <w:t> </w:t>
            </w:r>
          </w:p>
        </w:tc>
        <w:tc>
          <w:tcPr>
            <w:tcW w:w="50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102" w:type="dxa"/>
            <w:tcBorders/>
            <w:vAlign w:val="bottom"/>
          </w:tcPr>
          <w:p>
            <w:pPr>
              <w:pStyle w:val="TableContents"/>
              <w:bidi w:val="0"/>
              <w:spacing w:before="0" w:after="283"/>
              <w:jc w:val="left"/>
              <w:rPr/>
            </w:pPr>
            <w:r>
              <w:rPr/>
              <w:t> </w:t>
            </w:r>
          </w:p>
        </w:tc>
        <w:tc>
          <w:tcPr>
            <w:tcW w:w="61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Position</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Paul Berns</w:t>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center"/>
              <w:rPr/>
            </w:pPr>
            <w:r>
              <w:rPr/>
              <w:t>55</w:t>
            </w:r>
          </w:p>
        </w:tc>
        <w:tc>
          <w:tcPr>
            <w:tcW w:w="102" w:type="dxa"/>
            <w:tcBorders/>
            <w:vAlign w:val="bottom"/>
          </w:tcPr>
          <w:p>
            <w:pPr>
              <w:pStyle w:val="TableContents"/>
              <w:bidi w:val="0"/>
              <w:spacing w:before="0" w:after="283"/>
              <w:jc w:val="left"/>
              <w:rPr/>
            </w:pPr>
            <w:r>
              <w:rPr/>
              <w:t> </w:t>
            </w:r>
          </w:p>
        </w:tc>
        <w:tc>
          <w:tcPr>
            <w:tcW w:w="6125" w:type="dxa"/>
            <w:tcBorders/>
            <w:vAlign w:val="bottom"/>
          </w:tcPr>
          <w:p>
            <w:pPr>
              <w:pStyle w:val="TableContents"/>
              <w:bidi w:val="0"/>
              <w:spacing w:before="0" w:after="283"/>
              <w:jc w:val="left"/>
              <w:rPr/>
            </w:pPr>
            <w:r>
              <w:rPr/>
              <w:t>Chief Executive Officer, Director and Chairman</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Joshua Pinto, Ph.D.</w:t>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center"/>
              <w:rPr/>
            </w:pPr>
            <w:r>
              <w:rPr/>
              <w:t>38</w:t>
            </w:r>
          </w:p>
        </w:tc>
        <w:tc>
          <w:tcPr>
            <w:tcW w:w="102" w:type="dxa"/>
            <w:tcBorders/>
            <w:vAlign w:val="bottom"/>
          </w:tcPr>
          <w:p>
            <w:pPr>
              <w:pStyle w:val="TableContents"/>
              <w:bidi w:val="0"/>
              <w:spacing w:before="0" w:after="283"/>
              <w:jc w:val="left"/>
              <w:rPr/>
            </w:pPr>
            <w:r>
              <w:rPr/>
              <w:t> </w:t>
            </w:r>
          </w:p>
        </w:tc>
        <w:tc>
          <w:tcPr>
            <w:tcW w:w="6125" w:type="dxa"/>
            <w:tcBorders/>
            <w:vAlign w:val="bottom"/>
          </w:tcPr>
          <w:p>
            <w:pPr>
              <w:pStyle w:val="TableContents"/>
              <w:bidi w:val="0"/>
              <w:spacing w:before="0" w:after="283"/>
              <w:jc w:val="left"/>
              <w:rPr/>
            </w:pPr>
            <w:r>
              <w:rPr/>
              <w:t>Chief Financial Officer</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Tamara L. Tompkins</w:t>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center"/>
              <w:rPr/>
            </w:pPr>
            <w:r>
              <w:rPr/>
              <w:t>57</w:t>
            </w:r>
          </w:p>
        </w:tc>
        <w:tc>
          <w:tcPr>
            <w:tcW w:w="102" w:type="dxa"/>
            <w:tcBorders/>
            <w:vAlign w:val="bottom"/>
          </w:tcPr>
          <w:p>
            <w:pPr>
              <w:pStyle w:val="TableContents"/>
              <w:bidi w:val="0"/>
              <w:spacing w:before="0" w:after="283"/>
              <w:jc w:val="left"/>
              <w:rPr/>
            </w:pPr>
            <w:r>
              <w:rPr/>
              <w:t> </w:t>
            </w:r>
          </w:p>
        </w:tc>
        <w:tc>
          <w:tcPr>
            <w:tcW w:w="6125" w:type="dxa"/>
            <w:tcBorders/>
            <w:vAlign w:val="bottom"/>
          </w:tcPr>
          <w:p>
            <w:pPr>
              <w:pStyle w:val="TableContents"/>
              <w:bidi w:val="0"/>
              <w:spacing w:before="0" w:after="283"/>
              <w:jc w:val="left"/>
              <w:rPr/>
            </w:pPr>
            <w:r>
              <w:rPr/>
              <w:t>Chief Legal Officer and Corporate Secretary</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John Dunlop, Ph.D.</w:t>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center"/>
              <w:rPr/>
            </w:pPr>
            <w:r>
              <w:rPr/>
              <w:t>55</w:t>
            </w:r>
          </w:p>
        </w:tc>
        <w:tc>
          <w:tcPr>
            <w:tcW w:w="102" w:type="dxa"/>
            <w:tcBorders/>
            <w:vAlign w:val="bottom"/>
          </w:tcPr>
          <w:p>
            <w:pPr>
              <w:pStyle w:val="TableContents"/>
              <w:bidi w:val="0"/>
              <w:spacing w:before="0" w:after="283"/>
              <w:jc w:val="left"/>
              <w:rPr/>
            </w:pPr>
            <w:r>
              <w:rPr/>
              <w:t> </w:t>
            </w:r>
          </w:p>
        </w:tc>
        <w:tc>
          <w:tcPr>
            <w:tcW w:w="6125" w:type="dxa"/>
            <w:tcBorders/>
            <w:vAlign w:val="bottom"/>
          </w:tcPr>
          <w:p>
            <w:pPr>
              <w:pStyle w:val="TableContents"/>
              <w:bidi w:val="0"/>
              <w:spacing w:before="0" w:after="20"/>
              <w:jc w:val="left"/>
              <w:rPr>
                <w:rFonts w:ascii="Times New Roman" w:hAnsi="Times New Roman"/>
                <w:sz w:val="20"/>
              </w:rPr>
            </w:pPr>
            <w:r>
              <w:rPr>
                <w:rFonts w:ascii="Times New Roman" w:hAnsi="Times New Roman"/>
                <w:sz w:val="20"/>
              </w:rPr>
              <w:t>Head of Research and Development</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Daljit (Bill) Singh Aurora, Pharm.D.</w:t>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center"/>
              <w:rPr/>
            </w:pPr>
            <w:r>
              <w:rPr/>
              <w:t>54</w:t>
            </w:r>
          </w:p>
        </w:tc>
        <w:tc>
          <w:tcPr>
            <w:tcW w:w="102" w:type="dxa"/>
            <w:tcBorders/>
            <w:vAlign w:val="bottom"/>
          </w:tcPr>
          <w:p>
            <w:pPr>
              <w:pStyle w:val="TableContents"/>
              <w:bidi w:val="0"/>
              <w:spacing w:before="0" w:after="283"/>
              <w:jc w:val="left"/>
              <w:rPr/>
            </w:pPr>
            <w:r>
              <w:rPr/>
              <w:t> </w:t>
            </w:r>
          </w:p>
        </w:tc>
        <w:tc>
          <w:tcPr>
            <w:tcW w:w="6125" w:type="dxa"/>
            <w:tcBorders/>
            <w:vAlign w:val="bottom"/>
          </w:tcPr>
          <w:p>
            <w:pPr>
              <w:pStyle w:val="TableContents"/>
              <w:bidi w:val="0"/>
              <w:spacing w:before="0" w:after="283"/>
              <w:jc w:val="left"/>
              <w:rPr/>
            </w:pPr>
            <w:r>
              <w:rPr/>
              <w:t>Chief Corporate Affairs Officer</w:t>
            </w:r>
          </w:p>
        </w:tc>
      </w:tr>
      <w:tr>
        <w:trPr>
          <w:trHeight w:val="240" w:hRule="atLeast"/>
        </w:trPr>
        <w:tc>
          <w:tcPr>
            <w:tcW w:w="3368"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622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Key Employees</w:t>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6125" w:type="dxa"/>
            <w:tcBorders/>
            <w:vAlign w:val="bottom"/>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Nicholas (Nick) Brandon, Ph.D.</w:t>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center"/>
              <w:rPr/>
            </w:pPr>
            <w:r>
              <w:rPr/>
              <w:t>48</w:t>
            </w:r>
          </w:p>
        </w:tc>
        <w:tc>
          <w:tcPr>
            <w:tcW w:w="102" w:type="dxa"/>
            <w:tcBorders/>
            <w:vAlign w:val="bottom"/>
          </w:tcPr>
          <w:p>
            <w:pPr>
              <w:pStyle w:val="TableContents"/>
              <w:bidi w:val="0"/>
              <w:spacing w:before="0" w:after="283"/>
              <w:jc w:val="left"/>
              <w:rPr/>
            </w:pPr>
            <w:r>
              <w:rPr/>
              <w:t> </w:t>
            </w:r>
          </w:p>
        </w:tc>
        <w:tc>
          <w:tcPr>
            <w:tcW w:w="6125" w:type="dxa"/>
            <w:tcBorders/>
            <w:vAlign w:val="bottom"/>
          </w:tcPr>
          <w:p>
            <w:pPr>
              <w:pStyle w:val="TableContents"/>
              <w:bidi w:val="0"/>
              <w:spacing w:before="0" w:after="283"/>
              <w:jc w:val="left"/>
              <w:rPr/>
            </w:pPr>
            <w:r>
              <w:rPr/>
              <w:t>Chief Scientific Officer</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Maryjo Chamberlain-Tharp, Ph.D.</w:t>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center"/>
              <w:rPr/>
            </w:pPr>
            <w:r>
              <w:rPr/>
              <w:t>46</w:t>
            </w:r>
          </w:p>
        </w:tc>
        <w:tc>
          <w:tcPr>
            <w:tcW w:w="102" w:type="dxa"/>
            <w:tcBorders/>
            <w:vAlign w:val="bottom"/>
          </w:tcPr>
          <w:p>
            <w:pPr>
              <w:pStyle w:val="TableContents"/>
              <w:bidi w:val="0"/>
              <w:spacing w:before="0" w:after="283"/>
              <w:jc w:val="left"/>
              <w:rPr/>
            </w:pPr>
            <w:r>
              <w:rPr/>
              <w:t> </w:t>
            </w:r>
          </w:p>
        </w:tc>
        <w:tc>
          <w:tcPr>
            <w:tcW w:w="6125" w:type="dxa"/>
            <w:tcBorders/>
            <w:vAlign w:val="bottom"/>
          </w:tcPr>
          <w:p>
            <w:pPr>
              <w:pStyle w:val="TableContents"/>
              <w:bidi w:val="0"/>
              <w:spacing w:before="0" w:after="283"/>
              <w:jc w:val="left"/>
              <w:rPr/>
            </w:pPr>
            <w:r>
              <w:rPr/>
              <w:t>Chief Business Officer</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Julie Person</w:t>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center"/>
              <w:rPr/>
            </w:pPr>
            <w:r>
              <w:rPr/>
              <w:t>48</w:t>
            </w:r>
          </w:p>
        </w:tc>
        <w:tc>
          <w:tcPr>
            <w:tcW w:w="102" w:type="dxa"/>
            <w:tcBorders/>
            <w:vAlign w:val="bottom"/>
          </w:tcPr>
          <w:p>
            <w:pPr>
              <w:pStyle w:val="TableContents"/>
              <w:bidi w:val="0"/>
              <w:spacing w:before="0" w:after="283"/>
              <w:jc w:val="left"/>
              <w:rPr/>
            </w:pPr>
            <w:r>
              <w:rPr/>
              <w:t> </w:t>
            </w:r>
          </w:p>
        </w:tc>
        <w:tc>
          <w:tcPr>
            <w:tcW w:w="6125" w:type="dxa"/>
            <w:tcBorders/>
            <w:vAlign w:val="bottom"/>
          </w:tcPr>
          <w:p>
            <w:pPr>
              <w:pStyle w:val="TableContents"/>
              <w:bidi w:val="0"/>
              <w:spacing w:before="0" w:after="283"/>
              <w:jc w:val="left"/>
              <w:rPr/>
            </w:pPr>
            <w:r>
              <w:rPr/>
              <w:t>Chief People Officer</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John Reynders, Ph.D.</w:t>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center"/>
              <w:rPr/>
            </w:pPr>
            <w:r>
              <w:rPr/>
              <w:t>57</w:t>
            </w:r>
          </w:p>
        </w:tc>
        <w:tc>
          <w:tcPr>
            <w:tcW w:w="102" w:type="dxa"/>
            <w:tcBorders/>
            <w:vAlign w:val="bottom"/>
          </w:tcPr>
          <w:p>
            <w:pPr>
              <w:pStyle w:val="TableContents"/>
              <w:bidi w:val="0"/>
              <w:spacing w:before="0" w:after="283"/>
              <w:jc w:val="left"/>
              <w:rPr/>
            </w:pPr>
            <w:r>
              <w:rPr/>
              <w:t> </w:t>
            </w:r>
          </w:p>
        </w:tc>
        <w:tc>
          <w:tcPr>
            <w:tcW w:w="6125" w:type="dxa"/>
            <w:tcBorders/>
            <w:vAlign w:val="bottom"/>
          </w:tcPr>
          <w:p>
            <w:pPr>
              <w:pStyle w:val="TableContents"/>
              <w:bidi w:val="0"/>
              <w:spacing w:before="0" w:after="283"/>
              <w:jc w:val="left"/>
              <w:rPr/>
            </w:pPr>
            <w:r>
              <w:rPr/>
              <w:t>Chief Data Sciences Officer</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Jane Tiller, MBChB, FRCPsych(5)</w:t>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center"/>
              <w:rPr/>
            </w:pPr>
            <w:r>
              <w:rPr/>
              <w:t>58</w:t>
            </w:r>
          </w:p>
        </w:tc>
        <w:tc>
          <w:tcPr>
            <w:tcW w:w="102" w:type="dxa"/>
            <w:tcBorders/>
            <w:vAlign w:val="bottom"/>
          </w:tcPr>
          <w:p>
            <w:pPr>
              <w:pStyle w:val="TableContents"/>
              <w:bidi w:val="0"/>
              <w:spacing w:before="0" w:after="283"/>
              <w:jc w:val="left"/>
              <w:rPr/>
            </w:pPr>
            <w:r>
              <w:rPr/>
              <w:t> </w:t>
            </w:r>
          </w:p>
        </w:tc>
        <w:tc>
          <w:tcPr>
            <w:tcW w:w="6125" w:type="dxa"/>
            <w:tcBorders/>
            <w:vAlign w:val="bottom"/>
          </w:tcPr>
          <w:p>
            <w:pPr>
              <w:pStyle w:val="TableContents"/>
              <w:bidi w:val="0"/>
              <w:spacing w:before="0" w:after="283"/>
              <w:jc w:val="left"/>
              <w:rPr/>
            </w:pPr>
            <w:r>
              <w:rPr/>
              <w:t>Chief Medical Officer</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Carol Suh</w:t>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center"/>
              <w:rPr/>
            </w:pPr>
            <w:r>
              <w:rPr/>
              <w:t>33</w:t>
            </w:r>
          </w:p>
        </w:tc>
        <w:tc>
          <w:tcPr>
            <w:tcW w:w="102" w:type="dxa"/>
            <w:tcBorders/>
            <w:vAlign w:val="bottom"/>
          </w:tcPr>
          <w:p>
            <w:pPr>
              <w:pStyle w:val="TableContents"/>
              <w:bidi w:val="0"/>
              <w:spacing w:before="0" w:after="283"/>
              <w:jc w:val="left"/>
              <w:rPr/>
            </w:pPr>
            <w:r>
              <w:rPr/>
              <w:t> </w:t>
            </w:r>
          </w:p>
        </w:tc>
        <w:tc>
          <w:tcPr>
            <w:tcW w:w="6125" w:type="dxa"/>
            <w:tcBorders/>
            <w:vAlign w:val="bottom"/>
          </w:tcPr>
          <w:p>
            <w:pPr>
              <w:pStyle w:val="TableContents"/>
              <w:bidi w:val="0"/>
              <w:spacing w:before="0" w:after="283"/>
              <w:jc w:val="left"/>
              <w:rPr/>
            </w:pPr>
            <w:r>
              <w:rPr/>
              <w:t>Senior Vice President, Strategy</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Lori Houle</w:t>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center"/>
              <w:rPr/>
            </w:pPr>
            <w:r>
              <w:rPr/>
              <w:t>54</w:t>
            </w:r>
          </w:p>
        </w:tc>
        <w:tc>
          <w:tcPr>
            <w:tcW w:w="102" w:type="dxa"/>
            <w:tcBorders/>
            <w:vAlign w:val="bottom"/>
          </w:tcPr>
          <w:p>
            <w:pPr>
              <w:pStyle w:val="TableContents"/>
              <w:bidi w:val="0"/>
              <w:spacing w:before="0" w:after="283"/>
              <w:jc w:val="left"/>
              <w:rPr/>
            </w:pPr>
            <w:r>
              <w:rPr/>
              <w:t> </w:t>
            </w:r>
          </w:p>
        </w:tc>
        <w:tc>
          <w:tcPr>
            <w:tcW w:w="6125" w:type="dxa"/>
            <w:tcBorders/>
            <w:vAlign w:val="bottom"/>
          </w:tcPr>
          <w:p>
            <w:pPr>
              <w:pStyle w:val="TableContents"/>
              <w:bidi w:val="0"/>
              <w:spacing w:before="0" w:after="283"/>
              <w:jc w:val="left"/>
              <w:rPr/>
            </w:pPr>
            <w:r>
              <w:rPr/>
              <w:t>Senior Vice President, Quality</w:t>
            </w:r>
          </w:p>
        </w:tc>
      </w:tr>
      <w:tr>
        <w:trPr>
          <w:trHeight w:val="240" w:hRule="atLeast"/>
        </w:trPr>
        <w:tc>
          <w:tcPr>
            <w:tcW w:w="3368"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622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Non-Employee Directors</w:t>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6125" w:type="dxa"/>
            <w:tcBorders/>
            <w:vAlign w:val="bottom"/>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Kristina M. Burow</w:t>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center"/>
              <w:rPr/>
            </w:pPr>
            <w:r>
              <w:rPr/>
              <w:t>48</w:t>
            </w:r>
          </w:p>
        </w:tc>
        <w:tc>
          <w:tcPr>
            <w:tcW w:w="102" w:type="dxa"/>
            <w:tcBorders/>
            <w:vAlign w:val="bottom"/>
          </w:tcPr>
          <w:p>
            <w:pPr>
              <w:pStyle w:val="TableContents"/>
              <w:bidi w:val="0"/>
              <w:spacing w:before="0" w:after="283"/>
              <w:jc w:val="left"/>
              <w:rPr/>
            </w:pPr>
            <w:r>
              <w:rPr/>
              <w:t> </w:t>
            </w:r>
          </w:p>
        </w:tc>
        <w:tc>
          <w:tcPr>
            <w:tcW w:w="6125" w:type="dxa"/>
            <w:tcBorders/>
            <w:vAlign w:val="bottom"/>
          </w:tcPr>
          <w:p>
            <w:pPr>
              <w:pStyle w:val="TableContents"/>
              <w:bidi w:val="0"/>
              <w:spacing w:before="0" w:after="283"/>
              <w:jc w:val="left"/>
              <w:rPr/>
            </w:pPr>
            <w:r>
              <w:rPr/>
              <w:t>Director</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Matthew Fust</w:t>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center"/>
              <w:rPr/>
            </w:pPr>
            <w:r>
              <w:rPr/>
              <w:t>57</w:t>
            </w:r>
          </w:p>
        </w:tc>
        <w:tc>
          <w:tcPr>
            <w:tcW w:w="102" w:type="dxa"/>
            <w:tcBorders/>
            <w:vAlign w:val="bottom"/>
          </w:tcPr>
          <w:p>
            <w:pPr>
              <w:pStyle w:val="TableContents"/>
              <w:bidi w:val="0"/>
              <w:spacing w:before="0" w:after="283"/>
              <w:jc w:val="left"/>
              <w:rPr/>
            </w:pPr>
            <w:r>
              <w:rPr/>
              <w:t> </w:t>
            </w:r>
          </w:p>
        </w:tc>
        <w:tc>
          <w:tcPr>
            <w:tcW w:w="6125" w:type="dxa"/>
            <w:tcBorders/>
            <w:vAlign w:val="bottom"/>
          </w:tcPr>
          <w:p>
            <w:pPr>
              <w:pStyle w:val="TableContents"/>
              <w:bidi w:val="0"/>
              <w:spacing w:before="0" w:after="283"/>
              <w:jc w:val="left"/>
              <w:rPr/>
            </w:pPr>
            <w:r>
              <w:rPr/>
              <w:t>Director</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Maykin Ho, Ph.D.</w:t>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center"/>
              <w:rPr/>
            </w:pPr>
            <w:r>
              <w:rPr/>
              <w:t>69</w:t>
            </w:r>
          </w:p>
        </w:tc>
        <w:tc>
          <w:tcPr>
            <w:tcW w:w="102" w:type="dxa"/>
            <w:tcBorders/>
            <w:vAlign w:val="bottom"/>
          </w:tcPr>
          <w:p>
            <w:pPr>
              <w:pStyle w:val="TableContents"/>
              <w:bidi w:val="0"/>
              <w:spacing w:before="0" w:after="283"/>
              <w:jc w:val="left"/>
              <w:rPr/>
            </w:pPr>
            <w:r>
              <w:rPr/>
              <w:t> </w:t>
            </w:r>
          </w:p>
        </w:tc>
        <w:tc>
          <w:tcPr>
            <w:tcW w:w="6125" w:type="dxa"/>
            <w:tcBorders/>
            <w:vAlign w:val="bottom"/>
          </w:tcPr>
          <w:p>
            <w:pPr>
              <w:pStyle w:val="TableContents"/>
              <w:bidi w:val="0"/>
              <w:spacing w:before="0" w:after="283"/>
              <w:jc w:val="left"/>
              <w:rPr/>
            </w:pPr>
            <w:r>
              <w:rPr/>
              <w:t>Director</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Robert Nelsen</w:t>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center"/>
              <w:rPr/>
            </w:pPr>
            <w:r>
              <w:rPr/>
              <w:t>58</w:t>
            </w:r>
          </w:p>
        </w:tc>
        <w:tc>
          <w:tcPr>
            <w:tcW w:w="102" w:type="dxa"/>
            <w:tcBorders/>
            <w:vAlign w:val="bottom"/>
          </w:tcPr>
          <w:p>
            <w:pPr>
              <w:pStyle w:val="TableContents"/>
              <w:bidi w:val="0"/>
              <w:spacing w:before="0" w:after="283"/>
              <w:jc w:val="left"/>
              <w:rPr/>
            </w:pPr>
            <w:r>
              <w:rPr/>
              <w:t> </w:t>
            </w:r>
          </w:p>
        </w:tc>
        <w:tc>
          <w:tcPr>
            <w:tcW w:w="6125" w:type="dxa"/>
            <w:tcBorders/>
            <w:vAlign w:val="bottom"/>
          </w:tcPr>
          <w:p>
            <w:pPr>
              <w:pStyle w:val="TableContents"/>
              <w:bidi w:val="0"/>
              <w:spacing w:before="0" w:after="283"/>
              <w:jc w:val="left"/>
              <w:rPr/>
            </w:pPr>
            <w:r>
              <w:rPr/>
              <w:t>Director</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Kári Stefánsson, M.D.</w:t>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center"/>
              <w:rPr/>
            </w:pPr>
            <w:r>
              <w:rPr/>
              <w:t>72</w:t>
            </w:r>
          </w:p>
        </w:tc>
        <w:tc>
          <w:tcPr>
            <w:tcW w:w="102" w:type="dxa"/>
            <w:tcBorders/>
            <w:vAlign w:val="bottom"/>
          </w:tcPr>
          <w:p>
            <w:pPr>
              <w:pStyle w:val="TableContents"/>
              <w:bidi w:val="0"/>
              <w:spacing w:before="0" w:after="283"/>
              <w:jc w:val="left"/>
              <w:rPr/>
            </w:pPr>
            <w:r>
              <w:rPr/>
              <w:t> </w:t>
            </w:r>
          </w:p>
        </w:tc>
        <w:tc>
          <w:tcPr>
            <w:tcW w:w="6125" w:type="dxa"/>
            <w:tcBorders/>
            <w:vAlign w:val="bottom"/>
          </w:tcPr>
          <w:p>
            <w:pPr>
              <w:pStyle w:val="TableContents"/>
              <w:bidi w:val="0"/>
              <w:spacing w:before="0" w:after="283"/>
              <w:jc w:val="left"/>
              <w:rPr/>
            </w:pPr>
            <w:r>
              <w:rPr/>
              <w:t>Director</w:t>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Stacie Weninger, Ph.D.(4)</w:t>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center"/>
              <w:rPr/>
            </w:pPr>
            <w:r>
              <w:rPr/>
              <w:t>49</w:t>
            </w:r>
          </w:p>
        </w:tc>
        <w:tc>
          <w:tcPr>
            <w:tcW w:w="102" w:type="dxa"/>
            <w:tcBorders/>
            <w:vAlign w:val="bottom"/>
          </w:tcPr>
          <w:p>
            <w:pPr>
              <w:pStyle w:val="TableContents"/>
              <w:bidi w:val="0"/>
              <w:spacing w:before="0" w:after="283"/>
              <w:jc w:val="left"/>
              <w:rPr/>
            </w:pPr>
            <w:r>
              <w:rPr/>
              <w:t> </w:t>
            </w:r>
          </w:p>
        </w:tc>
        <w:tc>
          <w:tcPr>
            <w:tcW w:w="6125" w:type="dxa"/>
            <w:tcBorders/>
            <w:vAlign w:val="bottom"/>
          </w:tcPr>
          <w:p>
            <w:pPr>
              <w:pStyle w:val="TableContents"/>
              <w:bidi w:val="0"/>
              <w:spacing w:before="0" w:after="283"/>
              <w:jc w:val="left"/>
              <w:rPr/>
            </w:pPr>
            <w:r>
              <w:rPr/>
              <w:t>Director</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Member of the audit committee.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Member of the compensation committee.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Member of the nominating and corporate governance committee.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Dr. Weninger has indicated her intention to resign as a director prior to the effectiveness of the registration statement for which this prospectus is a part.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Dr. Tiller has informed us she intends to resign from her position as Chief Medical Officer in October 2022.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and Employee Director </w:t>
      </w:r>
    </w:p>
    <w:p>
      <w:pPr>
        <w:pStyle w:val="TextBody"/>
        <w:bidi w:val="0"/>
        <w:spacing w:before="120" w:after="0"/>
        <w:jc w:val="left"/>
        <w:rPr>
          <w:rFonts w:ascii="Times New Roman" w:hAnsi="Times New Roman"/>
          <w:sz w:val="20"/>
        </w:rPr>
      </w:pPr>
      <w:r>
        <w:rPr>
          <w:rFonts w:ascii="Times New Roman" w:hAnsi="Times New Roman"/>
          <w:b/>
          <w:i/>
          <w:sz w:val="20"/>
        </w:rPr>
        <w:t xml:space="preserve">Paul Berns </w:t>
      </w:r>
      <w:r>
        <w:rPr>
          <w:rFonts w:ascii="Times New Roman" w:hAnsi="Times New Roman"/>
          <w:sz w:val="20"/>
        </w:rPr>
        <w:t xml:space="preserve">has served as our Chief Executive Officer since November 2019 and as Chairman of our board of directors since January 2020. Mr. Berns has been a member of ARCH Venture Partners since August 2018 and became a Managing Director in 2020. Mr. Berns was a consultant to the pharmaceutical industry from July 2016 to August 2018, as well as from 2012 to 2014 and from 2005 to 2006. From 2014 to 2016, Mr. Berns served as President Chief Executive Officer and Chairman of the board of directors at Anacor Pharmaceuticals, a biopharmaceutical company, which was acquired by Pfizer in 2016. Previously, Mr. Berns served as President and Chief Executive Officer of Allos Therapeutics, a biopharmaceutical company, from 2006 to 2012, when it was acquired by Spectrum Pharmaceuticals. Mr. Berns was President and Chief Executive Officer of Bone Care International, a specialty pharmaceutical company, from 2002 to 2005, when it was acquired by Genzyme Corporation. Prior to that, Mr. Berns was Vice President and General Manager of the Immunology, Oncology and Pain Therapeutics business unit of Abbott Laboratories from 2001 to 2002, and from 2000 to 2001, he served as Vice President, Marketing of BASF Pharmaceuticals/Knoll, when it was acquired by Abbott Laboratories in 2001. Earlier in his career, Mr. Berns held various positions, including senior management roles, at Bristol Myers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Squibb (BMS) from 1990 to 2000. Mr. Berns has served as a board member of the publicly held companies UNITY Biotechnology since March 2018 and EQRx since January 2020. Mr. Berns has also served as a board member of the privately held companies Epirium Bio and HI Bio since July 2019 and August 2021, respectively. Mr. Berns has served as the chairman of the board of directors of the privately held company Happy AI since July 2019. Mr. Berns previously served on the boards of Jazz Pharmaceuticals, PLC (from 2010 to July 2021), MC2 Therapeutics (from May 2017 to January 2020), Menlo Therapeutics (from November 2017 to March 2020), Anacor Pharmaceuticals (from 2012 to 2016), XenoPort (from 2005 to 2016), Allos Therapeutics (from March 2006 to September 2012) and Bone Care International (from 2002 to 2005). Mr. Berns holds a B.S. in Economics from the University of Wisconsin. We believe Mr. Berns is qualified to serve on our board of directors because of his extensive management and leadership experience with biopharmaceutical and life sciences companies. </w:t>
      </w:r>
    </w:p>
    <w:p>
      <w:pPr>
        <w:pStyle w:val="TextBody"/>
        <w:bidi w:val="0"/>
        <w:spacing w:before="240" w:after="0"/>
        <w:jc w:val="left"/>
        <w:rPr>
          <w:rFonts w:ascii="Times New Roman" w:hAnsi="Times New Roman"/>
          <w:sz w:val="20"/>
        </w:rPr>
      </w:pPr>
      <w:r>
        <w:rPr>
          <w:rFonts w:ascii="Times New Roman" w:hAnsi="Times New Roman"/>
          <w:b/>
          <w:i/>
          <w:sz w:val="20"/>
        </w:rPr>
        <w:t xml:space="preserve">Joshua Pinto, Ph.D., </w:t>
      </w:r>
      <w:r>
        <w:rPr>
          <w:rFonts w:ascii="Times New Roman" w:hAnsi="Times New Roman"/>
          <w:sz w:val="20"/>
        </w:rPr>
        <w:t xml:space="preserve">has served as our Chief Financial Officer since June 2021. Prior to Neumora, Dr. Pinto held roles of increasing responsibility at Credit Suisse from April 2015 to June 2021, most recently serving as director of healthcare investment banking from January 2019 to June 2021, where he focused on the life sciences sector and was responsible for advising biotech companies on mergers, acquisitions, restructurings, activism and financing. Dr. Pinto worked for Piper Jaffray as an associate in healthcare banking from 2014 to 2015. Before that, he worked in global external R&amp;D at Eli Lilly and Company from 2013 to 2014. Dr. Pinto holds a B.S. in Business Administration and Biochemistry from Centenary College of Louisiana, an M.B.A. in Finance from McMaster University and a Ph.D. in Neuroscience from McMaster University. </w:t>
      </w:r>
    </w:p>
    <w:p>
      <w:pPr>
        <w:pStyle w:val="TextBody"/>
        <w:bidi w:val="0"/>
        <w:spacing w:before="240" w:after="0"/>
        <w:jc w:val="left"/>
        <w:rPr>
          <w:rFonts w:ascii="Times New Roman" w:hAnsi="Times New Roman"/>
          <w:sz w:val="20"/>
        </w:rPr>
      </w:pPr>
      <w:r>
        <w:rPr>
          <w:rFonts w:ascii="Times New Roman" w:hAnsi="Times New Roman"/>
          <w:b/>
          <w:i/>
          <w:sz w:val="20"/>
        </w:rPr>
        <w:t>Tamara L. Tompkins</w:t>
      </w:r>
      <w:r>
        <w:rPr>
          <w:rFonts w:ascii="Times New Roman" w:hAnsi="Times New Roman"/>
          <w:sz w:val="20"/>
        </w:rPr>
        <w:t xml:space="preserve"> has served as our Chief Legal Officer and Corporate Secretary since October 2020. From June 2017 to early October 2020, Ms. Tompkins served as General Counsel and Corporate Secretary at UNITY Biotechnology. Prior to that, Ms. Tompkins served as an Operating Partner, General Counsel and Chief Administrative Officer of Khosla Ventures, a venture capital firm, from 2013 to 2016. From 2005 to 2012, Ms. Tompkins served as General Counsel of Amyris, a publicly held bio- renewables company. She began her career in private practice, first with Shearman &amp; Sterling, then Brobeck, Phleger &amp; Harrison, and finally as Of Counsel at Morgan Lewis. Ms. Tompkins holds a B.A. in History from Middlebury College and a J.D. from Georgetown University. </w:t>
      </w:r>
    </w:p>
    <w:p>
      <w:pPr>
        <w:pStyle w:val="TextBody"/>
        <w:bidi w:val="0"/>
        <w:spacing w:before="240" w:after="0"/>
        <w:jc w:val="left"/>
        <w:rPr>
          <w:rFonts w:ascii="Times New Roman" w:hAnsi="Times New Roman"/>
          <w:sz w:val="20"/>
        </w:rPr>
      </w:pPr>
      <w:r>
        <w:rPr>
          <w:rFonts w:ascii="Times New Roman" w:hAnsi="Times New Roman"/>
          <w:b/>
          <w:i/>
          <w:sz w:val="20"/>
        </w:rPr>
        <w:t xml:space="preserve">John Dunlop, Ph.D., </w:t>
      </w:r>
      <w:r>
        <w:rPr>
          <w:rFonts w:ascii="Times New Roman" w:hAnsi="Times New Roman"/>
          <w:sz w:val="20"/>
        </w:rPr>
        <w:t xml:space="preserve">serves as our Head of Research and Development and from March 2020 through December 2021 served as our Chief Scientific Officer. Prior to Neumora, Dr. Dunlop was most recently at Amgen from 2016 to March 2020, where he led the neuroscience research program responsible for therapeutic discovery activities in neurodegenerative diseases, pain and migraine. From 2012 to 2016, he led neuroscience discovery and early development at AstraZeneca, and previously held executive leadership roles in neuroscience at Pfizer from 2009 to 2012 and Wyeth prior to that. Dr. Dunlop is an industry member of the HEAL (Helping End Addiction Long term) Partnership Committee, an NIH advisory committee established to support NIH initiatives launched to address the U.S. opioid crisis. He is a board member of Target-ALS, a non-profit enterprise dedicated to accelerating drug discovery and development in ALS, and MassBio, and is on the scientific advisory boards of Vigil Neuroscience and the Packard Center for ALS Research at Johns Hopkins. Dr. Dunlop holds a B.Sc. in Biochemistry from the University of Glasgow and a Ph.D. in Neuroscience from </w:t>
      </w:r>
    </w:p>
    <w:p>
      <w:pPr>
        <w:pStyle w:val="TextBody"/>
        <w:bidi w:val="0"/>
        <w:spacing w:before="0" w:after="0"/>
        <w:jc w:val="left"/>
        <w:rPr>
          <w:rFonts w:ascii="Times New Roman" w:hAnsi="Times New Roman"/>
          <w:sz w:val="20"/>
        </w:rPr>
      </w:pPr>
      <w:r>
        <w:rPr>
          <w:rFonts w:ascii="Times New Roman" w:hAnsi="Times New Roman"/>
          <w:sz w:val="20"/>
        </w:rPr>
        <w:t xml:space="preserve">the University of St. Andrews. </w:t>
      </w:r>
    </w:p>
    <w:p>
      <w:pPr>
        <w:pStyle w:val="TextBody"/>
        <w:bidi w:val="0"/>
        <w:spacing w:before="240" w:after="0"/>
        <w:jc w:val="left"/>
        <w:rPr>
          <w:rFonts w:ascii="Times New Roman" w:hAnsi="Times New Roman"/>
          <w:sz w:val="20"/>
        </w:rPr>
      </w:pPr>
      <w:r>
        <w:rPr>
          <w:rFonts w:ascii="Times New Roman" w:hAnsi="Times New Roman"/>
          <w:b/>
          <w:i/>
          <w:sz w:val="20"/>
        </w:rPr>
        <w:t>Bill</w:t>
      </w:r>
      <w:r>
        <w:rPr>
          <w:rFonts w:ascii="Times New Roman" w:hAnsi="Times New Roman"/>
          <w:sz w:val="20"/>
        </w:rPr>
        <w:t xml:space="preserve"> </w:t>
      </w:r>
      <w:r>
        <w:rPr>
          <w:rFonts w:ascii="Times New Roman" w:hAnsi="Times New Roman"/>
          <w:b/>
          <w:i/>
          <w:sz w:val="20"/>
        </w:rPr>
        <w:t xml:space="preserve">Aurora, Pharm.D., </w:t>
      </w:r>
      <w:r>
        <w:rPr>
          <w:rFonts w:ascii="Times New Roman" w:hAnsi="Times New Roman"/>
          <w:sz w:val="20"/>
        </w:rPr>
        <w:t xml:space="preserve">joined Neumora in August 2021 and serves as our Chief Corporate Affairs Officer. From July 2016 to June 2021, Dr. Aurora was at Dermira, Inc., which was acquired by Eli Lilly in 2020, where he served as Senior Vice President, Medical Affairs and Compliance from 2016 to November 2019 and as Chief Scientific Affairs Officer from November 2019 to June 2021. Previously, he held vice president roles in medical affairs at Neurocrine Biosciences from 2015 to 2016 as well as global scientific affairs at Merck Research Laboratories from 2014 to 2015 and various roles at Amgen from 2002 to 2014, most recently serving as Vice President, Global Scientific Affairs, Global Development from 2007 to 2014 and Vice President, Worldwide Compliance and Business Ethics from 2013 to 2014. Dr. Aurora holds a B.S. in Pharmacy from the University of Texas at Austin and a Pharm.D. from the University of Texas Health Science Center, San Antonio, and obtained board certification in psychiatric pharmacy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Key Employees </w:t>
      </w:r>
    </w:p>
    <w:p>
      <w:pPr>
        <w:pStyle w:val="TextBody"/>
        <w:bidi w:val="0"/>
        <w:spacing w:before="120" w:after="0"/>
        <w:jc w:val="left"/>
        <w:rPr>
          <w:rFonts w:ascii="Times New Roman" w:hAnsi="Times New Roman"/>
          <w:sz w:val="20"/>
        </w:rPr>
      </w:pPr>
      <w:r>
        <w:rPr>
          <w:rFonts w:ascii="Times New Roman" w:hAnsi="Times New Roman"/>
          <w:b/>
          <w:i/>
          <w:sz w:val="20"/>
        </w:rPr>
        <w:t>Nicholas</w:t>
      </w:r>
      <w:r>
        <w:rPr>
          <w:rFonts w:ascii="Times New Roman" w:hAnsi="Times New Roman"/>
          <w:sz w:val="20"/>
        </w:rPr>
        <w:t xml:space="preserve"> </w:t>
      </w:r>
      <w:r>
        <w:rPr>
          <w:rFonts w:ascii="Times New Roman" w:hAnsi="Times New Roman"/>
          <w:b/>
          <w:i/>
          <w:sz w:val="20"/>
        </w:rPr>
        <w:t>Brandon,</w:t>
      </w:r>
      <w:r>
        <w:rPr>
          <w:rFonts w:ascii="Times New Roman" w:hAnsi="Times New Roman"/>
          <w:sz w:val="20"/>
        </w:rPr>
        <w:t xml:space="preserve"> </w:t>
      </w:r>
      <w:r>
        <w:rPr>
          <w:rFonts w:ascii="Times New Roman" w:hAnsi="Times New Roman"/>
          <w:b/>
          <w:i/>
          <w:sz w:val="20"/>
        </w:rPr>
        <w:t>Ph.D.,</w:t>
      </w:r>
      <w:r>
        <w:rPr>
          <w:rFonts w:ascii="Times New Roman" w:hAnsi="Times New Roman"/>
          <w:sz w:val="20"/>
        </w:rPr>
        <w:t xml:space="preserve"> has served as our Chief Scientific Officer since January 2022 and from April 2020 to December 2021 served as our Chief Research Officer. From April 2019 to April 2020, Dr. Brandon served as senior vice president and head of biology at Jnana Therapeutics. Previously, Dr. Brandon worked at AstraZeneca from 2012 to April 2019, where he held multiple positions including chief scientist and head of neuroscience discovery. Dr. Brandon has also served as an adjunct professor of neuroscience at Tufts School of Medicine since 2016 and as an honorary professor at University of Glasgow since 2010. Previously, Dr. Brandon was head of psychiatry and behavioral disorders for a period that bridged the Wyeth and Pfizer Neuroscience organizations between 2006 and 2012. Dr. Brandon holds an undergraduate degree in Genetics and an M.A. in Natural Sciences from Pembroke College, Cambridge University and a Ph.D. from University College London. </w:t>
      </w:r>
    </w:p>
    <w:p>
      <w:pPr>
        <w:pStyle w:val="TextBody"/>
        <w:bidi w:val="0"/>
        <w:spacing w:before="240" w:after="0"/>
        <w:jc w:val="left"/>
        <w:rPr>
          <w:rFonts w:ascii="Times New Roman" w:hAnsi="Times New Roman"/>
          <w:sz w:val="20"/>
        </w:rPr>
      </w:pPr>
      <w:r>
        <w:rPr>
          <w:rFonts w:ascii="Times New Roman" w:hAnsi="Times New Roman"/>
          <w:b/>
          <w:i/>
          <w:sz w:val="20"/>
        </w:rPr>
        <w:t>Maryjo</w:t>
      </w:r>
      <w:r>
        <w:rPr>
          <w:rFonts w:ascii="Times New Roman" w:hAnsi="Times New Roman"/>
          <w:sz w:val="20"/>
        </w:rPr>
        <w:t xml:space="preserve"> </w:t>
      </w:r>
      <w:r>
        <w:rPr>
          <w:rFonts w:ascii="Times New Roman" w:hAnsi="Times New Roman"/>
          <w:b/>
          <w:i/>
          <w:sz w:val="20"/>
        </w:rPr>
        <w:t>Chamberlain-Tharp,</w:t>
      </w:r>
      <w:r>
        <w:rPr>
          <w:rFonts w:ascii="Times New Roman" w:hAnsi="Times New Roman"/>
          <w:sz w:val="20"/>
        </w:rPr>
        <w:t xml:space="preserve"> </w:t>
      </w:r>
      <w:r>
        <w:rPr>
          <w:rFonts w:ascii="Times New Roman" w:hAnsi="Times New Roman"/>
          <w:b/>
          <w:i/>
          <w:sz w:val="20"/>
        </w:rPr>
        <w:t>Ph.D</w:t>
      </w:r>
      <w:r>
        <w:rPr>
          <w:rFonts w:ascii="Times New Roman" w:hAnsi="Times New Roman"/>
          <w:sz w:val="20"/>
        </w:rPr>
        <w:t xml:space="preserve">., has served as our Chief Business Officer since January 2022 and from August 2021 to December 2021 served as our Senior Vice President of Business Development. From September 2014 to August 2021, Dr. Chamberlain-Tharp held multiple positions including Global Head of Academic Outreach and Senior Director of Strategic Alliance Management at AbbVie. In 2014, Dr. Chamberlain-Tharp was President and CEO at Z&amp;D Biopharma Consulting PLLC. Prior to that, from 1997 to 2014, Dr. Chamberlain-Tharp held multiple positions including Head of Neuroscience and East Coast Operations/Global External R&amp;D at Eli Lilly. Dr. Chamberlain-Tharp holds a B.S. in Genetic Biology from Purdue University, an M.B.A. from Indiana University Bloomington and a Ph.D. in Clinical Psychiatric Epidemiology from Walden University. </w:t>
      </w:r>
    </w:p>
    <w:p>
      <w:pPr>
        <w:pStyle w:val="TextBody"/>
        <w:bidi w:val="0"/>
        <w:spacing w:before="240" w:after="0"/>
        <w:jc w:val="left"/>
        <w:rPr>
          <w:rFonts w:ascii="Times New Roman" w:hAnsi="Times New Roman"/>
          <w:sz w:val="20"/>
        </w:rPr>
      </w:pPr>
      <w:r>
        <w:rPr>
          <w:rFonts w:ascii="Times New Roman" w:hAnsi="Times New Roman"/>
          <w:b/>
          <w:i/>
          <w:sz w:val="20"/>
        </w:rPr>
        <w:t>Julie</w:t>
      </w:r>
      <w:r>
        <w:rPr>
          <w:rFonts w:ascii="Times New Roman" w:hAnsi="Times New Roman"/>
          <w:sz w:val="20"/>
        </w:rPr>
        <w:t xml:space="preserve"> </w:t>
      </w:r>
      <w:r>
        <w:rPr>
          <w:rFonts w:ascii="Times New Roman" w:hAnsi="Times New Roman"/>
          <w:b/>
          <w:i/>
          <w:sz w:val="20"/>
        </w:rPr>
        <w:t xml:space="preserve">Person </w:t>
      </w:r>
      <w:r>
        <w:rPr>
          <w:rFonts w:ascii="Times New Roman" w:hAnsi="Times New Roman"/>
          <w:sz w:val="20"/>
        </w:rPr>
        <w:t xml:space="preserve">has served as our Chief People Officer since January 2021. Ms. Persons prior experience includes heads of human resources roles at Audentes Therapeutics from April 2020 to January 2021 and Sangamo from March 2019 to April 2020. Ms. Person also served in senior leadership roles at Shire from 2015 to February 2019 and McKesson from 2001 to 2004 and from 2006 to 2014. Ms. Person holds a B.A. in Communications from Saint Marys College of California and attended the University of Michigan Ross School of Business Executive Leadership Program. </w:t>
      </w:r>
    </w:p>
    <w:p>
      <w:pPr>
        <w:pStyle w:val="TextBody"/>
        <w:bidi w:val="0"/>
        <w:spacing w:before="240" w:after="0"/>
        <w:jc w:val="left"/>
        <w:rPr>
          <w:rFonts w:ascii="Times New Roman" w:hAnsi="Times New Roman"/>
          <w:sz w:val="20"/>
        </w:rPr>
      </w:pPr>
      <w:r>
        <w:rPr>
          <w:rFonts w:ascii="Times New Roman" w:hAnsi="Times New Roman"/>
          <w:b/>
          <w:i/>
          <w:sz w:val="20"/>
        </w:rPr>
        <w:t>John</w:t>
      </w:r>
      <w:r>
        <w:rPr>
          <w:rFonts w:ascii="Times New Roman" w:hAnsi="Times New Roman"/>
          <w:sz w:val="20"/>
        </w:rPr>
        <w:t xml:space="preserve"> </w:t>
      </w:r>
      <w:r>
        <w:rPr>
          <w:rFonts w:ascii="Times New Roman" w:hAnsi="Times New Roman"/>
          <w:b/>
          <w:i/>
          <w:sz w:val="20"/>
        </w:rPr>
        <w:t>Reynders,</w:t>
      </w:r>
      <w:r>
        <w:rPr>
          <w:rFonts w:ascii="Times New Roman" w:hAnsi="Times New Roman"/>
          <w:sz w:val="20"/>
        </w:rPr>
        <w:t xml:space="preserve"> </w:t>
      </w:r>
      <w:r>
        <w:rPr>
          <w:rFonts w:ascii="Times New Roman" w:hAnsi="Times New Roman"/>
          <w:b/>
          <w:i/>
          <w:sz w:val="20"/>
        </w:rPr>
        <w:t>Ph.D.,</w:t>
      </w:r>
      <w:r>
        <w:rPr>
          <w:rFonts w:ascii="Times New Roman" w:hAnsi="Times New Roman"/>
          <w:sz w:val="20"/>
        </w:rPr>
        <w:t xml:space="preserve"> has served as our Chief Data Sciences Officer since December 2020. Dr. Reynders is also founder and CEO of Latent Strategies (also known as Reynders Consulting), a startup applying artificial intelligence, data sciences and game theory to business strategy and education. Prior to founding Latent Strategies in August 2020, Dr. Reynders held roles of increasing responsibility at Alexion, serving as Vice President, Data Sciences, Genomics and Bioinformatics from 2014 to August 2020, and also serving as Vice President, R&amp;D Strategy, Portfolio, and Project Management from September 2017 to July 2019. From 2013 to 2014, Dr. Reynders served as the founding Chief Information Officer of Moderna Therapeutics, and from 2010 to 2013, Dr. Reynders served as Vice President of R&amp;D information at AstraZeneca. From 2007 to 2010, Dr. Reynders served in leadership roles at Johnson &amp; Johnson, including as Vice President, Integrative Neuroscience and Biomarkers, Head of Informatics and Vice President of R&amp;D Information Technology. Previously, he served as Information Officer with Lilly Research Laboratories, Vice President of Informatics at Celera Genomics, and held roles as Director and Program Manager at the Los Alamos National Laboratory. Dr. Reynders holds a B.S. in Mathematics from Rensselaer Polytechnic Institute, a Ph.D. in Applied and Computational Mathematics from Princeton University and an M.B.A from Northwestern University Kellogg School of Management. </w:t>
      </w:r>
    </w:p>
    <w:p>
      <w:pPr>
        <w:pStyle w:val="TextBody"/>
        <w:bidi w:val="0"/>
        <w:spacing w:before="240" w:after="0"/>
        <w:jc w:val="left"/>
        <w:rPr>
          <w:rFonts w:ascii="Times New Roman" w:hAnsi="Times New Roman"/>
          <w:sz w:val="20"/>
        </w:rPr>
      </w:pPr>
      <w:r>
        <w:rPr>
          <w:rFonts w:ascii="Times New Roman" w:hAnsi="Times New Roman"/>
          <w:b/>
          <w:i/>
          <w:sz w:val="20"/>
        </w:rPr>
        <w:t>Jane Tiller,</w:t>
      </w:r>
      <w:r>
        <w:rPr>
          <w:rFonts w:ascii="Times New Roman" w:hAnsi="Times New Roman"/>
          <w:sz w:val="20"/>
        </w:rPr>
        <w:t xml:space="preserve"> </w:t>
      </w:r>
      <w:r>
        <w:rPr>
          <w:rFonts w:ascii="Times New Roman" w:hAnsi="Times New Roman"/>
          <w:b/>
          <w:i/>
          <w:sz w:val="20"/>
        </w:rPr>
        <w:t>MBChB,</w:t>
      </w:r>
      <w:r>
        <w:rPr>
          <w:rFonts w:ascii="Times New Roman" w:hAnsi="Times New Roman"/>
          <w:sz w:val="20"/>
        </w:rPr>
        <w:t xml:space="preserve"> </w:t>
      </w:r>
      <w:r>
        <w:rPr>
          <w:rFonts w:ascii="Times New Roman" w:hAnsi="Times New Roman"/>
          <w:b/>
          <w:i/>
          <w:sz w:val="20"/>
        </w:rPr>
        <w:t>FRCPsych,</w:t>
      </w:r>
      <w:r>
        <w:rPr>
          <w:rFonts w:ascii="Times New Roman" w:hAnsi="Times New Roman"/>
          <w:sz w:val="20"/>
        </w:rPr>
        <w:t xml:space="preserve"> has served as our Chief Medical Officer since September 2020. Prior to Neumora, she was Chief Medical Officer at BlackThorn, a wholly owned subsidiary of our company, from March 2019 to its acquisition in September 2020. Dr. Tiller was head of European markets, Australia and Canada, at BMS from 2014 to December 2018, where she oversaw all medical functions. During her tenure at BMS from 2011 to December 2018, Dr. Tiller also served as vice president of global medical for neuroscience, virology and immunoscience and as full development team lead for the Alzheimers program. Prior to joining BMS, Dr. Tiller held various positions at Cephalon, including as Vice President of CNS and Pain. Dr. Tiller was clinical director at the Maudsley Hospital, London, where she was responsible for clinical psychiatric services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Southwark and across several London teaching hospitals. She was a consultant psychiatrist (attending) and honorary senior lecturer. Dr. Tiller holds a medical degree from the Glasgow University Medical School, an M.B.A. from Drexel University and an M.Phil. from the University of Pennsylvania. </w:t>
      </w:r>
    </w:p>
    <w:p>
      <w:pPr>
        <w:pStyle w:val="TextBody"/>
        <w:bidi w:val="0"/>
        <w:spacing w:before="240" w:after="0"/>
        <w:jc w:val="left"/>
        <w:rPr>
          <w:rFonts w:ascii="Times New Roman" w:hAnsi="Times New Roman"/>
          <w:sz w:val="20"/>
        </w:rPr>
      </w:pPr>
      <w:r>
        <w:rPr>
          <w:rFonts w:ascii="Times New Roman" w:hAnsi="Times New Roman"/>
          <w:b/>
          <w:i/>
          <w:sz w:val="20"/>
        </w:rPr>
        <w:t>Carol</w:t>
      </w:r>
      <w:r>
        <w:rPr>
          <w:rFonts w:ascii="Times New Roman" w:hAnsi="Times New Roman"/>
          <w:sz w:val="20"/>
        </w:rPr>
        <w:t xml:space="preserve"> </w:t>
      </w:r>
      <w:r>
        <w:rPr>
          <w:rFonts w:ascii="Times New Roman" w:hAnsi="Times New Roman"/>
          <w:b/>
          <w:i/>
          <w:sz w:val="20"/>
        </w:rPr>
        <w:t>Suh</w:t>
      </w:r>
      <w:r>
        <w:rPr>
          <w:rFonts w:ascii="Times New Roman" w:hAnsi="Times New Roman"/>
          <w:sz w:val="20"/>
        </w:rPr>
        <w:t xml:space="preserve"> is one of our co-founders and serves as our Senior Vice President, Strategy and from January 2020 through December 2021 served as our Vice President of Business Development. Ms. Suh has been a member of ARCH Venture Partners since August 2018 and became a Partner in July 2021. While at ARCH, she has been involved in company creation and helped build Sana Biotechnology, Autobahn Therapeutics and Boundless Bio across the fields of cell and gene therapy, neuroscience and oncology. She has served on the board of directors of Metrodora since October 2021 and HI Bio since August 2021. Prior to ARCH, Carol helped launch Magenta Therapeutics, a biotechnology company, in 2016 and served as Business Development and Corporate Strategy Associate from June 2017 to September 2017. Previously, she was a consultant at Trinity Partners from 2015 to 2016. Ms. Suh began her career in R&amp;D strategy with GlaxoSmithKlines Regenerative Medicine group in 2014. Ms. Suh holds an A.B. in Molecular and Cellular Biology from Harvard University, where she trained under Dr. David Scadden at the Harvard Stem Cell Institute, an M.Phil. from Yale University, where she was awarded the National Science Foundation Graduate Research Fellowship for her work in stem cell biology, and an M.B.A. from Stanford Graduate School of Business. </w:t>
      </w:r>
    </w:p>
    <w:p>
      <w:pPr>
        <w:pStyle w:val="TextBody"/>
        <w:bidi w:val="0"/>
        <w:spacing w:before="240" w:after="0"/>
        <w:jc w:val="left"/>
        <w:rPr>
          <w:rFonts w:ascii="Times New Roman" w:hAnsi="Times New Roman"/>
          <w:sz w:val="20"/>
        </w:rPr>
      </w:pPr>
      <w:r>
        <w:rPr>
          <w:rFonts w:ascii="Times New Roman" w:hAnsi="Times New Roman"/>
          <w:b/>
          <w:i/>
          <w:sz w:val="20"/>
        </w:rPr>
        <w:t>Lori Houle</w:t>
      </w:r>
      <w:r>
        <w:rPr>
          <w:rFonts w:ascii="Times New Roman" w:hAnsi="Times New Roman"/>
          <w:sz w:val="20"/>
        </w:rPr>
        <w:t xml:space="preserve"> has served as our Senior Vice President of Quality since April 2021. From October 2017 to April 2021, Ms. Houle acted as the Vice President of Global Quality at Vir Biotechnology. Prior to Vir, Ms. Houle served as Head of Quality at Dermira from 2014 to October 2017, and held leadership roles at Sarepta Therapeutics from 2011 to 2014 and EraGen Bioscienses from to 2010 to 2011, Anteco Pharma 2007 to 2011, PPD from 2004 to 2010 and Wyeth (SPL) from 1998 to 2004. Ms. Houle holds a Bachelors degree in Bacteriology and Medical Microbiology from the University of WisconsinMadison and an M.B.A. from DeVry University.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b/>
          <w:i/>
          <w:sz w:val="20"/>
        </w:rPr>
        <w:t>Kristina</w:t>
      </w:r>
      <w:r>
        <w:rPr>
          <w:rFonts w:ascii="Times New Roman" w:hAnsi="Times New Roman"/>
          <w:sz w:val="20"/>
        </w:rPr>
        <w:t xml:space="preserve"> </w:t>
      </w:r>
      <w:r>
        <w:rPr>
          <w:rFonts w:ascii="Times New Roman" w:hAnsi="Times New Roman"/>
          <w:b/>
          <w:i/>
          <w:sz w:val="20"/>
        </w:rPr>
        <w:t>M.</w:t>
      </w:r>
      <w:r>
        <w:rPr>
          <w:rFonts w:ascii="Times New Roman" w:hAnsi="Times New Roman"/>
          <w:sz w:val="20"/>
        </w:rPr>
        <w:t xml:space="preserve"> </w:t>
      </w:r>
      <w:r>
        <w:rPr>
          <w:rFonts w:ascii="Times New Roman" w:hAnsi="Times New Roman"/>
          <w:b/>
          <w:i/>
          <w:sz w:val="20"/>
        </w:rPr>
        <w:t>Burow</w:t>
      </w:r>
      <w:r>
        <w:rPr>
          <w:rFonts w:ascii="Times New Roman" w:hAnsi="Times New Roman"/>
          <w:sz w:val="20"/>
        </w:rPr>
        <w:t xml:space="preserve"> has served as a member of our board of directors since January 2020. Ms. Burow has served as Managing Director of ARCH Venture Partners since November 2011 and previously held various roles at ARCH from 2002 to 2011. Ms. Burow currently serves on the boards of directors of several biopharmaceutical and biotechnology companies, including Boundless Bio since February 2018, Autobahn Therapeutics since February 2018, Gossamer Bio since January 2018, Beam Therapeutics since June 2017, Metacrine, Inc. since 2015, Scholar Rock since 2014 and UNITY Biotechnology since 2013. She previously was a co-founder and member of the board of directors of Receptos, acquired by Celgene, and was a was a co-founder and member of the board of directors of Sapphire Energy. Ms. Burow previously served on the board of directors of Sienna Biopharmaceuticals, from 2015 to December 2019, Vividion Therapeutics, Inc. from January 2017 to October 2021, VIR Biotechnology from January 2017 to September 2020, AgBiome, LLC from 2012 to October 2021, BlackThorn from 2013 to September 2020 and Lycera Corp. from 2009 to 2020. Prior to joining ARCH, Ms. Burow was an Associate with the Novartis BioVenture Fund and an early employee at the Genomics Institute of the Novartis Research Foundation. Ms. Burow holds a B.S. in Chemistry from the University of California, Berkeley, an M.A. in Chemistry from Columbia University and an M.B.A. from the University of Chicago Booth School of Business. We believe Ms. Burow is qualified to serve on our board of directors because of her extensive experience investing in biopharmaceutical and biotechnology companies and her experience on boards of directors in the medical industry. </w:t>
      </w:r>
    </w:p>
    <w:p>
      <w:pPr>
        <w:pStyle w:val="TextBody"/>
        <w:bidi w:val="0"/>
        <w:spacing w:before="240" w:after="0"/>
        <w:jc w:val="left"/>
        <w:rPr>
          <w:rFonts w:ascii="Times New Roman" w:hAnsi="Times New Roman"/>
          <w:sz w:val="20"/>
        </w:rPr>
      </w:pPr>
      <w:r>
        <w:rPr>
          <w:rFonts w:ascii="Times New Roman" w:hAnsi="Times New Roman"/>
          <w:b/>
          <w:i/>
          <w:sz w:val="20"/>
        </w:rPr>
        <w:t>Matthew</w:t>
      </w:r>
      <w:r>
        <w:rPr>
          <w:rFonts w:ascii="Times New Roman" w:hAnsi="Times New Roman"/>
          <w:sz w:val="20"/>
        </w:rPr>
        <w:t xml:space="preserve"> </w:t>
      </w:r>
      <w:r>
        <w:rPr>
          <w:rFonts w:ascii="Times New Roman" w:hAnsi="Times New Roman"/>
          <w:b/>
          <w:i/>
          <w:sz w:val="20"/>
        </w:rPr>
        <w:t xml:space="preserve">Fust </w:t>
      </w:r>
      <w:r>
        <w:rPr>
          <w:rFonts w:ascii="Times New Roman" w:hAnsi="Times New Roman"/>
          <w:sz w:val="20"/>
        </w:rPr>
        <w:t xml:space="preserve">has served as a member of our board of directors since December 2020. Mr. Fust is an advisor to life science companies and previously served as Chief Financial Officer of Onyx Pharmaceuticals from 2009 to October 2013 until it was acquired by Amgen in 2013. From October 2013 to January 2014 Mr. Fust served as Executive Vice President, Finance after Onyx Pharmaceuticals was acquired by Amgen. Prior to that, Mr. Fust held the position of Chief Financial Officer of Jazz Pharmaceuticals from 2003 to 2008, and Chief Financial Officer of Perlegen Sciences from 2002 to 2003. Mr. Fust previously served as Senior Vice President and Chief Financial Officer of ALZA Corporation, where he was an executive from 1996 to 2002.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Mr. Fust has served on the boards of directors of Ultragenyx Pharmaceutical since 2014; Atara Biotherapeutics since 2014; and Crinetics Pharmaceuticals since February 2018. Mr. Fust previously served on the boards of Dermira, from 2014 to February 2020, MacroGenics, from 2014 to May 2020 and BlackThorn from August 2017 until June 2020. Mr. Fust also currently serves as an advisor to OncoMyx, Juvena Therapeutics, as well as other publicly-traded and privately-held companies. Mr. Fust holds a B.A. from the University of Minnesota and an M.B.A. from Stanford University Graduate School of Business. We believe Mr. Fust is qualified to serve on our board of directors because of his deep experience running and serving on the boards of biopharmaceutical companies. </w:t>
      </w:r>
    </w:p>
    <w:p>
      <w:pPr>
        <w:pStyle w:val="TextBody"/>
        <w:bidi w:val="0"/>
        <w:spacing w:before="240" w:after="0"/>
        <w:jc w:val="left"/>
        <w:rPr>
          <w:rFonts w:ascii="Times New Roman" w:hAnsi="Times New Roman"/>
          <w:sz w:val="20"/>
        </w:rPr>
      </w:pPr>
      <w:r>
        <w:rPr>
          <w:rFonts w:ascii="Times New Roman" w:hAnsi="Times New Roman"/>
          <w:b/>
          <w:i/>
          <w:sz w:val="20"/>
        </w:rPr>
        <w:t>Maykin</w:t>
      </w:r>
      <w:r>
        <w:rPr>
          <w:rFonts w:ascii="Times New Roman" w:hAnsi="Times New Roman"/>
          <w:sz w:val="20"/>
        </w:rPr>
        <w:t xml:space="preserve"> </w:t>
      </w:r>
      <w:r>
        <w:rPr>
          <w:rFonts w:ascii="Times New Roman" w:hAnsi="Times New Roman"/>
          <w:b/>
          <w:i/>
          <w:sz w:val="20"/>
        </w:rPr>
        <w:t>Ho,</w:t>
      </w:r>
      <w:r>
        <w:rPr>
          <w:rFonts w:ascii="Times New Roman" w:hAnsi="Times New Roman"/>
          <w:sz w:val="20"/>
        </w:rPr>
        <w:t xml:space="preserve"> </w:t>
      </w:r>
      <w:r>
        <w:rPr>
          <w:rFonts w:ascii="Times New Roman" w:hAnsi="Times New Roman"/>
          <w:b/>
          <w:i/>
          <w:sz w:val="20"/>
        </w:rPr>
        <w:t>Ph.D.,</w:t>
      </w:r>
      <w:r>
        <w:rPr>
          <w:rFonts w:ascii="Times New Roman" w:hAnsi="Times New Roman"/>
          <w:sz w:val="20"/>
        </w:rPr>
        <w:t xml:space="preserve"> has served as a member of our board of directors since April 2021. Dr. Ho has more than 30 years of experience in the healthcare and finance industries, and has served as a venture partner of Qiming Venture Partners since 2015, and as a member of the Biotech Advisory Panel of the Stock Exchange of Hong Kong. Dr. Ho is a retired partner of the Goldman Sachs Group, where she served in several roles from 1992 to 2015, including as senior biotechnology analyst, co-head of healthcare for global investment research and advisory director for healthcare investment banking. Prior to Goldman Sachs, she held various managerial positions in licensing, strategic planning, marketing and research at DuPont-Merck Pharmaceuticals and DuPont de Nemours &amp; Company from 1982 to 1992. Dr. Ho has served on the board of directors for Agios Pharmaceuticals since 2015, BioMarin Pharmaceutical since February 2021, Fibrogen since December 2018, Parexel International from 2015 to September 2017 and from March 2018 to present, the Aaron Diamond AIDS Research Center since 2005 and the Institute for Protein Innovation since 2016. Dr. Ho previously served on the board of directors for GRAIL from May 2019 to August 2021. Dr. Ho holds a B.S. in Medical Technology and a Ph.D. in Microbiology and Immunology from the State University of New York, Downstate Medical Center. She was a postdoctoral fellow at Harvard Medical School and a graduate of the Advanced Management Program at The Fuqua School of Business at Duke University. We believe Dr. Ho is qualified to serve on our board of directors due to her extensive experience in healthcare investment research and banking. </w:t>
      </w:r>
    </w:p>
    <w:p>
      <w:pPr>
        <w:pStyle w:val="TextBody"/>
        <w:bidi w:val="0"/>
        <w:spacing w:before="240" w:after="0"/>
        <w:jc w:val="left"/>
        <w:rPr>
          <w:rFonts w:ascii="Times New Roman" w:hAnsi="Times New Roman"/>
          <w:sz w:val="20"/>
        </w:rPr>
      </w:pPr>
      <w:r>
        <w:rPr>
          <w:rFonts w:ascii="Times New Roman" w:hAnsi="Times New Roman"/>
          <w:b/>
          <w:i/>
          <w:sz w:val="20"/>
        </w:rPr>
        <w:t xml:space="preserve">Robert Nelsen </w:t>
      </w:r>
      <w:r>
        <w:rPr>
          <w:rFonts w:ascii="Times New Roman" w:hAnsi="Times New Roman"/>
          <w:sz w:val="20"/>
        </w:rPr>
        <w:t xml:space="preserve">has served as a member of our board of directors since September 2020. Since 1986, Mr. Nelsen has served as co-founder and Managing Director of ARCH Venture Partners, a venture capital firm focused on early stage technology companies. Mr. Nelsen currently serves as a member of the board of directors of Brii Biosciences, Denali Therapeutics, Hua Medicine (Shanghai), Lyell Immunopharma, Revolution Healthcare Acquisition Corp., Sana Biotechnology and Vir Biotechnology, all of which are publicly- traded companies. He also serves as a member of the board of directors of several privately-held biotechnology and biopharmaceutical companies. Mr. Nelsen previously served on the board of directors of various publicly- traded biopharmaceutical companies including Agios Pharmaceuticals, Karuna Therapeutics, Illumina, Juno Therapeutics (acquired by Celgene (now part of BMS) in January 2018), Sage Therapeutics, Syros Pharmaceuticals and UNITY Biotechnology. He also previously served as Trustee of the Fred Hutchinson Cancer Research Center and as a director of the National Venture Capital Association. Mr. Nelsen hold a B.S. with majors in Economics and Biology from the University of Puget Sound and an M.B.A from the University of Chicago Booth School of Business. We believe Mr. Nelsen is qualified to serve on our board of directors because of his experience as a venture capitalist, building and serving boards of many public and private emerging companies, including multiple life sciences, biotechnology and pharmaceutical companies. </w:t>
      </w:r>
    </w:p>
    <w:p>
      <w:pPr>
        <w:pStyle w:val="TextBody"/>
        <w:bidi w:val="0"/>
        <w:spacing w:before="240" w:after="0"/>
        <w:jc w:val="left"/>
        <w:rPr>
          <w:rFonts w:ascii="Times New Roman" w:hAnsi="Times New Roman"/>
          <w:sz w:val="20"/>
        </w:rPr>
      </w:pPr>
      <w:r>
        <w:rPr>
          <w:rFonts w:ascii="Times New Roman" w:hAnsi="Times New Roman"/>
          <w:b/>
          <w:i/>
          <w:sz w:val="20"/>
        </w:rPr>
        <w:t>Kári Stefánsson,</w:t>
      </w:r>
      <w:r>
        <w:rPr>
          <w:rFonts w:ascii="Times New Roman" w:hAnsi="Times New Roman"/>
          <w:sz w:val="20"/>
        </w:rPr>
        <w:t xml:space="preserve"> </w:t>
      </w:r>
      <w:r>
        <w:rPr>
          <w:rFonts w:ascii="Times New Roman" w:hAnsi="Times New Roman"/>
          <w:b/>
          <w:i/>
          <w:sz w:val="20"/>
        </w:rPr>
        <w:t>M.D., Dr.</w:t>
      </w:r>
      <w:r>
        <w:rPr>
          <w:rFonts w:ascii="Times New Roman" w:hAnsi="Times New Roman"/>
          <w:sz w:val="20"/>
        </w:rPr>
        <w:t> </w:t>
      </w:r>
      <w:r>
        <w:rPr>
          <w:rFonts w:ascii="Times New Roman" w:hAnsi="Times New Roman"/>
          <w:b/>
          <w:i/>
          <w:sz w:val="20"/>
        </w:rPr>
        <w:t xml:space="preserve">Med., </w:t>
      </w:r>
      <w:r>
        <w:rPr>
          <w:rFonts w:ascii="Times New Roman" w:hAnsi="Times New Roman"/>
          <w:sz w:val="20"/>
        </w:rPr>
        <w:t xml:space="preserve">has served as a member of our board of directors since September 2021. Dr. Stefánsson founded deCODE genetics in August 1996 and currently serves as its Chief Executive Officer. deCode Genetics became a wholly owned subsidiary of Amgen in 2012, and in addition to serving as Chief Executive Officer of deCode Genetics, Dr. Stefánsson also serves as Vice President in Research and Development at Amgen. He has shaped deCODEs scientific approach and been actively engaged in leading its gene discovery work, serving as senior author on most of the companys publications in major scientific journals. Dr. Stefánsson was previously a professor of Neurology, Neuropathology and Neuroscience at Harvard University from 1993 to 1997 and Director of Neuropathology at Beth Israel Hospital in Boston, Massachusetts from 1993 to 1997. From 1983 to 1993, he held faculty positions in Neurology, Neuropathology and Neurosciences at the University of Chicago. Dr. Stefansson is recognized as a leading figure in human genetics.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Dr. Stefánsson holds an M.D. and Dr. Med. from the University of Iceland and is board-certified in Neurology and Neuropathology in the United States. We believe Mr. Stefánsson is qualified to serve on our board of directors because his expertise and leadership in the fields of genetics and neuroscience. </w:t>
      </w:r>
    </w:p>
    <w:p>
      <w:pPr>
        <w:pStyle w:val="TextBody"/>
        <w:bidi w:val="0"/>
        <w:spacing w:before="240" w:after="0"/>
        <w:jc w:val="left"/>
        <w:rPr>
          <w:rFonts w:ascii="Times New Roman" w:hAnsi="Times New Roman"/>
          <w:sz w:val="20"/>
        </w:rPr>
      </w:pPr>
      <w:r>
        <w:rPr>
          <w:rFonts w:ascii="Times New Roman" w:hAnsi="Times New Roman"/>
          <w:b/>
          <w:i/>
          <w:sz w:val="20"/>
        </w:rPr>
        <w:t xml:space="preserve">Stacie Weninger, Ph.D., </w:t>
      </w:r>
      <w:r>
        <w:rPr>
          <w:rFonts w:ascii="Times New Roman" w:hAnsi="Times New Roman"/>
          <w:sz w:val="20"/>
        </w:rPr>
        <w:t xml:space="preserve">has served as a member of our board of directors since September 2020. Dr. Weninger has indicated her intention to resign as a director prior to the effectiveness of the registration statement for which this prospectus is a part.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family relationships among any of our executive officers or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Board Structure and Composition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currently consists of seven members. Our board of directors has determined that all of our directors, other than Mr. Berns, qualify as independent directors in accordance with The Nasdaq Stock Market LLC (Nasdaq) Marketplace Rules (the Nasdaq Listing Rules). Mr. Berns is not considered independent by virtue of his position as an executive officer of the company. Under the Nasdaq Listing Rules, the definition of independence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the Nasdaq Listing Rules, our board of directors has made a subjective determination as to each independent director that no relationships exists that,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relationships as they may relate to us and our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our amended and restated certificate of incorporation, which will be effective immediately prior to the completion of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 directors will be                 ,                  and                 , and their terms will expire at the annual meeting of stockholders to be held in 202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II directors will be                 ,                  and                  , and their terms will expire at the annual meeting of stockholders to be held in 202  ;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III directors will be                 ,                  and                 , and their terms will expire at the annual meeting of stockholders to be held in 202  .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expect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Voting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The election of the members of our board of directors is currently governed by the voting agreement that we entered into with certain holders of our common stock and convertible preferred stock and the related provisions of our amended and restated certificate of incorporation. Pursuant to our voting agreement and amended and restated certificate of incorporation, our current directors were elected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Burow and Mr. Nelsen were elected as the designees of ARCH Venture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Weninger was elected as the designee of F-Prime Capital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Berns was elected and designated as our then serving and current Chief Executive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Ho and Mr. Fust were elected and designated by the holders of a majority of our common stock and convertible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voting agreement will terminate and the provisions of our current amended and restated certificate of incorporation by which our directors were elected will be amended and restated in connection with this offering. After this offering, the number of directors will be fixed by our board of directors, subject to the terms of our amended and restated certificate of incorporation and amended and restated bylaws that will become effective immediately prior to the completion of this offering. Each of our current directors will continue to serve as a director until the election and qualification of his or her successor, or until his or her earlier death, resignation or removal. </w:t>
      </w:r>
    </w:p>
    <w:p>
      <w:pPr>
        <w:pStyle w:val="TextBody"/>
        <w:bidi w:val="0"/>
        <w:spacing w:before="360" w:after="0"/>
        <w:jc w:val="left"/>
        <w:rPr>
          <w:rFonts w:ascii="Times New Roman" w:hAnsi="Times New Roman"/>
          <w:b/>
          <w:sz w:val="20"/>
        </w:rPr>
      </w:pPr>
      <w:r>
        <w:rPr>
          <w:rFonts w:ascii="Times New Roman" w:hAnsi="Times New Roman"/>
          <w:b/>
          <w:sz w:val="20"/>
        </w:rPr>
        <w:t xml:space="preserve">Leadership Structure of the Board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and corporate governance guidelines provide our board of directors with flexibility to combine or separate the positions of Chairman of the board of directors and Chief Executive Officer. Mr. Berns currently serves as the Chairman of the Board.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concluded that our current leadership structure is appropriate at this time. However, our board of directors will continue to periodically review our leadership structure and may make such changes in the future as it deems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Role of Board in Risk Oversight Process </w:t>
      </w:r>
    </w:p>
    <w:p>
      <w:pPr>
        <w:pStyle w:val="TextBody"/>
        <w:bidi w:val="0"/>
        <w:spacing w:before="120" w:after="0"/>
        <w:jc w:val="left"/>
        <w:rPr>
          <w:rFonts w:ascii="Times New Roman" w:hAnsi="Times New Roman"/>
          <w:sz w:val="20"/>
        </w:rPr>
      </w:pPr>
      <w:r>
        <w:rPr>
          <w:rFonts w:ascii="Times New Roman" w:hAnsi="Times New Roman"/>
          <w:sz w:val="20"/>
        </w:rPr>
        <w:t xml:space="preserve">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our major financial risk exposures and the steps our management has taken to monitor and control these exposures. The audit committee also approves or disapproves any related person transactions. Our nominating and corporate governance committee monitors the effectiveness of our corporate governance guidelines. Our compensation committee assesses and monitors whether any of our compensation policies and programs has the potential to encourage excessive risk-taking.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three standing committees: the audit committee; the compensation committee; and the nominating and governance committee. Each committee is governed by a charter that will be available on our website following completion of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Effective as of the date the registration statement of which this prospectus forms a part is declared effective by the SEC, the members of our audit committee will consist of                 ,                 , and                 .                  will be the chairperson of our audit committee. The composition of our audit committee meets the requirements for independence under the current Nasdaq Listing Rules and Rule 10A-3 of the Exchange Act. Each member of our audit committee is financially literate. In addition, our board of directors has determined that                  is an audit committee financial expert within the meaning of the SEC rules. This designation does not impose on such directors any duties, obligations, or liabilities that are greater than are generally imposed on members of our audit committee and our board of directors. Our audit committee is directly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appointing, retaining, compensating and overseeing the work of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assessing the independence and performance of the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rotation of partners of our independent registered public accounting firm on our engagement team as required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our independent registered public accounting firm the scope and results of the firms annual audit of our consolidated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financial reporting process and discussing with management and our independent registered public accounting firm the consolidated financial statements that we will file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pre-approving all audit and permissible non-audit services to be performed by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policies and practices related to risk assessment and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our accounting and financial reporting policies and practices and accounting controls, as well as compliance with legal and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overseeing, approving, or disapproving any related-person and related party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our management the scope and results of managements evaluation of our disclosure controls and procedures and managements assessment of our internal control over financial reporting, including the related certifications to be included in the periodic reports we will file with the SEC;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confidential anonymous submission of concerns regarding questionable accounting, internal controls, or auditing matters, or other ethics or compliance issues.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Effective as of the date the registration statement of which this prospectus forms a part is declared effective by the SEC, the members of our compensation committee will consist of                 ,                 , and                 .                  will be the chairperson of our compensation committee. Each of                 ,                 , and                  is a non-employee director, as defined by Rule 16b-3 promulgated under the Exchange Act and meets the requirements for independence under the current Nasdaq Listing Rules. Our compensation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compensation of our executive officers, including reviewing and approving corporate goals and objectives with respect to compensation;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to act as an administrator of our equity incentive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making recommendations to our board of directors with respect to, incentive compensation and equity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that our board of directors approve the compensation for our non-employee board members;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reviewing general policies relating to compensation and benefits of our employees.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Effective as of the date the registration statement of which this prospectus forms a part is declared effective by the SEC, the members of our nominating and governance committee will consist of                 ,                 , and                 .                  will be the chairperson of our nominating and governance committee.                 ,                 , and                  meet the requirements for independence under the current Nasdaq Listing Rules. Our nominating and governance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and recommending candidates for membership on our board of directors, including the consideration of nominees submitted by stockholders, and on each of the boards committees;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our corporate governance guidelines and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proposed waivers of the code of business conduct and ethics for directors and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process of evaluating the performance of our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assisting our board of directors on corporate governance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our board of directors will adopt a code of business conduct and ethics that applies to all of our employees, officers and directors, including our Chief Executive Officer, Chief Financial Officer and other executive and senior financial officers. Upon completion of this offering, the full text of our code of business conduct and ethics will be posted on the investor relations section of our website. We intend to disclose future amendments to our code of business conduct and ethics, or any waivers of such code, on our website or in public filings.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our executive officers has served as a member of a compensation committee (or if no committee performs that function, the board of directors) of any other entity that has an executive officer serving as a member of our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rom241143_14"/>
      <w:bookmarkEnd w:id="16"/>
      <w:r>
        <w:rPr>
          <w:rFonts w:ascii="Times New Roman" w:hAnsi="Times New Roman"/>
          <w:b/>
          <w:sz w:val="20"/>
        </w:rPr>
        <w:t xml:space="preserve">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Historically, we have not had a formalized non-employee director compensation program. </w:t>
      </w:r>
    </w:p>
    <w:p>
      <w:pPr>
        <w:pStyle w:val="TextBody"/>
        <w:bidi w:val="0"/>
        <w:spacing w:before="240" w:after="0"/>
        <w:jc w:val="left"/>
        <w:rPr>
          <w:rFonts w:ascii="Times New Roman" w:hAnsi="Times New Roman"/>
          <w:sz w:val="20"/>
        </w:rPr>
      </w:pPr>
      <w:r>
        <w:rPr>
          <w:rFonts w:ascii="Times New Roman" w:hAnsi="Times New Roman"/>
          <w:sz w:val="20"/>
        </w:rPr>
        <w:t xml:space="preserve">During 2021, only Mr. Fust and Dr. Ho received compensation for their service on our board of directors. Each of Mr. Fust and Dr. Ho received $10,000 per quarter of service on our board of directors. In April 2021, we granted an option to each of Mr. Fust and Dr. Ho to purchase 750,000 shares of our common stock. The options vest and become exercisable, respectively, as to 1/36th of the shares on each monthly anniversary of December 23, 2020 for Mr. Fust and April 23, 2021 for Dr. Ho, subject to Mr. Fusts and Dr. Hos respective continued service through the applicable vesting date. In addition, we reimburse our non-employee directors for travel and other necessary business expenses incurred in the performance of their services for us. </w:t>
      </w:r>
    </w:p>
    <w:p>
      <w:pPr>
        <w:pStyle w:val="TextBody"/>
        <w:bidi w:val="0"/>
        <w:spacing w:before="240" w:after="0"/>
        <w:jc w:val="left"/>
        <w:rPr>
          <w:rFonts w:ascii="Times New Roman" w:hAnsi="Times New Roman"/>
          <w:sz w:val="20"/>
        </w:rPr>
      </w:pPr>
      <w:r>
        <w:rPr>
          <w:rFonts w:ascii="Times New Roman" w:hAnsi="Times New Roman"/>
          <w:sz w:val="20"/>
        </w:rPr>
        <w:t xml:space="preserve">We intend to approve and implement a compensation policy for our non-employee directors to be effective on the consummation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concerning the compensation earned by our non-employee directors during the year ended December 31, 2021. </w:t>
      </w:r>
    </w:p>
    <w:p>
      <w:pPr>
        <w:pStyle w:val="TextBody"/>
        <w:bidi w:val="0"/>
        <w:spacing w:before="360" w:after="0"/>
        <w:jc w:val="left"/>
        <w:rPr>
          <w:rFonts w:ascii="Times New Roman" w:hAnsi="Times New Roman"/>
          <w:b/>
          <w:sz w:val="20"/>
        </w:rPr>
      </w:pPr>
      <w:r>
        <w:rPr>
          <w:rFonts w:ascii="Times New Roman" w:hAnsi="Times New Roman"/>
          <w:b/>
          <w:sz w:val="20"/>
        </w:rPr>
        <w:t xml:space="preserve">2021 Director Compensation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25"/>
        <w:gridCol w:w="1048"/>
        <w:gridCol w:w="128"/>
        <w:gridCol w:w="1523"/>
        <w:gridCol w:w="60"/>
        <w:gridCol w:w="1048"/>
        <w:gridCol w:w="259"/>
        <w:gridCol w:w="582"/>
        <w:gridCol w:w="60"/>
        <w:gridCol w:w="1048"/>
        <w:gridCol w:w="168"/>
        <w:gridCol w:w="392"/>
        <w:gridCol w:w="64"/>
      </w:tblGrid>
      <w:tr>
        <w:trPr/>
        <w:tc>
          <w:tcPr>
            <w:tcW w:w="3825" w:type="dxa"/>
            <w:tcBorders/>
            <w:vAlign w:val="center"/>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8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048" w:type="dxa"/>
            <w:tcBorders/>
            <w:vAlign w:val="bottom"/>
          </w:tcPr>
          <w:p>
            <w:pPr>
              <w:pStyle w:val="TableContents"/>
              <w:bidi w:val="0"/>
              <w:spacing w:before="0" w:after="283"/>
              <w:jc w:val="left"/>
              <w:rPr/>
            </w:pPr>
            <w:r>
              <w:rPr/>
              <w:t>  </w:t>
            </w:r>
          </w:p>
        </w:tc>
        <w:tc>
          <w:tcPr>
            <w:tcW w:w="16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Fees Earned or Paid in Cash</w:t>
              <w:br/>
              <w:t>($)</w:t>
            </w:r>
          </w:p>
        </w:tc>
        <w:tc>
          <w:tcPr>
            <w:tcW w:w="60"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left"/>
              <w:rPr/>
            </w:pPr>
            <w:r>
              <w:rPr/>
              <w:t>  </w:t>
            </w:r>
          </w:p>
        </w:tc>
        <w:tc>
          <w:tcPr>
            <w:tcW w:w="8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 Awards</w:t>
              <w:br/>
              <w:t>($)(1)</w:t>
            </w:r>
          </w:p>
        </w:tc>
        <w:tc>
          <w:tcPr>
            <w:tcW w:w="60"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w:t>
            </w:r>
          </w:p>
        </w:tc>
        <w:tc>
          <w:tcPr>
            <w:tcW w:w="64" w:type="dxa"/>
            <w:tcBorders/>
            <w:vAlign w:val="bottom"/>
          </w:tcPr>
          <w:p>
            <w:pPr>
              <w:pStyle w:val="TableContents"/>
              <w:bidi w:val="0"/>
              <w:spacing w:before="0" w:after="283"/>
              <w:jc w:val="left"/>
              <w:rPr/>
            </w:pPr>
            <w:r>
              <w:rPr/>
              <w:t> </w:t>
            </w:r>
          </w:p>
        </w:tc>
      </w:tr>
      <w:tr>
        <w:trPr/>
        <w:tc>
          <w:tcPr>
            <w:tcW w:w="3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Kristina Burow</w:t>
            </w:r>
          </w:p>
        </w:tc>
        <w:tc>
          <w:tcPr>
            <w:tcW w:w="1048"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825" w:type="dxa"/>
            <w:tcBorders/>
          </w:tcPr>
          <w:p>
            <w:pPr>
              <w:pStyle w:val="TableContents"/>
              <w:bidi w:val="0"/>
              <w:spacing w:before="0" w:after="0"/>
              <w:jc w:val="left"/>
              <w:rPr>
                <w:rFonts w:ascii="Times New Roman" w:hAnsi="Times New Roman"/>
                <w:sz w:val="20"/>
              </w:rPr>
            </w:pPr>
            <w:r>
              <w:rPr>
                <w:rFonts w:ascii="Times New Roman" w:hAnsi="Times New Roman"/>
                <w:sz w:val="20"/>
              </w:rPr>
              <w:t>Matthew Fust</w:t>
            </w:r>
          </w:p>
        </w:tc>
        <w:tc>
          <w:tcPr>
            <w:tcW w:w="104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523" w:type="dxa"/>
            <w:tcBorders/>
            <w:vAlign w:val="bottom"/>
          </w:tcPr>
          <w:p>
            <w:pPr>
              <w:pStyle w:val="TableContents"/>
              <w:bidi w:val="0"/>
              <w:spacing w:before="0" w:after="283"/>
              <w:jc w:val="right"/>
              <w:rPr/>
            </w:pPr>
            <w:r>
              <w:rPr/>
              <w:t>30,000</w:t>
            </w:r>
          </w:p>
        </w:tc>
        <w:tc>
          <w:tcPr>
            <w:tcW w:w="60"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Maykin Ho, Ph.D.</w:t>
            </w:r>
          </w:p>
        </w:tc>
        <w:tc>
          <w:tcPr>
            <w:tcW w:w="1048"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bidi w:val="0"/>
              <w:spacing w:before="0" w:after="283"/>
              <w:jc w:val="right"/>
              <w:rPr/>
            </w:pPr>
            <w:r>
              <w:rPr/>
              <w:t>17,588</w:t>
            </w:r>
          </w:p>
        </w:tc>
        <w:tc>
          <w:tcPr>
            <w:tcW w:w="60"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825" w:type="dxa"/>
            <w:tcBorders/>
          </w:tcPr>
          <w:p>
            <w:pPr>
              <w:pStyle w:val="TableContents"/>
              <w:bidi w:val="0"/>
              <w:spacing w:before="0" w:after="0"/>
              <w:jc w:val="left"/>
              <w:rPr>
                <w:rFonts w:ascii="Times New Roman" w:hAnsi="Times New Roman"/>
                <w:sz w:val="20"/>
              </w:rPr>
            </w:pPr>
            <w:r>
              <w:rPr>
                <w:rFonts w:ascii="Times New Roman" w:hAnsi="Times New Roman"/>
                <w:sz w:val="20"/>
              </w:rPr>
              <w:t>Robert Nelsen</w:t>
            </w:r>
          </w:p>
        </w:tc>
        <w:tc>
          <w:tcPr>
            <w:tcW w:w="104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5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Kári Stefánsson</w:t>
            </w:r>
          </w:p>
        </w:tc>
        <w:tc>
          <w:tcPr>
            <w:tcW w:w="1048"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825" w:type="dxa"/>
            <w:tcBorders/>
          </w:tcPr>
          <w:p>
            <w:pPr>
              <w:pStyle w:val="TableContents"/>
              <w:bidi w:val="0"/>
              <w:spacing w:before="0" w:after="0"/>
              <w:jc w:val="left"/>
              <w:rPr>
                <w:rFonts w:ascii="Times New Roman" w:hAnsi="Times New Roman"/>
                <w:sz w:val="20"/>
              </w:rPr>
            </w:pPr>
            <w:r>
              <w:rPr>
                <w:rFonts w:ascii="Times New Roman" w:hAnsi="Times New Roman"/>
                <w:sz w:val="20"/>
              </w:rPr>
              <w:t>Stacie Weninger(2)</w:t>
            </w:r>
          </w:p>
        </w:tc>
        <w:tc>
          <w:tcPr>
            <w:tcW w:w="104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5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For the option awards columns, amounts shown represents the grant date fair value of options granted during 2021 as calculated in accordance with ASC Topic 718. See Financial Accounting Standards Board, Accounting Standards Codification Topic 718, </w:t>
            </w:r>
            <w:r>
              <w:rPr>
                <w:rFonts w:ascii="Times New Roman" w:hAnsi="Times New Roman"/>
                <w:i/>
                <w:sz w:val="18"/>
              </w:rPr>
              <w:t>CompensationStock Compensation</w:t>
            </w:r>
            <w:r>
              <w:rPr>
                <w:rFonts w:ascii="Times New Roman" w:hAnsi="Times New Roman"/>
                <w:sz w:val="18"/>
              </w:rPr>
              <w:t xml:space="preserve"> (FASB ASC Topic 718). Assumptions used in the calculation of these amounts are described in Note 13 to our audited consolidated financial statements and Note 12 to our unaudited condensed consolidated financial statements appearing elsewhere in this prospectus. These amounts do not reflect the actual economic value that will be realized by our named executive officers upon the vesting of the stock options, the exercise of the stock options, or the sale of the common stock underlying such stock options.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Dr. Weninger has indicated her intention to resign as a director prior to the effectiveness of the registration statement for which this prospectus is a part.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shows the aggregate numbers of option awards (exercisable and unexercisable) held as of December 31, 2021 by each non-employee director who was serving as of December 31, 2021.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09"/>
        <w:gridCol w:w="866"/>
        <w:gridCol w:w="148"/>
        <w:gridCol w:w="2019"/>
        <w:gridCol w:w="63"/>
      </w:tblGrid>
      <w:tr>
        <w:trPr/>
        <w:tc>
          <w:tcPr>
            <w:tcW w:w="7109" w:type="dxa"/>
            <w:tcBorders/>
            <w:vAlign w:val="center"/>
          </w:tcPr>
          <w:p>
            <w:pPr>
              <w:pStyle w:val="TableContents"/>
              <w:bidi w:val="0"/>
              <w:spacing w:before="0" w:after="283"/>
              <w:jc w:val="left"/>
              <w:rPr>
                <w:sz w:val="4"/>
                <w:szCs w:val="4"/>
              </w:rPr>
            </w:pPr>
            <w:r>
              <w:rPr>
                <w:sz w:val="4"/>
                <w:szCs w:val="4"/>
              </w:rPr>
            </w:r>
          </w:p>
        </w:tc>
        <w:tc>
          <w:tcPr>
            <w:tcW w:w="866"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10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866" w:type="dxa"/>
            <w:tcBorders/>
            <w:vAlign w:val="bottom"/>
          </w:tcPr>
          <w:p>
            <w:pPr>
              <w:pStyle w:val="TableContents"/>
              <w:bidi w:val="0"/>
              <w:spacing w:before="0" w:after="283"/>
              <w:jc w:val="left"/>
              <w:rPr/>
            </w:pPr>
            <w:r>
              <w:rPr/>
              <w:t>  </w:t>
            </w:r>
          </w:p>
        </w:tc>
        <w:tc>
          <w:tcPr>
            <w:tcW w:w="21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Options Outstanding</w:t>
            </w:r>
          </w:p>
        </w:tc>
        <w:tc>
          <w:tcPr>
            <w:tcW w:w="63" w:type="dxa"/>
            <w:tcBorders/>
            <w:vAlign w:val="bottom"/>
          </w:tcPr>
          <w:p>
            <w:pPr>
              <w:pStyle w:val="TableContents"/>
              <w:bidi w:val="0"/>
              <w:spacing w:before="0" w:after="283"/>
              <w:jc w:val="left"/>
              <w:rPr/>
            </w:pPr>
            <w:r>
              <w:rPr/>
              <w:t> </w:t>
            </w:r>
          </w:p>
        </w:tc>
      </w:tr>
      <w:tr>
        <w:trPr/>
        <w:tc>
          <w:tcPr>
            <w:tcW w:w="71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Kristina Burow</w:t>
            </w:r>
          </w:p>
        </w:tc>
        <w:tc>
          <w:tcPr>
            <w:tcW w:w="86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01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109" w:type="dxa"/>
            <w:tcBorders/>
          </w:tcPr>
          <w:p>
            <w:pPr>
              <w:pStyle w:val="TableContents"/>
              <w:bidi w:val="0"/>
              <w:spacing w:before="0" w:after="0"/>
              <w:jc w:val="left"/>
              <w:rPr>
                <w:rFonts w:ascii="Times New Roman" w:hAnsi="Times New Roman"/>
                <w:sz w:val="20"/>
              </w:rPr>
            </w:pPr>
            <w:r>
              <w:rPr>
                <w:rFonts w:ascii="Times New Roman" w:hAnsi="Times New Roman"/>
                <w:sz w:val="20"/>
              </w:rPr>
              <w:t>Matthew Fust</w:t>
            </w:r>
          </w:p>
        </w:tc>
        <w:tc>
          <w:tcPr>
            <w:tcW w:w="86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019" w:type="dxa"/>
            <w:tcBorders/>
            <w:vAlign w:val="bottom"/>
          </w:tcPr>
          <w:p>
            <w:pPr>
              <w:pStyle w:val="TableContents"/>
              <w:bidi w:val="0"/>
              <w:spacing w:before="0" w:after="283"/>
              <w:jc w:val="right"/>
              <w:rPr/>
            </w:pPr>
            <w:r>
              <w:rPr/>
              <w:t>842,499</w:t>
            </w:r>
          </w:p>
        </w:tc>
        <w:tc>
          <w:tcPr>
            <w:tcW w:w="63" w:type="dxa"/>
            <w:tcBorders/>
            <w:vAlign w:val="bottom"/>
          </w:tcPr>
          <w:p>
            <w:pPr>
              <w:pStyle w:val="TableContents"/>
              <w:bidi w:val="0"/>
              <w:spacing w:before="0" w:after="283"/>
              <w:jc w:val="left"/>
              <w:rPr/>
            </w:pPr>
            <w:r>
              <w:rPr/>
              <w:t> </w:t>
            </w:r>
          </w:p>
        </w:tc>
      </w:tr>
      <w:tr>
        <w:trPr/>
        <w:tc>
          <w:tcPr>
            <w:tcW w:w="71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Maykin Ho, Ph.D.</w:t>
            </w:r>
          </w:p>
        </w:tc>
        <w:tc>
          <w:tcPr>
            <w:tcW w:w="86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019" w:type="dxa"/>
            <w:tcBorders/>
            <w:shd w:fill="CCEEFF" w:val="clear"/>
            <w:vAlign w:val="bottom"/>
          </w:tcPr>
          <w:p>
            <w:pPr>
              <w:pStyle w:val="TableContents"/>
              <w:bidi w:val="0"/>
              <w:spacing w:before="0" w:after="283"/>
              <w:jc w:val="right"/>
              <w:rPr/>
            </w:pPr>
            <w:r>
              <w:rPr/>
              <w:t>750,000</w:t>
            </w:r>
          </w:p>
        </w:tc>
        <w:tc>
          <w:tcPr>
            <w:tcW w:w="63" w:type="dxa"/>
            <w:tcBorders/>
            <w:shd w:fill="CCEEFF" w:val="clear"/>
            <w:vAlign w:val="bottom"/>
          </w:tcPr>
          <w:p>
            <w:pPr>
              <w:pStyle w:val="TableContents"/>
              <w:bidi w:val="0"/>
              <w:spacing w:before="0" w:after="283"/>
              <w:jc w:val="left"/>
              <w:rPr/>
            </w:pPr>
            <w:r>
              <w:rPr/>
              <w:t> </w:t>
            </w:r>
          </w:p>
        </w:tc>
      </w:tr>
      <w:tr>
        <w:trPr/>
        <w:tc>
          <w:tcPr>
            <w:tcW w:w="7109" w:type="dxa"/>
            <w:tcBorders/>
          </w:tcPr>
          <w:p>
            <w:pPr>
              <w:pStyle w:val="TableContents"/>
              <w:bidi w:val="0"/>
              <w:spacing w:before="0" w:after="0"/>
              <w:jc w:val="left"/>
              <w:rPr>
                <w:rFonts w:ascii="Times New Roman" w:hAnsi="Times New Roman"/>
                <w:sz w:val="20"/>
              </w:rPr>
            </w:pPr>
            <w:r>
              <w:rPr>
                <w:rFonts w:ascii="Times New Roman" w:hAnsi="Times New Roman"/>
                <w:sz w:val="20"/>
              </w:rPr>
              <w:t>Robert Nelsen</w:t>
            </w:r>
          </w:p>
        </w:tc>
        <w:tc>
          <w:tcPr>
            <w:tcW w:w="86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01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71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Kári Stefánsson</w:t>
            </w:r>
          </w:p>
        </w:tc>
        <w:tc>
          <w:tcPr>
            <w:tcW w:w="86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01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109" w:type="dxa"/>
            <w:tcBorders/>
          </w:tcPr>
          <w:p>
            <w:pPr>
              <w:pStyle w:val="TableContents"/>
              <w:bidi w:val="0"/>
              <w:spacing w:before="0" w:after="0"/>
              <w:jc w:val="left"/>
              <w:rPr>
                <w:rFonts w:ascii="Times New Roman" w:hAnsi="Times New Roman"/>
                <w:sz w:val="20"/>
              </w:rPr>
            </w:pPr>
            <w:r>
              <w:rPr>
                <w:rFonts w:ascii="Times New Roman" w:hAnsi="Times New Roman"/>
                <w:sz w:val="20"/>
              </w:rPr>
              <w:t>Stacie Weninger(1)</w:t>
            </w:r>
          </w:p>
        </w:tc>
        <w:tc>
          <w:tcPr>
            <w:tcW w:w="86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01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Dr. Weninger has indicated her intention to resign as a director prior to the effectiveness of the registration statement for which this prospectus is a part.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rom241143_15"/>
      <w:bookmarkEnd w:id="17"/>
      <w:r>
        <w:rPr>
          <w:rFonts w:ascii="Times New Roman" w:hAnsi="Times New Roman"/>
          <w:b/>
          <w:sz w:val="20"/>
        </w:rPr>
        <w:t xml:space="preserve">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discussion and analysis of compensation arrangements of our named executive officers, or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 </w:t>
      </w:r>
    </w:p>
    <w:p>
      <w:pPr>
        <w:pStyle w:val="TextBody"/>
        <w:bidi w:val="0"/>
        <w:spacing w:before="240" w:after="0"/>
        <w:jc w:val="left"/>
        <w:rPr>
          <w:rFonts w:ascii="Times New Roman" w:hAnsi="Times New Roman"/>
          <w:sz w:val="20"/>
        </w:rPr>
      </w:pPr>
      <w:r>
        <w:rPr>
          <w:rFonts w:ascii="Times New Roman" w:hAnsi="Times New Roman"/>
          <w:sz w:val="20"/>
        </w:rPr>
        <w:t xml:space="preserve">We seek to ensure that the total compensation paid to our executive officers is reasonable and competitive. Compensation of our executives is structured around the achievement of individual performance and near-term corporate targets as well as long-term business objectives. </w:t>
      </w:r>
    </w:p>
    <w:p>
      <w:pPr>
        <w:pStyle w:val="TextBody"/>
        <w:bidi w:val="0"/>
        <w:spacing w:before="240" w:after="0"/>
        <w:jc w:val="left"/>
        <w:rPr>
          <w:rFonts w:ascii="Times New Roman" w:hAnsi="Times New Roman"/>
          <w:sz w:val="20"/>
        </w:rPr>
      </w:pPr>
      <w:r>
        <w:rPr>
          <w:rFonts w:ascii="Times New Roman" w:hAnsi="Times New Roman"/>
          <w:sz w:val="20"/>
        </w:rPr>
        <w:t xml:space="preserve">Our NEOs for 2021 were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Paul Berns, our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Lori Lyons-Williams, our President and Chief Operating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Joshua Pinto, Ph.D., our Chief Financial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Ms. Lyons-Williams commenced services with us in April 2021 as our President and Chief Operating Officer and Dr. Pinto commenced services with us in June 2021 as our Chief Financial Officer. Ms. Lyons-Williams terminated her employment with us in April 2022. </w:t>
      </w:r>
    </w:p>
    <w:p>
      <w:pPr>
        <w:pStyle w:val="TextBody"/>
        <w:bidi w:val="0"/>
        <w:spacing w:before="360" w:after="0"/>
        <w:jc w:val="left"/>
        <w:rPr>
          <w:rFonts w:ascii="Times New Roman" w:hAnsi="Times New Roman"/>
          <w:b/>
          <w:sz w:val="20"/>
        </w:rPr>
      </w:pPr>
      <w:r>
        <w:rPr>
          <w:rFonts w:ascii="Times New Roman" w:hAnsi="Times New Roman"/>
          <w:b/>
          <w:sz w:val="20"/>
        </w:rPr>
        <w:t xml:space="preserve">2021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total compensation paid to our named executive officers for the year ending on December 31, 2021. </w:t>
      </w:r>
    </w:p>
    <w:p>
      <w:pPr>
        <w:pStyle w:val="TextBody"/>
        <w:bidi w:val="0"/>
        <w:spacing w:before="0" w:after="0"/>
        <w:jc w:val="left"/>
        <w:rPr/>
      </w:pPr>
      <w:r>
        <w:rPr/>
        <w:t> </w:t>
      </w:r>
    </w:p>
    <w:tbl>
      <w:tblPr>
        <w:tblW w:w="10270" w:type="dxa"/>
        <w:jc w:val="center"/>
        <w:tblInd w:w="0" w:type="dxa"/>
        <w:tblLayout w:type="fixed"/>
        <w:tblCellMar>
          <w:top w:w="0" w:type="dxa"/>
          <w:left w:w="0" w:type="dxa"/>
          <w:bottom w:w="0" w:type="dxa"/>
          <w:right w:w="0" w:type="dxa"/>
        </w:tblCellMar>
      </w:tblPr>
      <w:tblGrid>
        <w:gridCol w:w="2090"/>
        <w:gridCol w:w="60"/>
        <w:gridCol w:w="60"/>
        <w:gridCol w:w="500"/>
        <w:gridCol w:w="60"/>
        <w:gridCol w:w="60"/>
        <w:gridCol w:w="60"/>
        <w:gridCol w:w="800"/>
        <w:gridCol w:w="60"/>
        <w:gridCol w:w="60"/>
        <w:gridCol w:w="60"/>
        <w:gridCol w:w="800"/>
        <w:gridCol w:w="60"/>
        <w:gridCol w:w="60"/>
        <w:gridCol w:w="60"/>
        <w:gridCol w:w="980"/>
        <w:gridCol w:w="60"/>
        <w:gridCol w:w="60"/>
        <w:gridCol w:w="103"/>
        <w:gridCol w:w="1387"/>
        <w:gridCol w:w="60"/>
        <w:gridCol w:w="60"/>
        <w:gridCol w:w="120"/>
        <w:gridCol w:w="1370"/>
        <w:gridCol w:w="60"/>
        <w:gridCol w:w="60"/>
        <w:gridCol w:w="60"/>
        <w:gridCol w:w="980"/>
        <w:gridCol w:w="60"/>
      </w:tblGrid>
      <w:tr>
        <w:trPr/>
        <w:tc>
          <w:tcPr>
            <w:tcW w:w="20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6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w:t>
              <w:b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Non-Equity</w:t>
              <w:br/>
              <w:t>Incentive Plan</w:t>
              <w:br/>
              <w:t>Compensation</w:t>
              <w:b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0" w:type="dxa"/>
            <w:tcBorders/>
            <w:vAlign w:val="bottom"/>
          </w:tcPr>
          <w:p>
            <w:pPr>
              <w:pStyle w:val="TableContents"/>
              <w:bidi w:val="0"/>
              <w:spacing w:before="0" w:after="283"/>
              <w:jc w:val="left"/>
              <w:rPr/>
            </w:pPr>
            <w:r>
              <w:rPr/>
              <w:t> </w:t>
            </w:r>
          </w:p>
        </w:tc>
      </w:tr>
      <w:tr>
        <w:trPr/>
        <w:tc>
          <w:tcPr>
            <w:tcW w:w="2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Paul Berns</w:t>
            </w:r>
          </w:p>
          <w:p>
            <w:pPr>
              <w:pStyle w:val="TableContents"/>
              <w:bidi w:val="0"/>
              <w:spacing w:before="0" w:after="20"/>
              <w:jc w:val="left"/>
              <w:rPr>
                <w:rFonts w:ascii="Times New Roman" w:hAnsi="Times New Roman"/>
                <w:sz w:val="20"/>
              </w:rPr>
            </w:pPr>
            <w:r>
              <w:rPr>
                <w:rFonts w:ascii="Times New Roman" w:hAnsi="Times New Roman"/>
                <w:sz w:val="20"/>
              </w:rPr>
              <w:t>Chief Executive Officer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2021</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520,000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13,000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387" w:type="dxa"/>
            <w:tcBorders/>
            <w:shd w:fill="CCEEFF" w:val="clear"/>
          </w:tcPr>
          <w:p>
            <w:pPr>
              <w:pStyle w:val="TableContents"/>
              <w:bidi w:val="0"/>
              <w:spacing w:before="0" w:after="283"/>
              <w:jc w:val="right"/>
              <w:rPr/>
            </w:pPr>
            <w:r>
              <w:rPr/>
              <w:t>247,000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pPr>
            <w:r>
              <w:rPr/>
              <w:t> </w:t>
            </w:r>
          </w:p>
        </w:tc>
        <w:tc>
          <w:tcPr>
            <w:tcW w:w="1370"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780,000</w:t>
            </w:r>
          </w:p>
        </w:tc>
        <w:tc>
          <w:tcPr>
            <w:tcW w:w="60" w:type="dxa"/>
            <w:tcBorders/>
            <w:shd w:fill="CCEEFF" w:val="clear"/>
          </w:tcPr>
          <w:p>
            <w:pPr>
              <w:pStyle w:val="TableContents"/>
              <w:bidi w:val="0"/>
              <w:spacing w:before="0" w:after="283"/>
              <w:jc w:val="left"/>
              <w:rPr/>
            </w:pPr>
            <w:r>
              <w:rPr/>
              <w:t> </w:t>
            </w:r>
          </w:p>
        </w:tc>
      </w:tr>
      <w:tr>
        <w:trPr>
          <w:trHeight w:val="75" w:hRule="atLeast"/>
        </w:trPr>
        <w:tc>
          <w:tcPr>
            <w:tcW w:w="20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2090" w:type="dxa"/>
            <w:tcBorders/>
          </w:tcPr>
          <w:p>
            <w:pPr>
              <w:pStyle w:val="TableContents"/>
              <w:bidi w:val="0"/>
              <w:spacing w:before="0" w:after="0"/>
              <w:jc w:val="left"/>
              <w:rPr>
                <w:rFonts w:ascii="Times New Roman" w:hAnsi="Times New Roman"/>
                <w:sz w:val="20"/>
              </w:rPr>
            </w:pPr>
            <w:r>
              <w:rPr>
                <w:rFonts w:ascii="Times New Roman" w:hAnsi="Times New Roman"/>
                <w:sz w:val="20"/>
              </w:rPr>
              <w:t>Lori Lyons-Williams</w:t>
            </w:r>
          </w:p>
          <w:p>
            <w:pPr>
              <w:pStyle w:val="TableContents"/>
              <w:bidi w:val="0"/>
              <w:spacing w:before="0" w:after="20"/>
              <w:jc w:val="left"/>
              <w:rPr>
                <w:rFonts w:ascii="Times New Roman" w:hAnsi="Times New Roman"/>
                <w:sz w:val="20"/>
              </w:rPr>
            </w:pPr>
            <w:r>
              <w:rPr>
                <w:rFonts w:ascii="Times New Roman" w:hAnsi="Times New Roman"/>
                <w:sz w:val="20"/>
              </w:rPr>
              <w:t>President and Chief Operating Officer</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0" w:type="dxa"/>
            <w:tcBorders/>
          </w:tcPr>
          <w:p>
            <w:pPr>
              <w:pStyle w:val="TableContents"/>
              <w:bidi w:val="0"/>
              <w:spacing w:before="0" w:after="283"/>
              <w:jc w:val="right"/>
              <w:rPr/>
            </w:pPr>
            <w:r>
              <w:rPr/>
              <w:t>2021</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0" w:type="dxa"/>
            <w:tcBorders/>
          </w:tcPr>
          <w:p>
            <w:pPr>
              <w:pStyle w:val="TableContents"/>
              <w:bidi w:val="0"/>
              <w:spacing w:before="0" w:after="283"/>
              <w:jc w:val="right"/>
              <w:rPr/>
            </w:pPr>
            <w:r>
              <w:rPr/>
              <w:t>352,273</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0"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2,457,692</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1387"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tcPr>
          <w:p>
            <w:pPr>
              <w:pStyle w:val="TableContents"/>
              <w:bidi w:val="0"/>
              <w:spacing w:before="0" w:after="283"/>
              <w:jc w:val="left"/>
              <w:rPr/>
            </w:pPr>
            <w:r>
              <w:rPr/>
              <w:t> </w:t>
            </w:r>
          </w:p>
        </w:tc>
        <w:tc>
          <w:tcPr>
            <w:tcW w:w="1370"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2,809,965</w:t>
            </w:r>
          </w:p>
        </w:tc>
        <w:tc>
          <w:tcPr>
            <w:tcW w:w="60" w:type="dxa"/>
            <w:tcBorders/>
          </w:tcPr>
          <w:p>
            <w:pPr>
              <w:pStyle w:val="TableContents"/>
              <w:bidi w:val="0"/>
              <w:spacing w:before="0" w:after="283"/>
              <w:jc w:val="left"/>
              <w:rPr/>
            </w:pPr>
            <w:r>
              <w:rPr/>
              <w:t> </w:t>
            </w:r>
          </w:p>
        </w:tc>
      </w:tr>
      <w:tr>
        <w:trPr>
          <w:trHeight w:val="75" w:hRule="atLeast"/>
        </w:trPr>
        <w:tc>
          <w:tcPr>
            <w:tcW w:w="20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2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Joshua Pinto, Ph.D. </w:t>
            </w:r>
          </w:p>
          <w:p>
            <w:pPr>
              <w:pStyle w:val="TableContents"/>
              <w:bidi w:val="0"/>
              <w:spacing w:before="0" w:after="20"/>
              <w:jc w:val="left"/>
              <w:rPr>
                <w:rFonts w:ascii="Times New Roman" w:hAnsi="Times New Roman"/>
                <w:sz w:val="20"/>
              </w:rPr>
            </w:pPr>
            <w:r>
              <w:rPr>
                <w:rFonts w:ascii="Times New Roman" w:hAnsi="Times New Roman"/>
                <w:sz w:val="20"/>
              </w:rPr>
              <w:t>Chief Financial Officer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2021</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262,500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510,000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2,388,353</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387" w:type="dxa"/>
            <w:tcBorders/>
            <w:shd w:fill="CCEEFF" w:val="clear"/>
          </w:tcPr>
          <w:p>
            <w:pPr>
              <w:pStyle w:val="TableContents"/>
              <w:bidi w:val="0"/>
              <w:spacing w:before="0" w:after="283"/>
              <w:jc w:val="right"/>
              <w:rPr/>
            </w:pPr>
            <w:r>
              <w:rPr/>
              <w:t>177,800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pPr>
            <w:r>
              <w:rPr/>
              <w:t> </w:t>
            </w:r>
          </w:p>
        </w:tc>
        <w:tc>
          <w:tcPr>
            <w:tcW w:w="1370" w:type="dxa"/>
            <w:tcBorders/>
            <w:shd w:fill="CCEEFF" w:val="clear"/>
          </w:tcPr>
          <w:p>
            <w:pPr>
              <w:pStyle w:val="TableContents"/>
              <w:bidi w:val="0"/>
              <w:spacing w:before="0" w:after="283"/>
              <w:jc w:val="right"/>
              <w:rPr/>
            </w:pPr>
            <w:r>
              <w:rPr/>
              <w:t>98,653</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3,437,306</w:t>
            </w:r>
          </w:p>
        </w:tc>
        <w:tc>
          <w:tcPr>
            <w:tcW w:w="60" w:type="dxa"/>
            <w:tcBorders/>
            <w:shd w:fill="CCEEFF" w:val="clea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Constitutes a discretionary bonus paid based on individual performance in 2021.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amounts reported represent the aggregate grant-date fair value of the stock options awarded to the NEOs in 2021, calculated in accordance with ASC Topic 718. The assumptions used in calculating the grant-date fair value of the options reported in this column will be included in the financial statements for the year ended December 31, 2021 that will be included in an amendment to this registration statement.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Annual cash incentive amounts for all NEOs were determined in January 2022, under our 2021 Bonus Plan, as described in the section below titled 2021 Bonuses.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2021 Salaries </w:t>
      </w:r>
    </w:p>
    <w:p>
      <w:pPr>
        <w:pStyle w:val="TextBody"/>
        <w:bidi w:val="0"/>
        <w:spacing w:before="120" w:after="0"/>
        <w:jc w:val="left"/>
        <w:rPr>
          <w:rFonts w:ascii="Times New Roman" w:hAnsi="Times New Roman"/>
          <w:sz w:val="20"/>
        </w:rPr>
      </w:pPr>
      <w:r>
        <w:rPr>
          <w:rFonts w:ascii="Times New Roman" w:hAnsi="Times New Roman"/>
          <w:sz w:val="20"/>
        </w:rPr>
        <w:t xml:space="preserve">Our NEOs each receive a base salary to compensate them for services rendered to our company. The base salary payable to each named executive officer is intended to provide a fixed component of compensation reflecting the executives skill set, experience, role and responsibilities.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2021, Mr. Berns, Ms. Lyons-Williams and Dr. Pinto had an annual base salary of $520,000, $500,000 and $450,000 respectively. Ms. Lyons-Williams and Dr. Pintos annual base salary was pro-rated for their partial employment with us commencing in April 2021 and June 2021,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January 2022, Mr. Berns annual base salary was increased to $570,000, and Dr. Pintos annual base salary was increased to $465,800.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and compensation committee may adjust base salaries from time to time in their discretion.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2021 Bonuses </w:t>
      </w:r>
    </w:p>
    <w:p>
      <w:pPr>
        <w:pStyle w:val="TextBody"/>
        <w:bidi w:val="0"/>
        <w:spacing w:before="120" w:after="0"/>
        <w:jc w:val="left"/>
        <w:rPr>
          <w:rFonts w:ascii="Times New Roman" w:hAnsi="Times New Roman"/>
          <w:sz w:val="20"/>
        </w:rPr>
      </w:pPr>
      <w:r>
        <w:rPr>
          <w:rFonts w:ascii="Times New Roman" w:hAnsi="Times New Roman"/>
          <w:sz w:val="20"/>
        </w:rPr>
        <w:t xml:space="preserve">We maintain an annual performance-based cash bonus program in which each of our NEOs participated in 2021. Each NEOs target bonus is expressed as a percentage of their annual base salary which can be achieved by meeting company and individual goals at target level. The 2021 annual bonuses for Mr. Berns, Ms. Lyons-Williams and Dr. Pinto were targeted at 50%, 45% and 40% of their respective base salaries. Our board of directors has historically reviewed these target percentages to ensure they are adequate, but does not follow a formula. Instead, our board of directors set these rates based on each NEOs experience in their role with us and the level of responsibility held by the NEO, which we believe directly correlates to their ability to influence corporate results. </w:t>
      </w:r>
    </w:p>
    <w:p>
      <w:pPr>
        <w:pStyle w:val="TextBody"/>
        <w:bidi w:val="0"/>
        <w:spacing w:before="240" w:after="0"/>
        <w:jc w:val="left"/>
        <w:rPr>
          <w:rFonts w:ascii="Times New Roman" w:hAnsi="Times New Roman"/>
          <w:sz w:val="20"/>
        </w:rPr>
      </w:pPr>
      <w:r>
        <w:rPr>
          <w:rFonts w:ascii="Times New Roman" w:hAnsi="Times New Roman"/>
          <w:sz w:val="20"/>
        </w:rPr>
        <w:t xml:space="preserve">For determining performance bonus amounts, our board of directors set certain corporate performance goals after receiving input from our Chief Executive Officer. Mr. Berns bonus is based 100% on the achievement of our corporate goals and Dr. Pintos bonus is based 75% on the achievement of our corporate goals and 25% on individual performance. In January 2022, our board of directors determined that the corporate goals for 2021 had been achieved at 95.0% and assessed Dr. Pintos individual performance at 110%. Our board of directors increased the amount payable to Mr. Berns to 100% of his target bonus opportunity based on its assessment of strong individual performance in 2021.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his commencement of his employment with us, in June 2021, we paid Dr. Pinto a one-time sign-on bonus of $608,653. The amount was calculated to provide Dr. Pinto with $160,000 on an after-tax basis, plus $350,000 on a pre-tax basis, in accordance with Dr. Pintos offer letter with us. The offer letter also provided that the net amount of the sign-on bonus (less any nonrefundable taxes paid by Dr. Pinto on the sign-on bonus) would have been required to have been repaid to us, had Dr. Pintos employment terminated prior to June 1, 2022 other than by us without cause or by Dr. Pinto for good reason. </w:t>
      </w:r>
    </w:p>
    <w:p>
      <w:pPr>
        <w:pStyle w:val="TextBody"/>
        <w:bidi w:val="0"/>
        <w:spacing w:before="240" w:after="0"/>
        <w:jc w:val="left"/>
        <w:rPr>
          <w:rFonts w:ascii="Times New Roman" w:hAnsi="Times New Roman"/>
          <w:sz w:val="20"/>
        </w:rPr>
      </w:pPr>
      <w:r>
        <w:rPr>
          <w:rFonts w:ascii="Times New Roman" w:hAnsi="Times New Roman"/>
          <w:sz w:val="20"/>
        </w:rPr>
        <w:t xml:space="preserve">The actual amounts paid to our named executive officers are set forth in the Summary Compensation Table above under the columns Bonus and Non-Equity Incentive Plan Compensation. </w:t>
      </w:r>
    </w:p>
    <w:p>
      <w:pPr>
        <w:pStyle w:val="TextBody"/>
        <w:bidi w:val="0"/>
        <w:spacing w:before="240" w:after="0"/>
        <w:jc w:val="left"/>
        <w:rPr>
          <w:rFonts w:ascii="Times New Roman" w:hAnsi="Times New Roman"/>
          <w:sz w:val="20"/>
        </w:rPr>
      </w:pPr>
      <w:r>
        <w:rPr>
          <w:rFonts w:ascii="Times New Roman" w:hAnsi="Times New Roman"/>
          <w:sz w:val="20"/>
        </w:rPr>
        <w:t xml:space="preserve">Mr. Berns target bonus opportunity increased to 55% for 2022, and Dr. Pintos target bonus opportunity remain unchanged for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April 2021, in connection with her commencement of employment, we granted Ms. Lyons-Williams an option to purchase 7,000,000 shares. The option vests as to 25% of the shares on each anniversary of April 19, 2021 (the date Ms. Lyons-Williams commenced employment with us), subject to Ms. Lyons-Williams continuing to provide services to us through such vesting date, except that 2,062,500 shares subject to the option were exercisable prior to vesting, subject to Ms. Lyons-Williams entering into a restricted stock purchase agreement for any such exercised shares. In July 2021, Ms. Lyons-Williams early exercised 1,750,000 shares, which became restricted stock. </w:t>
      </w:r>
    </w:p>
    <w:p>
      <w:pPr>
        <w:pStyle w:val="TextBody"/>
        <w:bidi w:val="0"/>
        <w:spacing w:before="240" w:after="0"/>
        <w:jc w:val="left"/>
        <w:rPr>
          <w:rFonts w:ascii="Times New Roman" w:hAnsi="Times New Roman"/>
          <w:sz w:val="20"/>
        </w:rPr>
      </w:pPr>
      <w:r>
        <w:rPr>
          <w:rFonts w:ascii="Times New Roman" w:hAnsi="Times New Roman"/>
          <w:sz w:val="20"/>
        </w:rPr>
        <w:t xml:space="preserve">In June 2021, in connection with his commencement of employment, we granted Dr. Pinto an option to purchase 7,500,000 shares that vests in two tranchesa service-based tranche comprised of 4,000,000 shares and a performance-based tranche comprised of 3,500,000 shares. The service-based tranche of the option vests as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25% on June 1, 2022 (the first anniversary of the date Dr. Pinto commenced employment with us) and as to 1/48th of the original number of shares underlying the option each month thereafter, subject to Dr. Pinto continuing to provide services to us through such vesting date. The performance-based tranche of the option vests upon attainment of certain stock price targets. 1,875,000 shares subject to the option were exercisable prior to vesting, subject to Dr. Pinto entering into a restricted stock purchase agreement for any such exercised shares. In June 2021, Dr. Pinto early exercised 1,875,000 shares, which became restricted stock. </w:t>
      </w:r>
    </w:p>
    <w:p>
      <w:pPr>
        <w:pStyle w:val="TextBody"/>
        <w:bidi w:val="0"/>
        <w:spacing w:before="240" w:after="0"/>
        <w:jc w:val="left"/>
        <w:rPr>
          <w:rFonts w:ascii="Times New Roman" w:hAnsi="Times New Roman"/>
          <w:sz w:val="20"/>
        </w:rPr>
      </w:pPr>
      <w:r>
        <w:rPr>
          <w:rFonts w:ascii="Times New Roman" w:hAnsi="Times New Roman"/>
          <w:sz w:val="20"/>
        </w:rPr>
        <w:t xml:space="preserve">In January 2022, our board of directors modified the performance goals applicable to the performance-based tranche of Dr. Pintos option such that 50% of the shares underlying the performance-based tranche will commence vesting upon the closing of this offering, with 50% of those shares vesting in 12 equal monthly installments and 50% of those shares vesting in 24 equal monthly installments, in each case, commencing on the closing of this offering. The remaining shares underlying the performance-based tranche become eligible to vest in two equal installments after achievement of two stock price goals, with the portion earned based on achievement vesting in equal monthly installments over the two years subsequent to achievement. </w:t>
      </w:r>
    </w:p>
    <w:p>
      <w:pPr>
        <w:pStyle w:val="TextBody"/>
        <w:bidi w:val="0"/>
        <w:spacing w:before="240" w:after="0"/>
        <w:jc w:val="left"/>
        <w:rPr>
          <w:rFonts w:ascii="Times New Roman" w:hAnsi="Times New Roman"/>
          <w:sz w:val="20"/>
        </w:rPr>
      </w:pPr>
      <w:r>
        <w:rPr>
          <w:rFonts w:ascii="Times New Roman" w:hAnsi="Times New Roman"/>
          <w:sz w:val="20"/>
        </w:rPr>
        <w:t xml:space="preserve">In January 2022, our board of directors granted each of Mr. Berns and Dr. Pinto an option to purchase 3,900,000 and 5,650,000 shares of our common stock, respectively, with an exercise price per share of $0.59, that vests as to 25% of the shares underlying the option on February 1, 2023 and as to 1/48th of the original number of shares underlying the option each month thereafter, subject to continued service to us through the vesting date.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we intend to adopt a 2022 Incentive Award Plan, referred to below as the 2022 Plan, in order to facilitate the grant of cash and equity incentives to directors, employees (including our NEOs) and consultants of our company and certain of its affiliates and to enable us to obtain and retain services of these individuals, which is essential to our long-term success. We expect that the 2022 Plan will be effective on the day prior to the first public trading date of our common stock, subject to approval of such plan by our stockholders. For additional information about the 2022 Plan, please see the section titled Equity Incentive Plans. </w:t>
      </w:r>
    </w:p>
    <w:p>
      <w:pPr>
        <w:pStyle w:val="TextBody"/>
        <w:bidi w:val="0"/>
        <w:spacing w:before="360" w:after="0"/>
        <w:jc w:val="left"/>
        <w:rPr>
          <w:rFonts w:ascii="Times New Roman" w:hAnsi="Times New Roman"/>
          <w:b/>
          <w:sz w:val="20"/>
        </w:rPr>
      </w:pPr>
      <w:r>
        <w:rPr>
          <w:rFonts w:ascii="Times New Roman" w:hAnsi="Times New Roman"/>
          <w:b/>
          <w:sz w:val="20"/>
        </w:rPr>
        <w:t xml:space="preserve">Other Elements of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Retirement Savings and Health and Welfare Benefits </w:t>
      </w:r>
    </w:p>
    <w:p>
      <w:pPr>
        <w:pStyle w:val="TextBody"/>
        <w:bidi w:val="0"/>
        <w:spacing w:before="120" w:after="0"/>
        <w:jc w:val="left"/>
        <w:rPr>
          <w:rFonts w:ascii="Times New Roman" w:hAnsi="Times New Roman"/>
          <w:sz w:val="20"/>
        </w:rPr>
      </w:pPr>
      <w:r>
        <w:rPr>
          <w:rFonts w:ascii="Times New Roman" w:hAnsi="Times New Roman"/>
          <w:sz w:val="20"/>
        </w:rPr>
        <w:t xml:space="preserve">We currently maintain a 401(k) retirement savings plan for our employees, including our named executive officers, who satisfy certain eligibility requirements. Our named executive officers are eligible to participate in the 401(k) plan on the same terms as other full-time employees. During 2021, there was no matching contribution under our 401(k) plan. </w:t>
      </w:r>
    </w:p>
    <w:p>
      <w:pPr>
        <w:pStyle w:val="TextBody"/>
        <w:bidi w:val="0"/>
        <w:spacing w:before="240" w:after="0"/>
        <w:jc w:val="left"/>
        <w:rPr>
          <w:rFonts w:ascii="Times New Roman" w:hAnsi="Times New Roman"/>
          <w:sz w:val="20"/>
        </w:rPr>
      </w:pPr>
      <w:r>
        <w:rPr>
          <w:rFonts w:ascii="Times New Roman" w:hAnsi="Times New Roman"/>
          <w:sz w:val="20"/>
        </w:rPr>
        <w:t xml:space="preserve">All of our full-time employees, including our NEOs, are eligible to participate in our health and welfare plans, including medical, dental and vision benefits; medical and dependent care flexible spending accounts; short-term and long-term disability insurance; and life and AD&amp;D insurance. Our NEOs are eligible for certain enhanced benefits under our executive-level medical insurance, life insurance and short-term and long-term disability insurance.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Perquisites and Other Personal Benefits </w:t>
      </w:r>
    </w:p>
    <w:p>
      <w:pPr>
        <w:pStyle w:val="TextBody"/>
        <w:bidi w:val="0"/>
        <w:spacing w:before="120" w:after="0"/>
        <w:jc w:val="left"/>
        <w:rPr>
          <w:rFonts w:ascii="Times New Roman" w:hAnsi="Times New Roman"/>
          <w:sz w:val="20"/>
        </w:rPr>
      </w:pPr>
      <w:r>
        <w:rPr>
          <w:rFonts w:ascii="Times New Roman" w:hAnsi="Times New Roman"/>
          <w:sz w:val="20"/>
        </w:rPr>
        <w:t xml:space="preserve">We did not provide any perquisites to our named executive officers during 2021, other than the tax gross-up provided to Dr. Pinto in connection with a portion of his sign-on bonus as described above under the section titled 2021 Bonuses. Our compensation committee may from time to time approve perquisites in the future when our compensation committee determines that they are necessary or advisable to fairly compensate or incentivize our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Outstanding Equity Awards at 2021 Year 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lists all outstanding equity awards held by our NEOs as of December 31, 2021. </w:t>
      </w:r>
    </w:p>
    <w:p>
      <w:pPr>
        <w:pStyle w:val="TextBody"/>
        <w:bidi w:val="0"/>
        <w:spacing w:before="0" w:after="0"/>
        <w:jc w:val="left"/>
        <w:rPr/>
      </w:pPr>
      <w:r>
        <w:rPr/>
        <w:t> </w:t>
      </w:r>
    </w:p>
    <w:tbl>
      <w:tblPr>
        <w:tblW w:w="14620" w:type="dxa"/>
        <w:jc w:val="center"/>
        <w:tblInd w:w="0" w:type="dxa"/>
        <w:tblLayout w:type="fixed"/>
        <w:tblCellMar>
          <w:top w:w="0" w:type="dxa"/>
          <w:left w:w="0" w:type="dxa"/>
          <w:bottom w:w="0" w:type="dxa"/>
          <w:right w:w="0" w:type="dxa"/>
        </w:tblCellMar>
      </w:tblPr>
      <w:tblGrid>
        <w:gridCol w:w="1460"/>
        <w:gridCol w:w="60"/>
        <w:gridCol w:w="1670"/>
        <w:gridCol w:w="60"/>
        <w:gridCol w:w="88"/>
        <w:gridCol w:w="1177"/>
        <w:gridCol w:w="60"/>
        <w:gridCol w:w="60"/>
        <w:gridCol w:w="83"/>
        <w:gridCol w:w="1362"/>
        <w:gridCol w:w="60"/>
        <w:gridCol w:w="60"/>
        <w:gridCol w:w="72"/>
        <w:gridCol w:w="1193"/>
        <w:gridCol w:w="60"/>
        <w:gridCol w:w="60"/>
        <w:gridCol w:w="105"/>
        <w:gridCol w:w="770"/>
        <w:gridCol w:w="60"/>
        <w:gridCol w:w="60"/>
        <w:gridCol w:w="1115"/>
        <w:gridCol w:w="60"/>
        <w:gridCol w:w="60"/>
        <w:gridCol w:w="980"/>
        <w:gridCol w:w="60"/>
        <w:gridCol w:w="60"/>
        <w:gridCol w:w="587"/>
        <w:gridCol w:w="588"/>
        <w:gridCol w:w="60"/>
        <w:gridCol w:w="60"/>
        <w:gridCol w:w="78"/>
        <w:gridCol w:w="1052"/>
        <w:gridCol w:w="60"/>
        <w:gridCol w:w="60"/>
        <w:gridCol w:w="330"/>
        <w:gridCol w:w="770"/>
        <w:gridCol w:w="60"/>
      </w:tblGrid>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190"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45" w:type="dxa"/>
            <w:gridSpan w:val="17"/>
            <w:tcBorders>
              <w:bottom w:val="single" w:sz="8" w:space="0" w:color="000000"/>
            </w:tcBorders>
            <w:tcMar>
              <w:bottom w:w="28" w:type="dxa"/>
            </w:tcMar>
            <w:vAlign w:val="bottom"/>
          </w:tcPr>
          <w:p>
            <w:pPr>
              <w:pStyle w:val="TableContents"/>
              <w:bidi w:val="0"/>
              <w:spacing w:before="0" w:after="283"/>
              <w:jc w:val="center"/>
              <w:rPr>
                <w:b/>
              </w:rPr>
            </w:pPr>
            <w:r>
              <w:rPr>
                <w:b/>
              </w:rPr>
              <w:t>Option Awards</w:t>
            </w:r>
          </w:p>
        </w:tc>
        <w:tc>
          <w:tcPr>
            <w:tcW w:w="60" w:type="dxa"/>
            <w:tcBorders/>
            <w:vAlign w:val="bottom"/>
          </w:tcPr>
          <w:p>
            <w:pPr>
              <w:pStyle w:val="TableContents"/>
              <w:bidi w:val="0"/>
              <w:spacing w:before="0" w:after="283"/>
              <w:jc w:val="left"/>
              <w:rPr/>
            </w:pPr>
            <w:r>
              <w:rPr/>
              <w:t> </w:t>
            </w:r>
          </w:p>
        </w:tc>
        <w:tc>
          <w:tcPr>
            <w:tcW w:w="23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Stock Awards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r>
      <w:tr>
        <w:trPr/>
        <w:tc>
          <w:tcPr>
            <w:tcW w:w="146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Name</w:t>
            </w:r>
          </w:p>
        </w:tc>
        <w:tc>
          <w:tcPr>
            <w:tcW w:w="60" w:type="dxa"/>
            <w:tcBorders/>
            <w:vAlign w:val="bottom"/>
          </w:tcPr>
          <w:p>
            <w:pPr>
              <w:pStyle w:val="TableContents"/>
              <w:bidi w:val="0"/>
              <w:spacing w:before="0" w:after="283"/>
              <w:jc w:val="left"/>
              <w:rPr/>
            </w:pPr>
            <w:r>
              <w:rPr/>
              <w:t> </w:t>
            </w:r>
          </w:p>
        </w:tc>
        <w:tc>
          <w:tcPr>
            <w:tcW w:w="1670" w:type="dxa"/>
            <w:tcBorders>
              <w:bottom w:val="single" w:sz="8" w:space="0" w:color="000000"/>
            </w:tcBorders>
            <w:tcMar>
              <w:bottom w:w="28" w:type="dxa"/>
            </w:tcMar>
            <w:vAlign w:val="bottom"/>
          </w:tcPr>
          <w:p>
            <w:pPr>
              <w:pStyle w:val="TableContents"/>
              <w:bidi w:val="0"/>
              <w:spacing w:before="0" w:after="283"/>
              <w:jc w:val="center"/>
              <w:rPr>
                <w:b/>
              </w:rPr>
            </w:pPr>
            <w:r>
              <w:rPr>
                <w:b/>
              </w:rPr>
              <w:t>Vesting</w:t>
              <w:br/>
              <w:t>Commencement</w:t>
              <w:br/>
              <w:t>Date</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b/>
              </w:rPr>
              <w:t>Number</w:t>
              <w:br/>
              <w:t>of Securities</w:t>
              <w:br/>
              <w:t>Underlying</w:t>
              <w:br/>
              <w:t>Unexercised</w:t>
              <w:br/>
              <w:t>Options</w:t>
              <w:br/>
              <w:t>Exercisable</w:t>
            </w:r>
            <w:r>
              <w:rPr/>
              <w:br/>
            </w: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br/>
              <w:t>Securities</w:t>
              <w:br/>
              <w:t>Underlying</w:t>
              <w:br/>
              <w:t>Unexercised</w:t>
              <w:br/>
              <w:t>Options</w:t>
              <w:br/>
              <w:t>Unexercisable</w:t>
            </w:r>
            <w:r>
              <w:rPr/>
              <w:br/>
            </w: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Incentive</w:t>
              <w:br/>
              <w:t>Plan</w:t>
              <w:br/>
              <w:t>Awards:</w:t>
              <w:br/>
              <w:t>Number of</w:t>
              <w:br/>
              <w:t>Securities</w:t>
              <w:br/>
              <w:t>Underlying</w:t>
              <w:br/>
              <w:t>Unexercised</w:t>
              <w:br/>
              <w:t>Unearned</w:t>
              <w:br/>
              <w:t>Options</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Exercise</w:t>
              <w:br/>
              <w:t>Price</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Shares</w:t>
              <w:br/>
              <w:t>That Have</w:t>
              <w:br/>
              <w:t>Not</w:t>
              <w:br/>
              <w:t>Vested</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w:t>
              <w:br/>
              <w:t>Value of</w:t>
              <w:br/>
              <w:t>Shares or</w:t>
              <w:br/>
              <w:t>Units of</w:t>
              <w:br/>
              <w:t>Shares that</w:t>
              <w:br/>
              <w:t>Have Not</w:t>
              <w:br/>
              <w:t>Vested as</w:t>
              <w:b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Incentive</w:t>
              <w:br/>
              <w:t>Plan</w:t>
              <w:br/>
              <w:t>Awards:</w:t>
              <w:br/>
              <w:t>Number of</w:t>
              <w:br/>
              <w:t>Unearned</w:t>
              <w:br/>
              <w:t>Shares,</w:t>
              <w:br/>
              <w:t>Units or</w:t>
              <w:br/>
              <w:t>Other</w:t>
              <w:br/>
              <w:t>Rights</w:t>
              <w:br/>
              <w:t>that have</w:t>
              <w:br/>
              <w:t>not Vested</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Equity</w:t>
              <w:br/>
              <w:t>Incentive</w:t>
              <w:br/>
              <w:t>Plan</w:t>
              <w:br/>
              <w:t>Awards:</w:t>
              <w:br/>
              <w:t>Market or</w:t>
              <w:br/>
              <w:t>Payout</w:t>
              <w:br/>
              <w:t>Value of</w:t>
              <w:br/>
              <w:t>Unearned</w:t>
              <w:br/>
              <w:t>Shares,</w:t>
              <w:br/>
              <w:t>Units or</w:t>
              <w:br/>
              <w:t>Other</w:t>
              <w:br/>
              <w:t>Rights</w:t>
              <w:br/>
              <w:t>that have</w:t>
              <w:br/>
              <w:t>not Vested</w:t>
            </w:r>
            <w:r>
              <w:rPr/>
              <w:br/>
            </w:r>
            <w:r>
              <w:rPr>
                <w:b/>
              </w:rPr>
              <w:t>($)(1)</w:t>
            </w:r>
          </w:p>
        </w:tc>
        <w:tc>
          <w:tcPr>
            <w:tcW w:w="60"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Paul Berns</w:t>
            </w:r>
          </w:p>
        </w:tc>
        <w:tc>
          <w:tcPr>
            <w:tcW w:w="60"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283"/>
              <w:jc w:val="center"/>
              <w:rPr/>
            </w:pPr>
            <w:r>
              <w:rPr/>
              <w:t>11/1/2018(2)</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536,520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159,506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1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9/7/2030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left"/>
              <w:rPr>
                <w:sz w:val="4"/>
                <w:szCs w:val="4"/>
              </w:rPr>
            </w:pPr>
            <w:r>
              <w:rPr>
                <w:sz w:val="4"/>
                <w:szCs w:val="4"/>
              </w:rPr>
            </w:r>
          </w:p>
        </w:tc>
        <w:tc>
          <w:tcPr>
            <w:tcW w:w="5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460" w:type="dxa"/>
            <w:tcBorders/>
          </w:tcPr>
          <w:p>
            <w:pPr>
              <w:pStyle w:val="TableContents"/>
              <w:bidi w:val="0"/>
              <w:spacing w:before="0" w:after="0"/>
              <w:jc w:val="left"/>
              <w:rPr>
                <w:rFonts w:ascii="Times New Roman" w:hAnsi="Times New Roman"/>
                <w:sz w:val="16"/>
              </w:rPr>
            </w:pPr>
            <w:r>
              <w:rPr>
                <w:rFonts w:ascii="Times New Roman" w:hAnsi="Times New Roman"/>
                <w:sz w:val="16"/>
              </w:rPr>
              <w:t>Lori Lyons-Williams</w:t>
            </w:r>
          </w:p>
        </w:tc>
        <w:tc>
          <w:tcPr>
            <w:tcW w:w="60"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center"/>
              <w:rPr/>
            </w:pPr>
            <w:r>
              <w:rPr/>
              <w:t>4/19/2021(3)</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312,500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4,937,500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11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0.32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4/22/2031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1,750,000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sz w:val="4"/>
                <w:szCs w:val="4"/>
              </w:rPr>
            </w:pPr>
            <w:r>
              <w:rPr>
                <w:sz w:val="4"/>
                <w:szCs w:val="4"/>
              </w:rPr>
            </w:r>
          </w:p>
        </w:tc>
        <w:tc>
          <w:tcPr>
            <w:tcW w:w="5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Joshua Pinto, Ph.D.</w:t>
            </w:r>
          </w:p>
        </w:tc>
        <w:tc>
          <w:tcPr>
            <w:tcW w:w="60"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283"/>
              <w:jc w:val="center"/>
              <w:rPr/>
            </w:pPr>
            <w:r>
              <w:rPr/>
              <w:t>6/1/2021(4)</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3,000,000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2,625,000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0.32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6/6/2031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left"/>
              <w:rPr>
                <w:sz w:val="4"/>
                <w:szCs w:val="4"/>
              </w:rPr>
            </w:pPr>
            <w:r>
              <w:rPr>
                <w:sz w:val="4"/>
                <w:szCs w:val="4"/>
              </w:rPr>
            </w:r>
          </w:p>
        </w:tc>
        <w:tc>
          <w:tcPr>
            <w:tcW w:w="5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875,000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Market value based on $             , the fair market value of our common stock as of December 31, 2021, as determined by our board of directors, less any repurchase price payable by us.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Option vests and becomes exercisable as to 25% of the underlying shares on the first anniversary of the vesting commencement date and as to 1/48th of the underlying shares on each monthly anniversary of the vesting commencement date thereafter, in each case, subject to continued service to us.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Option vests 25% of the underlying shares on the first anniversary of the vesting commencement date and as to 1/48th of the underlying shares on each monthly anniversary of the vesting commencement date thereafter, in each case, subject to continued service to us. The option was exercised in respect of 1,750,000 shares prior to vesting. The shares acquired prior to vesting are subject to a repurchase right in favor of us for $0.32 per share in the event the executive terminates employment prior to vesting. Exercised shares vest prior to shares that remain subject to the option.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4,000,000 shares underlying the option were subject to service-based vesting and 3,500,000 shares underlying the option were subject to performance-based vesting. The service-based portion of the option vests as to 25% of the underlying shares on the first anniversary of the vesting commencement date and as to 1/48th of the underlying shares on each monthly anniversary of the vesting commencement date thereafter, in each case, subject to continued service to us. The performance-based portion of the option is split into three tranches. The first tranche will become eligible to vest upon the closing of this offering, with 50% of the shares in the first tranche vesting in 12 equal monthly installments and 50% of the shares in the first tranche vesting in 24 equal monthly installments, in each case, commencing on the closing of this offering. The remaining two tranches will become eligible to vest upon achieving certain stock price goals and vest in 24 equal monthly installments commencing on the date of achievement. The option was exercised in respect of 1,875,000 shares prior to vesting, of which 1,000,000 shares were subject to service-based vesting and 875,000 shares were subject to performance-based vesting. The shares acquired prior to vesting are subject to a repurchase right in favor of us for $0.32 per share in the event the executive terminates employment prior to vesting. Exercised shares vest prior to shares that remain subject to the option.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Executive Compensation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offer letters and proprietary information and invention assignment agreements with each of our named executive officers. Each offer letter sets forth the title, base salary, target bonus opportunity and initial equity award for the executive and provides the executive with four months base salary and up to four months of continued healthcare coverage or COBRA reimbursements in the event the executives employment is terminated by us without cause or by the executive for good reason. In addition, Dr. Pintos offer letter provided for a sign-on bonus as described above under the title 2021 Bonuses and included a provision entitling Dr. Pinto to any better employment terms negotiated by any other executive directly reporting to our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In April 2022, we entered into new employment agreements with Mr. Berns and Dr. Pinto that superseded their prior offer letters. In addition to setting forth the title, base salary and target bonus opportunity for each executive, the employment agreements provide for the executive to receive severance in the event the executives employment with us is terminated by us without cause or by the executive for good reason, each as defined in the applicable employment agreement. In the event the qualifying termination occurs more than 3 months prior to or more than 18 months after a change in control, as defined in each employment agreement, Mr. Berns is entitled to receive 12 months continued base salary and up to 12 months of continued health-care coverage or COBRA reimbursements and Dr. Pinto is entitled to receive 9 months continued base salary and up to 9 months of continued healthcare coverage or COBRA reimbursements. In the event the qualifying termination occurs within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period beginning 3 months prior to and ending 18 months after a change in control, Mr. Berns is entitled to a lump sum payment of 12 months base salary and his target bonus opportunity, continued healthcare coverage or COBRA reimbursements for up to 18 months and full vesting acceleration of all equity awards, and Dr. Pinto is entitled to a lump sum payment of 12 months base salary and his target bonus opportunity, continued healthcare coverage or COBRA reimbursement for up to 12 months and full vesting acceleration of all equity awards. Each executive must provide a general release of claims in order to receive severance benefits. </w:t>
      </w:r>
    </w:p>
    <w:p>
      <w:pPr>
        <w:pStyle w:val="TextBody"/>
        <w:bidi w:val="0"/>
        <w:spacing w:before="240" w:after="0"/>
        <w:jc w:val="left"/>
        <w:rPr>
          <w:rFonts w:ascii="Times New Roman" w:hAnsi="Times New Roman"/>
          <w:sz w:val="20"/>
        </w:rPr>
      </w:pPr>
      <w:r>
        <w:rPr>
          <w:rFonts w:ascii="Times New Roman" w:hAnsi="Times New Roman"/>
          <w:sz w:val="20"/>
        </w:rPr>
        <w:t xml:space="preserve">In March 2022, in connection with Ms. Lyons-Williams termination of employment we entered into a transition and separation agreement with her pursuant to which Ms. Lyons-Williams continued to provide services to us as a direct report to our Chief Executive Officer through April 29, 2022. The transition and separation agreement also provided for Ms. Lyons-Williams to receive severance in the form of lump sum payment equal to the sum of 12 months of her annual base salary and a pro-rated target bonus for 2022, and up to 12 months of continued healthcare coverage or COBRA reimbursements. The transition and separation agreement required Ms. Lyons-Williams to execute a general release of claims against us in order to receive the severance benefits. </w:t>
      </w:r>
    </w:p>
    <w:p>
      <w:pPr>
        <w:pStyle w:val="TextBody"/>
        <w:bidi w:val="0"/>
        <w:spacing w:before="360" w:after="0"/>
        <w:jc w:val="left"/>
        <w:rPr>
          <w:rFonts w:ascii="Times New Roman" w:hAnsi="Times New Roman"/>
          <w:b/>
          <w:sz w:val="20"/>
        </w:rPr>
      </w:pPr>
      <w:r>
        <w:rPr>
          <w:rFonts w:ascii="Times New Roman" w:hAnsi="Times New Roman"/>
          <w:b/>
          <w:sz w:val="20"/>
        </w:rPr>
        <w:t xml:space="preserve">Equity Compensation Plans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the material terms of the long-term incentive compensation plan in which our named executive officers will be eligible to participate following the consummation of this offering and our 2020 Equity Incentive Plan (the 2020 Plan) and the Blackthorn Therapeutics, Inc. 2015 Equity Incentive Plan that we assumed in a transaction in 2020 (the 2015 Plan, and together with the 2020 Plan, the Prior Plans), under which we have previously made periodic grants of equity and equity-based awards to our named executive officers and other key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2022 Incentive Award Plan </w:t>
      </w:r>
    </w:p>
    <w:p>
      <w:pPr>
        <w:pStyle w:val="TextBody"/>
        <w:bidi w:val="0"/>
        <w:spacing w:before="120" w:after="0"/>
        <w:jc w:val="left"/>
        <w:rPr>
          <w:rFonts w:ascii="Times New Roman" w:hAnsi="Times New Roman"/>
          <w:sz w:val="20"/>
        </w:rPr>
      </w:pPr>
      <w:r>
        <w:rPr>
          <w:rFonts w:ascii="Times New Roman" w:hAnsi="Times New Roman"/>
          <w:sz w:val="20"/>
        </w:rPr>
        <w:t xml:space="preserve">We intend to adopt the 2022 Plan, which will be effective on the day prior to the first public trading date of our common stock. The principal purpose of the 2022 Plan is to attract, retain and motivate selected employees, consultants and directors through the granting of stock-based compensation awards and cash-based performance bonus awards. The material terms of the 2022 Plan, as it is currently contemplated, are summarized below. </w:t>
      </w:r>
    </w:p>
    <w:p>
      <w:pPr>
        <w:pStyle w:val="TextBody"/>
        <w:bidi w:val="0"/>
        <w:spacing w:before="240" w:after="0"/>
        <w:jc w:val="left"/>
        <w:rPr>
          <w:rFonts w:ascii="Times New Roman" w:hAnsi="Times New Roman"/>
          <w:sz w:val="20"/>
        </w:rPr>
      </w:pPr>
      <w:r>
        <w:rPr>
          <w:rFonts w:ascii="Times New Roman" w:hAnsi="Times New Roman"/>
          <w:i/>
          <w:sz w:val="20"/>
        </w:rPr>
        <w:t>Share Reserve.</w:t>
      </w:r>
      <w:r>
        <w:rPr>
          <w:rFonts w:ascii="Times New Roman" w:hAnsi="Times New Roman"/>
          <w:sz w:val="20"/>
        </w:rPr>
        <w:t xml:space="preserve"> Under the 2022 Plan,          shares of our common stock will be initially reserved for issuance pursuant to a variety of stock-based compensation awards, including stock options, stock appreciation rights, or SARs, restricted stock awards, restricted stock unit awards and other stock-based awards. The number of shares initially reserved for issuance or transfer pursuant to awards under the 2022 Plan will be increased by (i) the number of shares represented by awards outstanding under our Prior Plans, or Prior Plan Awards, that become available for issuance under the counting provisions described below following the effective date and (ii) an annual increase on each January 1 beginning in 2023 and ending in 2032, equal to the lesser of (A)         % of the shares of our common stock outstanding (on an as converted basis) on the immediately preceding December 31 and (B) such smaller number of shares of stock as determined by our board of directors; provided, however, that no more than          shares of stock may be issued upon the exercise of incentive stock options.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counting provisions will be in effect for the share reserve under the 2022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an award (including a Prior Plan Award) terminates, expires or lapses for any reason or an award is settled in cash without the delivery of shares, any shares subject to the award at such time will be available for future grants under the 2022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shares are tendered or withheld to satisfy the grant, exercise price or tax withholding obligation with respect to any award under the 2022 Plan or Prior Plan Award, such tendered or withheld shares will be available for future grants under the 2022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shares subject to stock appreciation rights are not issued in connection with the stock settlement of stock appreciation rights on exercise thereof, such shares will be available for future grants under the 2022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shares of our common stock are repurchased by us prior to vesting so that shares are returned to us, such shares will be available for future grants under the 2022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dividend equivalents in cash in conjunction with any outstanding awards or Prior Plan Awards will not be counted against the shares available for issuance under the 2022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2022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sum of the grant date fair value of all equity-based awards and the maximum that may become payable pursuant to all cash-based awards to any individual for services as a non-employee director during any calendar year may not exceed $            . </w:t>
      </w:r>
    </w:p>
    <w:p>
      <w:pPr>
        <w:pStyle w:val="TextBody"/>
        <w:bidi w:val="0"/>
        <w:spacing w:before="24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compensation committee of our board of directors is expected to administer the 2022 Plan unless our board of directors assumes authority for administration. The compensation committee must consist of at least three members of our board of directors, each of whom is intended to qualify as a non-employee director for purposes of Rule 16b-3 under the Exchange Act and an independent director within the meaning of the rules of the applicable stock exchange, or other principal securities market on which shares of our common stock are traded. The 2022 Plan provides that the board or compensation committee may delegate its authority to grant awards to employees other than executive officers and certain senior executives of the company to a committee consisting of one or more members of our board of directors or one or more of our officers, other than awards made to our non-employee directors, which must be approved by our full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the 2022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2022 Plan. The administrator is also authorized to adopt, amend or rescind rules relating to administration of the 2022 Plan. Our board of directors may at any time remove the compensation committee as the administrator and revest in itself the authority to administer the 2022 Plan. The full board of directors will administer the 2022 Plan with respect to awards to non-employee directors. </w:t>
      </w:r>
    </w:p>
    <w:p>
      <w:pPr>
        <w:pStyle w:val="TextBody"/>
        <w:bidi w:val="0"/>
        <w:spacing w:before="24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Options, SARs, restricted stock and all other stock-based and cash-based awards under the 2022 Plan may be granted to individuals who are then our officers, employees or consultants or are the officers, employees or consultants of certain of our subsidiaries. Such awards also may be granted to our directors. Only employees of our company or certain of our subsidiaries may be granted incentive stock options, or ISOs. </w:t>
      </w:r>
    </w:p>
    <w:p>
      <w:pPr>
        <w:pStyle w:val="TextBody"/>
        <w:bidi w:val="0"/>
        <w:spacing w:before="240" w:after="0"/>
        <w:jc w:val="left"/>
        <w:rPr>
          <w:rFonts w:ascii="Times New Roman" w:hAnsi="Times New Roman"/>
          <w:sz w:val="20"/>
        </w:rPr>
      </w:pPr>
      <w:r>
        <w:rPr>
          <w:rFonts w:ascii="Times New Roman" w:hAnsi="Times New Roman"/>
          <w:i/>
          <w:sz w:val="20"/>
        </w:rPr>
        <w:t>Awards</w:t>
      </w:r>
      <w:r>
        <w:rPr>
          <w:rFonts w:ascii="Times New Roman" w:hAnsi="Times New Roman"/>
          <w:sz w:val="20"/>
        </w:rPr>
        <w:t xml:space="preserve">. The 2022 Plan provides that the administrator may grant or issue stock options, SARs, restricted stock, restricted stock units, other stock- or cash-based awards and dividend equivalents, or any combination thereof. Each award will be set forth in a separate agreement with the person receiving the award and will indicate the type, terms and conditions of the award.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Nonstatutory Stock Options</w:t>
            </w:r>
            <w:r>
              <w:rPr>
                <w:rFonts w:ascii="Times New Roman" w:hAnsi="Times New Roman"/>
                <w:sz w:val="20"/>
              </w:rPr>
              <w:t xml:space="preserve">, or NSOs, will provide for the right to purchase shares of our common stock at a specified price which may not be 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Incentive Stock Options</w:t>
            </w:r>
            <w:r>
              <w:rPr>
                <w:rFonts w:ascii="Times New Roman" w:hAnsi="Times New Roman"/>
                <w:sz w:val="20"/>
              </w:rPr>
              <w:t xml:space="preserve">, or ISOs, will be designed in a manner intended to comply with the provisions of Section 422 of the Code, and will be subject to specified restrictions contained in the Code. Among such restrictions, ISOs must have an exercise price of not less than the fair market value of a share of common stock on the date of grant, may only be granted to employees, and must not be exercisable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a period of ten years measured from the date of grant. In the case of an ISO granted to an individual who owns (or is deemed to own) at least 10% of the total combined voting power of all classes of our capital stock, the 2022 Plan provides that the exercise price must be at least 110% of the fair market value of a share of common stock on the date of grant and the ISO must not be exercisable after a period of five years measured from the date of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Restricted Stock</w:t>
            </w:r>
            <w:r>
              <w:rPr>
                <w:rFonts w:ascii="Times New Roman" w:hAnsi="Times New Roman"/>
                <w:sz w:val="20"/>
              </w:rPr>
              <w:t xml:space="preserve"> may be granted to any eligible individual and made subject to such restrictions as may be determined by the administrator. 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Restricted Stock Units</w:t>
            </w:r>
            <w:r>
              <w:rPr>
                <w:rFonts w:ascii="Times New Roman" w:hAnsi="Times New Roman"/>
                <w:sz w:val="20"/>
              </w:rPr>
              <w:t xml:space="preserve"> may be awarded to any eligible individual, typically without payment of consideration, but subject to vesting conditions based on 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or SARs, may be granted in connection with stock options or other awards, or separately. SARs granted in connection with stock options or other awards typically will provide for payments to the holder based upon increases in the price of our common stock over a set exercise price. The exercise price of any SAR granted under the 2022 Plan must be at least 100% of the fair market value of a share of our common stock on the date of grant. SARs under the 2022 Plan will be settled in cash or shares of our common stock, or in a combination of both, at the election of the administrator.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Other Stock or Cash Based Awards</w:t>
            </w:r>
            <w:r>
              <w:rPr>
                <w:rFonts w:ascii="Times New Roman" w:hAnsi="Times New Roman"/>
                <w:sz w:val="20"/>
              </w:rPr>
              <w:t xml:space="preserve"> are awards of cash, fully vested shares of our common stock and other awards valued wholly or partially by referring to, or otherwise based on, shares of our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 based awards, which may include vesting conditions based on continued service, performance and/or other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Dividend Equivalents</w:t>
            </w:r>
            <w:r>
              <w:rPr>
                <w:rFonts w:ascii="Times New Roman" w:hAnsi="Times New Roman"/>
                <w:sz w:val="20"/>
              </w:rPr>
              <w:t xml:space="preserve"> represent the right to receive the equivalent value of dividends paid on shares of our common stock and may be granted alone or in tandem with awards other than stock options or SARs. Dividend equivalents are credited as of dividend payments dates during the period between a specified date and the date such award terminates or expires, as determined by the plan administrator. In addition, dividend equivalents with respect to shares covered by a performance award will only be paid to the participant at the same time or times and to the same extent that the vesting conditions, if any, are subsequently satisfied and the performance award vests with respect to such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award may be granted as a performance award, meaning that the award will be subject to vesting and/or payment based on the attainment of specified performance goals. </w:t>
      </w:r>
    </w:p>
    <w:p>
      <w:pPr>
        <w:pStyle w:val="TextBody"/>
        <w:bidi w:val="0"/>
        <w:spacing w:before="240" w:after="0"/>
        <w:jc w:val="left"/>
        <w:rPr>
          <w:rFonts w:ascii="Times New Roman" w:hAnsi="Times New Roman"/>
          <w:sz w:val="20"/>
        </w:rPr>
      </w:pPr>
      <w:r>
        <w:rPr>
          <w:rFonts w:ascii="Times New Roman" w:hAnsi="Times New Roman"/>
          <w:i/>
          <w:sz w:val="20"/>
        </w:rPr>
        <w:t>Change in Control</w:t>
      </w:r>
      <w:r>
        <w:rPr>
          <w:rFonts w:ascii="Times New Roman" w:hAnsi="Times New Roman"/>
          <w:sz w:val="20"/>
        </w:rPr>
        <w:t xml:space="preserve">. In the event of a change in control, unless the plan administrator elects to terminate an award in exchange for cash, rights or 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The administrator may also make appropriate adjustments to awards under the 2022 Plan and is authorized to provide for the acceleration, cash-out, termination, assumption, substitution or conversion of such awards in the event of a change in control or certain other unusual or nonrecurring events or transactions. </w:t>
      </w:r>
    </w:p>
    <w:p>
      <w:pPr>
        <w:pStyle w:val="TextBody"/>
        <w:bidi w:val="0"/>
        <w:spacing w:before="240" w:after="0"/>
        <w:jc w:val="left"/>
        <w:rPr>
          <w:rFonts w:ascii="Times New Roman" w:hAnsi="Times New Roman"/>
          <w:sz w:val="20"/>
        </w:rPr>
      </w:pPr>
      <w:r>
        <w:rPr>
          <w:rFonts w:ascii="Times New Roman" w:hAnsi="Times New Roman"/>
          <w:i/>
          <w:sz w:val="20"/>
        </w:rPr>
        <w:t>Adjustments of Awards</w:t>
      </w:r>
      <w:r>
        <w:rPr>
          <w:rFonts w:ascii="Times New Roman" w:hAnsi="Times New Roman"/>
          <w:sz w:val="20"/>
        </w:rPr>
        <w:t xml:space="preserve">. In the event of any stock dividend or other distribution, stock split, reverse stock split, reorganization, combination or exchange of shares, merger, consolidation, split-up, spin-off, recapitalization, repurchase or any other corporate event affecting the number of outstanding shares of our common stock or the share price of our common stock that would require adjustments to the 2022 Plan or any awards under the 2022 Plan in order to prevent the dilution or enlargement of the potential benefits intended to be made available thereunder, the administrator will make appropriate, proportionate adjustments to: (i) the aggregate number and type of shares subject to the 2022 Plan;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2022 Plan. </w:t>
      </w:r>
    </w:p>
    <w:p>
      <w:pPr>
        <w:pStyle w:val="TextBody"/>
        <w:bidi w:val="0"/>
        <w:spacing w:before="240" w:after="0"/>
        <w:jc w:val="left"/>
        <w:rPr>
          <w:rFonts w:ascii="Times New Roman" w:hAnsi="Times New Roman"/>
          <w:sz w:val="20"/>
        </w:rPr>
      </w:pPr>
      <w:r>
        <w:rPr>
          <w:rFonts w:ascii="Times New Roman" w:hAnsi="Times New Roman"/>
          <w:i/>
          <w:sz w:val="20"/>
        </w:rPr>
        <w:t>Amendment and Termination</w:t>
      </w:r>
      <w:r>
        <w:rPr>
          <w:rFonts w:ascii="Times New Roman" w:hAnsi="Times New Roman"/>
          <w:sz w:val="20"/>
        </w:rPr>
        <w:t xml:space="preserve">. The administrator may terminate, amend or modify the 2022 Plan at any time and from time to time. However, we must generally obtain stockholder approval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No incentive stock options may be granted pursuant to the 2022 Plan after the tenth anniversary of the effective date of the 2022 Plan, and no additional annual share increases to the 2022 Plans aggregate share limit will occur from and after such anniversary. Any award that is outstanding on the termination date of the 2022 Plan will remain in force according to the terms of the 2022 Plan and the applicable award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2020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We currently maintain the 2020 Plan, which was adopted by our board of directors in January 2020. We have previously granted stock options to our NEOs under the 2020 Plan, as described in more detail above. The principal purpose of the 2020 Plan is to is to enhance our ability to attract, retain and motivate persons who make (or are expected to make) important contributions to us by providing them with equity ownership opportunities.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this offering, we will not make any further grants under the 2020 Plan. However, the 2020 Plan will continue to govern the terms and conditions of the outstanding awards granted under the 2020 Plan which, as of the date of this prospectus, constitute          outstanding stock options and          restricted stock awards. </w:t>
      </w:r>
    </w:p>
    <w:p>
      <w:pPr>
        <w:pStyle w:val="TextBody"/>
        <w:bidi w:val="0"/>
        <w:spacing w:before="24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The 2020 Plan provides for the grant of non-qualified options, restricted stock, restricted stock units or other stock-based awards to employees, non-employee members of the board of directors and consultants. The 2020 Plan provides for the grant of ISOs to employees. </w:t>
      </w:r>
    </w:p>
    <w:p>
      <w:pPr>
        <w:pStyle w:val="TextBody"/>
        <w:bidi w:val="0"/>
        <w:spacing w:before="240" w:after="0"/>
        <w:jc w:val="left"/>
        <w:rPr>
          <w:rFonts w:ascii="Times New Roman" w:hAnsi="Times New Roman"/>
          <w:sz w:val="20"/>
        </w:rPr>
      </w:pPr>
      <w:r>
        <w:rPr>
          <w:rFonts w:ascii="Times New Roman" w:hAnsi="Times New Roman"/>
          <w:i/>
          <w:sz w:val="20"/>
        </w:rPr>
        <w:t>Share Reserve.</w:t>
      </w:r>
      <w:r>
        <w:rPr>
          <w:rFonts w:ascii="Times New Roman" w:hAnsi="Times New Roman"/>
          <w:sz w:val="20"/>
        </w:rPr>
        <w:t xml:space="preserve"> We have reserved an aggregate of          shares of our common stock for issuance under the 2020 Plan. As of December 31, 2021, options to purchase a total of          shares of our common stock were issued and outstanding, a total of          shares of common stock had been issued upon the exercise of options or pursuant to other awards granted under the 2020 Plan and were outstanding, and          shares remained available for future grants. </w:t>
      </w:r>
    </w:p>
    <w:p>
      <w:pPr>
        <w:pStyle w:val="TextBody"/>
        <w:bidi w:val="0"/>
        <w:spacing w:before="24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Our board of directors or a committee appointed by our board of directors administers the 2020 Plan. The administrator has the authority to select the service providers to whom equity awards will be granted under the 2020 Plan, the number of shares to be subject to those awards under the 2020 Plan, and the terms and conditions of the awards granted. In addition, the administrator has the authority to construe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interpret the 2020 Plan and to adopt rules for the administration, interpretation and application of the 2020 Plan that are consistent with the terms of the 2020 Plan. </w:t>
      </w:r>
    </w:p>
    <w:p>
      <w:pPr>
        <w:pStyle w:val="TextBody"/>
        <w:bidi w:val="0"/>
        <w:spacing w:before="240" w:after="0"/>
        <w:jc w:val="left"/>
        <w:rPr>
          <w:rFonts w:ascii="Times New Roman" w:hAnsi="Times New Roman"/>
          <w:sz w:val="20"/>
        </w:rPr>
      </w:pPr>
      <w:r>
        <w:rPr>
          <w:rFonts w:ascii="Times New Roman" w:hAnsi="Times New Roman"/>
          <w:i/>
          <w:sz w:val="20"/>
        </w:rPr>
        <w:t xml:space="preserve">Awards. </w:t>
      </w:r>
      <w:r>
        <w:rPr>
          <w:rFonts w:ascii="Times New Roman" w:hAnsi="Times New Roman"/>
          <w:sz w:val="20"/>
        </w:rPr>
        <w:t xml:space="preserve">The 2020 Plan provides that the administrator may grant or issue stock options, restricted stock, restricted stock units or stock awards, or any combination thereof. Each award will be set forth in a separate agreement with the person receiving the award and will indicate the type, terms and conditions of the award.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NSOs will provide for the right to purchase shares of our common stock at a specified price which shall be not less than fair market value on the date of grant, and usually will become exercisable (at the discretion of the administrator) in one or more installments after the grant date, subject to the participants continued employment or service with us. NSOs may be granted for any term specified by the administrator, but in no event more than 10 years after they are granted.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ISOs will be designed in a manner intended to comply with the provisions of Section 422 of the Code, and will be subject to specified restrictions contained in the Code. Among such restrictions, ISOs must have an exercise price of not less than the fair market value of a share of common stock on the date of grant (or 110% for an individual who owns (or is deemed to own) more than 10% of the total combined voting power of all classes of our capital stock), may only be granted to employees, and must not be exercisable after a period of ten years measured from the date of grant (or five years for an individual who owns (or is deemed to own) more than 10% of the total combined voting power of all classes of our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Restricted Stock may be granted to any eligible individual and made subject to such restrictions as may be determined by the administrator, including whether there is any purchase price. 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Recipients of restricted stock awards will generally have rights equivalent to those of a stockholder with respect to such shares upon grant without regard to vesting.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Restricted stock units are units representing an amount equal to the fair market value of one share of our common stock. The administrator determines the terms and conditions of restricted stock units including the vesting criteria, which may include accomplishing specified performance criteria or continued service to us, and the form and timing of payment. Notwithstanding the foregoing, the administrator, in its sole discretion may accelerate the time at which any restrictions will lapse or be removed.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Awards are awards of shares of our common stock and other awards valued wholly or partially by referring to, or otherwise based on, shares of our common stock. Stock awards may be granted to participants as standalone payments and as payment in lieu of base salary, bonus, fees or other cash compensation otherwise payable to any individual who is eligible to receive awards. The plan administrator will determine the terms and conditions of stock awards. </w:t>
            </w:r>
          </w:p>
        </w:tc>
      </w:tr>
    </w:tbl>
    <w:p>
      <w:pPr>
        <w:pStyle w:val="TextBody"/>
        <w:bidi w:val="0"/>
        <w:spacing w:before="240" w:after="0"/>
        <w:jc w:val="left"/>
        <w:rPr>
          <w:rFonts w:ascii="Times New Roman" w:hAnsi="Times New Roman"/>
          <w:sz w:val="20"/>
        </w:rPr>
      </w:pPr>
      <w:r>
        <w:rPr>
          <w:rFonts w:ascii="Times New Roman" w:hAnsi="Times New Roman"/>
          <w:i/>
          <w:sz w:val="20"/>
        </w:rPr>
        <w:t>Transfer.</w:t>
      </w:r>
      <w:r>
        <w:rPr>
          <w:rFonts w:ascii="Times New Roman" w:hAnsi="Times New Roman"/>
          <w:sz w:val="20"/>
        </w:rPr>
        <w:t xml:space="preserve"> A participant may not transfer stock awards under our 2020 Plan other than by will, the laws of descent and distribution, or as otherwise provided under our 2020 Plan. </w:t>
      </w:r>
    </w:p>
    <w:p>
      <w:pPr>
        <w:pStyle w:val="TextBody"/>
        <w:bidi w:val="0"/>
        <w:spacing w:before="240" w:after="0"/>
        <w:jc w:val="left"/>
        <w:rPr>
          <w:rFonts w:ascii="Times New Roman" w:hAnsi="Times New Roman"/>
          <w:sz w:val="20"/>
        </w:rPr>
      </w:pPr>
      <w:r>
        <w:rPr>
          <w:rFonts w:ascii="Times New Roman" w:hAnsi="Times New Roman"/>
          <w:i/>
          <w:sz w:val="20"/>
        </w:rPr>
        <w:t>Certain Events.</w:t>
      </w:r>
      <w:r>
        <w:rPr>
          <w:rFonts w:ascii="Times New Roman" w:hAnsi="Times New Roman"/>
          <w:sz w:val="20"/>
        </w:rPr>
        <w:t xml:space="preserve"> In the event of any dividend or other distribution, reorganization, merger, consolidation, combination, repurchase, recapitalization, liquidation, dissolution, or sale, transfer, exchange or other disposition of all or substantially all of the assets of the Company, or sale of exchange of our common stock or other securities, issuance of warrants or other rights to purchase common stock, or any other corporate transaction or event affecting the common stock that would require adjustments to the 2020 Plan or any awards under the 2020 Plan in order to prevent the dilution or enlargement of the potential benefits intended to be made available thereunder, the administrator will make appropriate, proportionate adjustments to: (i) the aggregate number and kind of shares with respect to which awards may be granted or awarded under the 2020 Plan; (ii) the number and kind of shares subject to outstanding awards and terms and conditions of outstanding awards (including,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limitation, any applicable performance targets or criteria with respect to such awards); and (iii) the grant or exercise price per share of any outstanding awards under the 2020 Plan.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any transaction or event described above (including any change in control), the administrator may make appropriate adjustments to awards under the 2020 Plan and is authorized to provide for the acceleration, cash-out, termination, assumption, substitution or conversion of such awards in the event of a change in control or certain other unusual or nonrecurring events or transactions or to comply with changes in applicable laws or accounting principles. </w:t>
      </w:r>
    </w:p>
    <w:p>
      <w:pPr>
        <w:pStyle w:val="TextBody"/>
        <w:bidi w:val="0"/>
        <w:spacing w:before="240" w:after="0"/>
        <w:jc w:val="left"/>
        <w:rPr>
          <w:rFonts w:ascii="Times New Roman" w:hAnsi="Times New Roman"/>
          <w:sz w:val="20"/>
        </w:rPr>
      </w:pPr>
      <w:r>
        <w:rPr>
          <w:rFonts w:ascii="Times New Roman" w:hAnsi="Times New Roman"/>
          <w:i/>
          <w:sz w:val="20"/>
        </w:rPr>
        <w:t>Amendment; Termination.</w:t>
      </w:r>
      <w:r>
        <w:rPr>
          <w:rFonts w:ascii="Times New Roman" w:hAnsi="Times New Roman"/>
          <w:sz w:val="20"/>
        </w:rPr>
        <w:t xml:space="preserve"> Our board of directors may amend or terminate the 2020 Plan or any portion thereof at any time; an amendment of the 2020 Plan shall be subject to the approval of our stockholders only to the extent required by applicable laws. As described above, the 2020 Plan will terminate when the 2022 Plan is effective. No awards may be granted under our 2020 Plan after it is terminated.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Blackthorn Therapeutics, Inc. 2015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We previously had assumed the 2015 Plan as part of a transaction involving the acquisition of BlackThorn Therapeutics, Inc. in 2020. We have previously granted stock options to Mr. Berns under the 2015 Plan, as described in more detail above. The principal purpose of the 2015 Plan is to enhance our ability to attract, retain and motivate persons who make (or are expected to make) important contributions to us by providing them with equity ownership opportunities. </w:t>
      </w:r>
    </w:p>
    <w:p>
      <w:pPr>
        <w:pStyle w:val="TextBody"/>
        <w:bidi w:val="0"/>
        <w:spacing w:before="240" w:after="0"/>
        <w:jc w:val="left"/>
        <w:rPr>
          <w:rFonts w:ascii="Times New Roman" w:hAnsi="Times New Roman"/>
          <w:sz w:val="20"/>
        </w:rPr>
      </w:pPr>
      <w:r>
        <w:rPr>
          <w:rFonts w:ascii="Times New Roman" w:hAnsi="Times New Roman"/>
          <w:sz w:val="20"/>
        </w:rPr>
        <w:t xml:space="preserve">The 2015 Plan was suspended in connection with the closing of the acquisition of BlackThorn in September 2020, and we will not make any further grants under the 2015 Plan. However, the 2015 Plan will continue to govern the terms and conditions of the outstanding awards granted under the 2015 Plan which, as of the date of this prospectus, constitute          outstanding stock options and          restricted stock awards. </w:t>
      </w:r>
    </w:p>
    <w:p>
      <w:pPr>
        <w:pStyle w:val="TextBody"/>
        <w:bidi w:val="0"/>
        <w:spacing w:before="24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The 2015 Plan provides for the grant of non-qualified options, restricted stock, restricted stock units or other stock-based awards to employees, non-employee members of the board of directors and consultants. The 2015 Plan provides for the grant of ISOs to employees. </w:t>
      </w:r>
    </w:p>
    <w:p>
      <w:pPr>
        <w:pStyle w:val="TextBody"/>
        <w:bidi w:val="0"/>
        <w:spacing w:before="240" w:after="0"/>
        <w:jc w:val="left"/>
        <w:rPr>
          <w:rFonts w:ascii="Times New Roman" w:hAnsi="Times New Roman"/>
          <w:sz w:val="20"/>
        </w:rPr>
      </w:pPr>
      <w:r>
        <w:rPr>
          <w:rFonts w:ascii="Times New Roman" w:hAnsi="Times New Roman"/>
          <w:i/>
          <w:sz w:val="20"/>
        </w:rPr>
        <w:t>Share Reserve.</w:t>
      </w:r>
      <w:r>
        <w:rPr>
          <w:rFonts w:ascii="Times New Roman" w:hAnsi="Times New Roman"/>
          <w:sz w:val="20"/>
        </w:rPr>
        <w:t xml:space="preserve"> We have reserved an aggregate of          shares of our common stock for issuance under the 2015 Plan. As of December 31, 2021, options to purchase a total of          shares of our common stock were issued and outstanding, a total of          shares of common stock had been issued upon the exercise of options or pursuant to other awards granted under the 2015 Plan and were outstanding, and          shares remained available for future grants. </w:t>
      </w:r>
    </w:p>
    <w:p>
      <w:pPr>
        <w:pStyle w:val="TextBody"/>
        <w:bidi w:val="0"/>
        <w:spacing w:before="24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Our board of directors or a committee appointed by our board of directors administers the 2015 Plan. The administrator has the authority to select the service providers to whom equity awards will be granted under the 2015 Plan, the number of shares to be subject to those awards under the 2015 Plan, and the terms and conditions of the awards granted. In addition, the administrator has the authority to construe and interpret the 2015 Plan and to adopt rules for the administration, interpretation and application of the 2015 Plan that are consistent with the terms of the 2015 Plan. </w:t>
      </w:r>
    </w:p>
    <w:p>
      <w:pPr>
        <w:pStyle w:val="TextBody"/>
        <w:bidi w:val="0"/>
        <w:spacing w:before="240" w:after="0"/>
        <w:jc w:val="left"/>
        <w:rPr>
          <w:rFonts w:ascii="Times New Roman" w:hAnsi="Times New Roman"/>
          <w:sz w:val="20"/>
        </w:rPr>
      </w:pPr>
      <w:r>
        <w:rPr>
          <w:rFonts w:ascii="Times New Roman" w:hAnsi="Times New Roman"/>
          <w:i/>
          <w:sz w:val="20"/>
        </w:rPr>
        <w:t xml:space="preserve">Awards. </w:t>
      </w:r>
      <w:r>
        <w:rPr>
          <w:rFonts w:ascii="Times New Roman" w:hAnsi="Times New Roman"/>
          <w:sz w:val="20"/>
        </w:rPr>
        <w:t xml:space="preserve">The 2015 Plan provides that the administrator may grant or issue stock options, restricted stock, restricted stock units or stock awards, or any combination thereof. Each award will be set forth in a separate agreement with the person receiving the award and will indicate the type, terms and conditions of the award.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NSOs will provide for the right to purchase shares of our common stock at a specified price which shall be not less than fair market value on the date of grant, and usually will become exercisable (at the discretion of the administrator) in one or more installments after the grant date, subject to the participants continued employment or service with us. NSOs may be granted for any term specified by the administrator, but in no event more than 10 years after they are granted.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ISOs will be designed in a manner intended to comply with the provisions of Section 422 of the Code, and will be subject to specified restrictions contained in the Code. Among such restrictions, ISOs must have an exercise price of not less than the fair market value of a share of common stock on the date of grant (or 110% for an individual who owns (or is deemed to own) more than 10% of the total combined voting power of all classes of our capital stock), may only be granted to employees, and must not be exercisable after a period of ten years measured from the date of grant (or five years for an individual who owns (or is deemed to own) more than 10% of the total combined voting power of all classes of our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Restricted Stock may be granted to any eligible individual and made subject to such restrictions as may be determined by the administrator, including whether there is any purchase price. 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Recipients of restricted stock awards will generally have rights equivalent to those of a stockholder with respect to such shares upon grant without regard to vesting.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Restricted stock units are units representing an amount equal to the fair market value of one share of our common stock. The administrator determines the terms and conditions of restricted stock units including the vesting criteria, which may include accomplishing specified performance criteria or continued service to us, and the form and timing of payment. Notwithstanding the foregoing, the administrator, in its sole discretion may accelerate the time at which any restrictions will lapse or be removed.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Awards are awards of shares of our common stock and other awards valued wholly or partially by referring to, or otherwise based on, shares of our common stock. Stock awards may be granted to participants as standalone payments and as payment in lieu of base salary, bonus, fees or other cash compensation otherwise payable to any individual who is eligible to receive awards. The plan administrator will determine the terms and conditions of stock awards. </w:t>
            </w:r>
          </w:p>
        </w:tc>
      </w:tr>
    </w:tbl>
    <w:p>
      <w:pPr>
        <w:pStyle w:val="TextBody"/>
        <w:bidi w:val="0"/>
        <w:spacing w:before="240" w:after="0"/>
        <w:jc w:val="left"/>
        <w:rPr>
          <w:rFonts w:ascii="Times New Roman" w:hAnsi="Times New Roman"/>
          <w:sz w:val="20"/>
        </w:rPr>
      </w:pPr>
      <w:r>
        <w:rPr>
          <w:rFonts w:ascii="Times New Roman" w:hAnsi="Times New Roman"/>
          <w:i/>
          <w:sz w:val="20"/>
        </w:rPr>
        <w:t>Transfer.</w:t>
      </w:r>
      <w:r>
        <w:rPr>
          <w:rFonts w:ascii="Times New Roman" w:hAnsi="Times New Roman"/>
          <w:sz w:val="20"/>
        </w:rPr>
        <w:t xml:space="preserve"> A participant may not transfer stock awards under our 2015 Plan other than by will, the laws of descent and distribution, or as otherwise provided under our 2015 Plan. </w:t>
      </w:r>
    </w:p>
    <w:p>
      <w:pPr>
        <w:pStyle w:val="TextBody"/>
        <w:bidi w:val="0"/>
        <w:spacing w:before="240" w:after="0"/>
        <w:jc w:val="left"/>
        <w:rPr>
          <w:rFonts w:ascii="Times New Roman" w:hAnsi="Times New Roman"/>
          <w:sz w:val="20"/>
        </w:rPr>
      </w:pPr>
      <w:r>
        <w:rPr>
          <w:rFonts w:ascii="Times New Roman" w:hAnsi="Times New Roman"/>
          <w:i/>
          <w:sz w:val="20"/>
        </w:rPr>
        <w:t>Certain Events.</w:t>
      </w:r>
      <w:r>
        <w:rPr>
          <w:rFonts w:ascii="Times New Roman" w:hAnsi="Times New Roman"/>
          <w:sz w:val="20"/>
        </w:rPr>
        <w:t xml:space="preserve"> In the event of any dividend or other distribution, reorganization, merger, consolidation, combination, repurchase, recapitalization, liquidation, dissolution, or sale, transfer, exchange or other disposition of all or substantially all of the assets of the Company, or sale of exchange of our common stock or other securities, issuance of warrants or other rights to purchase common stock, or any other corporate transaction or event affecting the common stock that would require adjustments to the 2015 Plan or any awards under the 2015 Plan in order to prevent the dilution or enlargement of the potential benefits intended to be made available thereunder, the administrator will make appropriate, proportionate adjustments to: (i) the aggregate number and kind of shares with respect to which awards may be granted or awarded under the 2015 Plan;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2015 Plan.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any transaction or event described above (including any change in control), the administrator may make appropriate adjustments to awards under the 2015 Plan and is authorized to provide for the acceleration, cash-out, termination, assumption, substitution or conversion of such awards in the event of a change in control or certain other unusual or nonrecurring events or transactions or to comply with changes in applicable laws or accounting principles. In the event a change in control occurs and the successor corporation refuses to assume or substitute for outstanding awards under the 2015 Plan, then the vesting of such awards (if held by a current service provider) will be fully accelerated immediately prior to the closing of such change in control, and such awards will terminate upon expiration of such period in exchange for a cash payment similar to holders of common stock in the transaction determined by reference to the number of shares subject to such awards and net of any applicable exercise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Amendment; Termination.</w:t>
      </w:r>
      <w:r>
        <w:rPr>
          <w:rFonts w:ascii="Times New Roman" w:hAnsi="Times New Roman"/>
          <w:sz w:val="20"/>
        </w:rPr>
        <w:t xml:space="preserve"> Our board of directors has the authority to amend, suspend or terminate our 2015 Plan, provided that such action is approved by our stockholders to the extent stockholder approval is necessary. As described above, our 2015 Plan was suspended in connection with the closing of the acquisition of BlackThorn in September 2020.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2022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We intend to adopt and ask our stockholders to approve the 2022 Employee Stock Purchase Plan, which we refer to as our ESPP, which will be effective upon the day prior to the first public trading date of our common stock. The ESPP is designed to allow our eligible employees to purchase shares of our common stock, at semi-annual intervals, with their accumulated payroll deductions. The ESPP is intended to qualify under Section 423 of the Code. The material terms of the ESPP, as it is currently contemplated, are summarized below. </w:t>
      </w:r>
    </w:p>
    <w:p>
      <w:pPr>
        <w:pStyle w:val="TextBody"/>
        <w:bidi w:val="0"/>
        <w:spacing w:before="240" w:after="0"/>
        <w:jc w:val="left"/>
        <w:rPr>
          <w:rFonts w:ascii="Times New Roman" w:hAnsi="Times New Roman"/>
          <w:sz w:val="20"/>
        </w:rPr>
      </w:pPr>
      <w:r>
        <w:rPr>
          <w:rFonts w:ascii="Times New Roman" w:hAnsi="Times New Roman"/>
          <w:i/>
          <w:sz w:val="20"/>
        </w:rPr>
        <w:t>Components</w:t>
      </w:r>
      <w:r>
        <w:rPr>
          <w:rFonts w:ascii="Times New Roman" w:hAnsi="Times New Roman"/>
          <w:sz w:val="20"/>
        </w:rPr>
        <w:t xml:space="preserve">. The ESPP is comprised of two distinct components in order to provide increased flexibility to grant options to purchase shares under the ESPP to U.S. and to non-U.S. employees. Specifically, the ESPP authorizes (1) the grant of options to U.S. employees that are intended to qualify for favorable U.S. federal tax treatment under Section 423 of the Code, (the Section 423 Component), and (2) the grant of options that are not intended to be tax-qualified under Section 423 of the Code to facilitate participation for employees located outside of the United States who do not benefit from favorable U.S. tax treatment and to provide flexibility to comply with non-U.S. law and other considerations (the Non-Section 423 Component). Where possible under local law and custom, we expect that the Non-Section 423 Component generally will be operated and administered on terms and conditions similar to the Section 423 Component. </w:t>
      </w:r>
    </w:p>
    <w:p>
      <w:pPr>
        <w:pStyle w:val="TextBody"/>
        <w:bidi w:val="0"/>
        <w:spacing w:before="24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Subject to the terms and conditions of the ESPP, our compensation committee will administer the ESPP. Our compensation committee can delegate administrative tasks under the ESPP to the services of an agent and/or employees to assist in the administration of the ESPP. The administrator will have the discretionary authority to administer and interpret the ESPP. Interpretations and constructions of the administrator of any provision of the ESPP or of any rights thereunder will be conclusive and binding on all persons. We will bear all expenses and liabilities incurred by the ESPP administrator. </w:t>
      </w:r>
    </w:p>
    <w:p>
      <w:pPr>
        <w:pStyle w:val="TextBody"/>
        <w:bidi w:val="0"/>
        <w:spacing w:before="240" w:after="0"/>
        <w:jc w:val="left"/>
        <w:rPr>
          <w:rFonts w:ascii="Times New Roman" w:hAnsi="Times New Roman"/>
          <w:sz w:val="20"/>
        </w:rPr>
      </w:pPr>
      <w:r>
        <w:rPr>
          <w:rFonts w:ascii="Times New Roman" w:hAnsi="Times New Roman"/>
          <w:i/>
          <w:sz w:val="20"/>
        </w:rPr>
        <w:t xml:space="preserve">Share Reserve. </w:t>
      </w:r>
      <w:r>
        <w:rPr>
          <w:rFonts w:ascii="Times New Roman" w:hAnsi="Times New Roman"/>
          <w:sz w:val="20"/>
        </w:rPr>
        <w:t xml:space="preserve">The maximum number of shares of our common stock which will be authorized for sale under the ESPP is equal to the sum of (a)                  shares of common stock and (b) an annual increase on each January 1 beginning in 2023 and ending in 2032, equal to the lesser of (i)         % of the shares of our common stock outstanding (on an as converted basis) on the immediately preceding December 31 and (ii) such number of shares of common stock as determined by our board of directors; provided, however, that no more than                  shares of our common stock may be issued under the ESPP. The shares reserved for issuance under the ESPP may be authorized but unissued shares or reacquired shares. </w:t>
      </w:r>
    </w:p>
    <w:p>
      <w:pPr>
        <w:pStyle w:val="TextBody"/>
        <w:bidi w:val="0"/>
        <w:spacing w:before="240" w:after="0"/>
        <w:jc w:val="left"/>
        <w:rPr>
          <w:rFonts w:ascii="Times New Roman" w:hAnsi="Times New Roman"/>
          <w:sz w:val="20"/>
        </w:rPr>
      </w:pPr>
      <w:r>
        <w:rPr>
          <w:rFonts w:ascii="Times New Roman" w:hAnsi="Times New Roman"/>
          <w:i/>
          <w:sz w:val="20"/>
        </w:rPr>
        <w:t xml:space="preserve">Eligibility. </w:t>
      </w:r>
      <w:r>
        <w:rPr>
          <w:rFonts w:ascii="Times New Roman" w:hAnsi="Times New Roman"/>
          <w:sz w:val="20"/>
        </w:rPr>
        <w:t xml:space="preserve">Employees eligible to participate in the ESPP for a given offering period generally include employees who are employed by us or one of our subsidiaries on the first day of the offering period, or the enrollment date. Our employees (and, if applicable, any employees of our subsidiaries) who customarily work less than five months in a calendar year or are customarily scheduled to work less than 20 hours per week will not be eligible to participate in the ESPP. Finally, an employee who owns (or is deemed to own through attribution) 5% or more of the combined voting power or value of all our classes of stock or of one of our subsidiaries will not be allowed to participate in the ESPP. </w:t>
      </w:r>
    </w:p>
    <w:p>
      <w:pPr>
        <w:pStyle w:val="TextBody"/>
        <w:bidi w:val="0"/>
        <w:spacing w:before="240" w:after="0"/>
        <w:jc w:val="left"/>
        <w:rPr>
          <w:rFonts w:ascii="Times New Roman" w:hAnsi="Times New Roman"/>
          <w:sz w:val="20"/>
        </w:rPr>
      </w:pPr>
      <w:r>
        <w:rPr>
          <w:rFonts w:ascii="Times New Roman" w:hAnsi="Times New Roman"/>
          <w:i/>
          <w:sz w:val="20"/>
        </w:rPr>
        <w:t>Participation</w:t>
      </w:r>
      <w:r>
        <w:rPr>
          <w:rFonts w:ascii="Times New Roman" w:hAnsi="Times New Roman"/>
          <w:sz w:val="20"/>
        </w:rPr>
        <w:t xml:space="preserve">. Employees will enroll under the ESPP by completing a payroll deduction form permitting the deduction from their compensation of at least 1% of their compensation but not more than 15% of their compensation. Such payroll deductions shall be expressed as a whole number percentage, and the accumulated deductions will be applied to the purchase of shares on each purchase date. However, a participant may not purchase more than              shares in each offering period and may not subscribe for more than $25,000 in fair market value of shares of our common stock (determined at the time the option is granted) during any calendar year. The ESPP administrator has the authority to change these limitations for any subsequent offering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Offering. </w:t>
      </w:r>
      <w:r>
        <w:rPr>
          <w:rFonts w:ascii="Times New Roman" w:hAnsi="Times New Roman"/>
          <w:sz w:val="20"/>
        </w:rPr>
        <w:t xml:space="preserve">Under the ESPP, participants are offered the option to purchase shares of our common stock at a discount during a series of successive offering periods, the duration and timing of which will be determined by the ESPP administrator. However, in no event may an offering period be longer than 27 months in length. </w:t>
      </w:r>
    </w:p>
    <w:p>
      <w:pPr>
        <w:pStyle w:val="TextBody"/>
        <w:bidi w:val="0"/>
        <w:spacing w:before="240" w:after="0"/>
        <w:jc w:val="left"/>
        <w:rPr>
          <w:rFonts w:ascii="Times New Roman" w:hAnsi="Times New Roman"/>
          <w:sz w:val="20"/>
        </w:rPr>
      </w:pPr>
      <w:r>
        <w:rPr>
          <w:rFonts w:ascii="Times New Roman" w:hAnsi="Times New Roman"/>
          <w:sz w:val="20"/>
        </w:rPr>
        <w:t xml:space="preserve">The option purchase price will be the lower of 85% of the closing trading price per share of our common stock on the first trading date of an offering period in which a participant is enrolled or 85% of the closing trading price per share on the purchase date, which will occur on the last trading day of each offering period. </w:t>
      </w:r>
    </w:p>
    <w:p>
      <w:pPr>
        <w:pStyle w:val="TextBody"/>
        <w:bidi w:val="0"/>
        <w:spacing w:before="240" w:after="0"/>
        <w:jc w:val="left"/>
        <w:rPr>
          <w:rFonts w:ascii="Times New Roman" w:hAnsi="Times New Roman"/>
          <w:sz w:val="20"/>
        </w:rPr>
      </w:pPr>
      <w:r>
        <w:rPr>
          <w:rFonts w:ascii="Times New Roman" w:hAnsi="Times New Roman"/>
          <w:sz w:val="20"/>
        </w:rPr>
        <w:t xml:space="preserve">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 </w:t>
      </w:r>
    </w:p>
    <w:p>
      <w:pPr>
        <w:pStyle w:val="TextBody"/>
        <w:bidi w:val="0"/>
        <w:spacing w:before="240" w:after="0"/>
        <w:jc w:val="left"/>
        <w:rPr>
          <w:rFonts w:ascii="Times New Roman" w:hAnsi="Times New Roman"/>
          <w:sz w:val="20"/>
        </w:rPr>
      </w:pPr>
      <w:r>
        <w:rPr>
          <w:rFonts w:ascii="Times New Roman" w:hAnsi="Times New Roman"/>
          <w:sz w:val="20"/>
        </w:rPr>
        <w:t xml:space="preserve">A participant may cancel his or her payroll deduction authorization at any time prior to the end of the offering period. Upon cancellation, the participant will have the option to either (i) receive a refund of the participants account balance in cash without interest or (ii) exercise the participants option for the current offering period for the maximum number of shares of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wants to increase or decrease the rate of payroll withholding, he or she may do so effective for the next offering period by submitting a new form before the offering period for which such change is to be effective. </w:t>
      </w:r>
    </w:p>
    <w:p>
      <w:pPr>
        <w:pStyle w:val="TextBody"/>
        <w:bidi w:val="0"/>
        <w:spacing w:before="240" w:after="0"/>
        <w:jc w:val="left"/>
        <w:rPr>
          <w:rFonts w:ascii="Times New Roman" w:hAnsi="Times New Roman"/>
          <w:sz w:val="20"/>
        </w:rPr>
      </w:pPr>
      <w:r>
        <w:rPr>
          <w:rFonts w:ascii="Times New Roman" w:hAnsi="Times New Roman"/>
          <w:sz w:val="20"/>
        </w:rPr>
        <w:t xml:space="preserve">A participant may not assign, transfer, pledge or otherwise dispose of (other than by will or the laws of descent and distribution) payroll deductions credited to a participants account or any rights to exercise an option or to receive shares of our common stock under the ESPP, and during a participants lifetime, options in the ESPP shall be exercisable only by such participant. Any such attempt at assignment, transfer, pledge or other disposition will not be given effect. </w:t>
      </w:r>
    </w:p>
    <w:p>
      <w:pPr>
        <w:pStyle w:val="TextBody"/>
        <w:bidi w:val="0"/>
        <w:spacing w:before="240" w:after="0"/>
        <w:jc w:val="left"/>
        <w:rPr>
          <w:rFonts w:ascii="Times New Roman" w:hAnsi="Times New Roman"/>
          <w:sz w:val="20"/>
        </w:rPr>
      </w:pPr>
      <w:r>
        <w:rPr>
          <w:rFonts w:ascii="Times New Roman" w:hAnsi="Times New Roman"/>
          <w:i/>
          <w:sz w:val="20"/>
        </w:rPr>
        <w:t xml:space="preserve">Adjustments upon Changes in Recapitalization, Dissolution, Liquidation, Merger or Asset Sale. </w:t>
      </w:r>
      <w:r>
        <w:rPr>
          <w:rFonts w:ascii="Times New Roman" w:hAnsi="Times New Roman"/>
          <w:sz w:val="20"/>
        </w:rPr>
        <w:t xml:space="preserve">In the event of any increase or decrease in the number of issued shares of our common stock resulting from a stock split, reverse stock split, stock dividend, combination or reclassification of the common stock, or any other increase or decrease in the number of shares of common stock effected without receipt of consideration by us, we will proportionately adjust the aggregate number of shares of our common stock offered under the ESPP, the number and price of shares which any participant has elected to purchase under the ESPP and the maximum number of shares which a participant may elect to purchase in any single offering period. If there is a proposal to dissolve or liquidate us, then the ESPP will terminate immediately prior to the consummation of such proposed dissolution or liquidation, and any offering period then in progress will be shortened by setting a new 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then in progress will be shortened by setting a new purchase date to take place before the date of our proposed sale or merger. We will notify each participant of such change in writing at least ten business days prior to the new exercise date. </w:t>
      </w:r>
    </w:p>
    <w:p>
      <w:pPr>
        <w:pStyle w:val="TextBody"/>
        <w:bidi w:val="0"/>
        <w:spacing w:before="240" w:after="0"/>
        <w:jc w:val="left"/>
        <w:rPr>
          <w:rFonts w:ascii="Times New Roman" w:hAnsi="Times New Roman"/>
          <w:sz w:val="20"/>
        </w:rPr>
      </w:pPr>
      <w:r>
        <w:rPr>
          <w:rFonts w:ascii="Times New Roman" w:hAnsi="Times New Roman"/>
          <w:i/>
          <w:sz w:val="20"/>
        </w:rPr>
        <w:t>Amendment and Termination</w:t>
      </w:r>
      <w:r>
        <w:rPr>
          <w:rFonts w:ascii="Times New Roman" w:hAnsi="Times New Roman"/>
          <w:sz w:val="20"/>
        </w:rPr>
        <w:t xml:space="preserve">. Our board of directors may amend, suspend or terminate the ESPP at any time. However, the board of directors may not amend the ESPP without obtaining stockholder approval within 12 months before or after such amendment to the extent required by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rom241143_16"/>
      <w:bookmarkEnd w:id="18"/>
      <w:r>
        <w:rPr>
          <w:rFonts w:ascii="Times New Roman" w:hAnsi="Times New Roman"/>
          <w:b/>
          <w:sz w:val="20"/>
        </w:rPr>
        <w:t xml:space="preserve">CERTAIN RELATIONSHIPS AND RELATED-PARTY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includes a summary of transactions since November 22, 2019 (our date of inception) and any currently proposed transactions, to which we were or are to be a participant, in which (i) the amount involved exceeded or will exceed $120,000; and (ii)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sections titled Director Compensation and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terms obtained or consideration that we paid or received, as applicable, in connection with the transactions described below were comparable to terms available or the amounts that we would pay or receive, as applicable, in arms-length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Acquisitions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BlackThorn Therapeutics, Inc.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our acquisition of BlackThorn in September 2020, we issued (i) an aggregate of 45,178,495 shares of our Series A-1 convertible preferred stock (the Series A-1 Preferred), with an acquisition date fair value of $36.6 million and (ii) warrants to purchase 2,292,672 shares of the Series A-1 Preferred, with an acquisition date fair value of $0.7 million (the Preferred Stock Warrants). The Preferred Stock Warrants expire on the earlier of (i) December 31, 2021, (ii) immediately prior to the consummation of this offering and (iii) upon the closing of a deemed liquidation event. Certain of BlackThorns investors, funds affiliated with ARCH Venture Partners, and one of its board members, Kristina M. Burow, at the time of the acquisition are related parties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2021, we amended the expiration date of the Preferred Stock Warrants to the earlier of: (i) December 31, 2022, (ii) immediately prior to the consummation of an IPO of our common stock, and (iii) upon the closing of a deemed liquidation event. Of the total of Preferred Stock Warrants, 820,434 shares are held by an entity affiliated with ARCH Venture Partners.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Alairion, Inc.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our acquisition of Alairion in November 2020, Biomatics Capital Partners II L.P., an existing stockholder of both us and Alairion, purchased a total of $12.0 million of Alairion convertible notes immediately prior to the closing date that were settled with 12,000,000 shares of our Series A-2 convertible preferred stock upon closing.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Issuance </w:t>
      </w:r>
    </w:p>
    <w:p>
      <w:pPr>
        <w:pStyle w:val="TextBody"/>
        <w:bidi w:val="0"/>
        <w:spacing w:before="120" w:after="0"/>
        <w:jc w:val="left"/>
        <w:rPr>
          <w:rFonts w:ascii="Times New Roman" w:hAnsi="Times New Roman"/>
          <w:sz w:val="20"/>
        </w:rPr>
      </w:pPr>
      <w:r>
        <w:rPr>
          <w:rFonts w:ascii="Times New Roman" w:hAnsi="Times New Roman"/>
          <w:sz w:val="20"/>
        </w:rPr>
        <w:t xml:space="preserve">In January 2020, we entered into a stock subscription agreement pursuant to which we issued 50,000,000 shares of our common stock at a price of $0.0001 per share to each of ARCH Venture Fund X, L.P. (ARCH X) and ARCH Venture Fund X Overage, L.P. (ARCH X Overage), for an aggregate of 100,000,000 shares of common stock issued. In August 2020, we repurchased 8,333,333 shares of common stock at a price of $0.0001 per share from each of ARCH X and ARCH X Overage, for an aggregate of 16,666,667 shares of common stock repurchased. The repurchased shares of common stock were cancelled and retired. Kristina Burow and Robert Nelsen, members of our board of directors, were designated to our board by ARCH Venture Partners, a holder of more than 5% of our capital stock. For further details, see the information provided in footnote (2) to the table in the section title Principal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Convertible Note and Convertible Preferred Stock Financings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Convertible Note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Between February and September 2020, we issued $55.9 million in convertible promissory notes (the 2020 Bridge Notes), $30 million of which notes were issued to ARCH X and ARCH X Overage. In September 2020, the 2020 Bridge Notes were settled with shares of our Series A-2 convertible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Series A-2 Convertible Preferred Stock Financing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2020, we entered into a Series A-2 convertible preferred stock purchase agreement (Series A-2 Purchase Agreement), with various investors, pursuant to which we issued an aggregate of 123,620,000 shares of our Series A-2 convertible preferred stock (the Series A-2 Preferred) at $1.00 per share for aggregate proceeds of $123.6 million in the initial closing. Upon the initial closing, the right of forfeiture for 44,008,327 shares of our common stock issued with the 2020 Bridge Notes lapsed.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terms of the Series A-2 Purchase Agreement, we also committed to selling 40,000,000 additional shares of Series A-2 Preferred to ARCH X, ARCH X Overage and their affiliates at a fixed price of $1.00 per share in one or more subsequent closings on or before March 8, 2021. </w:t>
      </w:r>
    </w:p>
    <w:p>
      <w:pPr>
        <w:pStyle w:val="TextBody"/>
        <w:bidi w:val="0"/>
        <w:spacing w:before="240" w:after="0"/>
        <w:jc w:val="left"/>
        <w:rPr>
          <w:rFonts w:ascii="Times New Roman" w:hAnsi="Times New Roman"/>
          <w:sz w:val="20"/>
        </w:rPr>
      </w:pPr>
      <w:r>
        <w:rPr>
          <w:rFonts w:ascii="Times New Roman" w:hAnsi="Times New Roman"/>
          <w:sz w:val="20"/>
        </w:rPr>
        <w:t xml:space="preserve">Further, pursuant to the Series A-2 Purchase Agreement, a forfeiture provision was added to the terms of 33,333,333 shares of our common stock previously issued in January 2020 to ARCH X, ARCH X Overage and their affiliates, of which 13,333,333 remain subject to a forfeiture provision as of December 31, 2020. </w:t>
      </w:r>
    </w:p>
    <w:p>
      <w:pPr>
        <w:pStyle w:val="TextBody"/>
        <w:bidi w:val="0"/>
        <w:spacing w:before="240" w:after="0"/>
        <w:jc w:val="left"/>
        <w:rPr>
          <w:rFonts w:ascii="Times New Roman" w:hAnsi="Times New Roman"/>
          <w:sz w:val="20"/>
        </w:rPr>
      </w:pPr>
      <w:r>
        <w:rPr>
          <w:rFonts w:ascii="Times New Roman" w:hAnsi="Times New Roman"/>
          <w:sz w:val="20"/>
        </w:rPr>
        <w:t xml:space="preserve">Between March and July 2021, we and certain investors entered into a series of amendments to the Series A-2 Purchase Agreement to extend the deadline to complete subsequent closings of our Series A-2 Preferred financing from March 2021 to September 2021. In August 2021, pursuant to the Series A-2 Purchase Agreement, as amended, we issued 40,000,000 shares of Series A-2 Preferred to ARCH X and ARCH X Overage and 10,000,000 shares of Series A-2 Preferred to F-Prime Capital Partners Life Sciences Fund VII LP, an entity affiliated with F-Prime Capital Partners, at $1.00 per share for aggregate proceeds from these parties of $50.0 million.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the number of shares of our common stock, Series A-1 Preferred and Series A-2 Preferred purchased by our executive officers, directors, holders of more than 5% of our capital stock and their affiliated entities or immediate family members or issued to such parties as consideration in connection with various acquisitions of assets. Each share of Series A-1 Preferred and Series A-2 Preferred in the table below will convert into one share of our common stock upon the completion of this offering.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68"/>
        <w:gridCol w:w="132"/>
        <w:gridCol w:w="60"/>
        <w:gridCol w:w="1135"/>
        <w:gridCol w:w="60"/>
        <w:gridCol w:w="132"/>
        <w:gridCol w:w="63"/>
        <w:gridCol w:w="1166"/>
        <w:gridCol w:w="60"/>
        <w:gridCol w:w="132"/>
        <w:gridCol w:w="60"/>
        <w:gridCol w:w="1266"/>
        <w:gridCol w:w="60"/>
        <w:gridCol w:w="132"/>
        <w:gridCol w:w="72"/>
        <w:gridCol w:w="1542"/>
        <w:gridCol w:w="65"/>
      </w:tblGrid>
      <w:tr>
        <w:trPr/>
        <w:tc>
          <w:tcPr>
            <w:tcW w:w="4068"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0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32" w:type="dxa"/>
            <w:tcBorders/>
            <w:vAlign w:val="bottom"/>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bottom"/>
          </w:tcPr>
          <w:p>
            <w:pPr>
              <w:pStyle w:val="TableContents"/>
              <w:bidi w:val="0"/>
              <w:spacing w:before="0" w:after="283"/>
              <w:jc w:val="center"/>
              <w:rPr/>
            </w:pPr>
            <w:r>
              <w:rPr>
                <w:b/>
              </w:rPr>
              <w:t>Common</w:t>
              <w:br/>
              <w:t>Stock</w:t>
            </w:r>
            <w:r>
              <w:rPr/>
              <w:br/>
            </w:r>
            <w:r>
              <w:rPr>
                <w:b/>
              </w:rPr>
              <w:t>(#)</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29" w:type="dxa"/>
            <w:gridSpan w:val="2"/>
            <w:tcBorders>
              <w:bottom w:val="single" w:sz="8" w:space="0" w:color="000000"/>
            </w:tcBorders>
            <w:tcMar>
              <w:bottom w:w="28" w:type="dxa"/>
            </w:tcMar>
            <w:vAlign w:val="bottom"/>
          </w:tcPr>
          <w:p>
            <w:pPr>
              <w:pStyle w:val="TableContents"/>
              <w:bidi w:val="0"/>
              <w:spacing w:before="0" w:after="283"/>
              <w:jc w:val="center"/>
              <w:rPr/>
            </w:pPr>
            <w:r>
              <w:rPr>
                <w:b/>
              </w:rPr>
              <w:t>Series A-1</w:t>
              <w:br/>
              <w:t>Convertible</w:t>
              <w:br/>
              <w:t>Preferred</w:t>
              <w:br/>
              <w:t>Stock</w:t>
            </w:r>
            <w:r>
              <w:rPr/>
              <w:br/>
            </w:r>
            <w:r>
              <w:rPr>
                <w:b/>
              </w:rPr>
              <w:t>(#)</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326" w:type="dxa"/>
            <w:gridSpan w:val="2"/>
            <w:tcBorders>
              <w:bottom w:val="single" w:sz="8" w:space="0" w:color="000000"/>
            </w:tcBorders>
            <w:tcMar>
              <w:bottom w:w="28" w:type="dxa"/>
            </w:tcMar>
            <w:vAlign w:val="bottom"/>
          </w:tcPr>
          <w:p>
            <w:pPr>
              <w:pStyle w:val="TableContents"/>
              <w:bidi w:val="0"/>
              <w:spacing w:before="0" w:after="283"/>
              <w:jc w:val="center"/>
              <w:rPr/>
            </w:pPr>
            <w:r>
              <w:rPr>
                <w:b/>
              </w:rPr>
              <w:t>Series A-2</w:t>
              <w:br/>
              <w:t>Convertible</w:t>
              <w:br/>
              <w:t>Preferred</w:t>
              <w:br/>
              <w:t>Stock</w:t>
            </w:r>
            <w:r>
              <w:rPr/>
              <w:br/>
            </w:r>
            <w:r>
              <w:rPr>
                <w:b/>
              </w:rPr>
              <w:t>(#)</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6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Purchase Price</w:t>
              <w:br/>
              <w:t>($)</w:t>
            </w:r>
          </w:p>
        </w:tc>
        <w:tc>
          <w:tcPr>
            <w:tcW w:w="65" w:type="dxa"/>
            <w:tcBorders/>
            <w:vAlign w:val="bottom"/>
          </w:tcPr>
          <w:p>
            <w:pPr>
              <w:pStyle w:val="TableContents"/>
              <w:bidi w:val="0"/>
              <w:spacing w:before="0" w:after="283"/>
              <w:jc w:val="left"/>
              <w:rPr/>
            </w:pPr>
            <w:r>
              <w:rPr/>
              <w:t> </w:t>
            </w:r>
          </w:p>
        </w:tc>
      </w:tr>
      <w:tr>
        <w:trPr/>
        <w:tc>
          <w:tcPr>
            <w:tcW w:w="4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Amgen Inc.</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257,000,000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42" w:type="dxa"/>
            <w:tcBorders/>
            <w:shd w:fill="CCEEFF" w:val="clear"/>
            <w:vAlign w:val="bottom"/>
          </w:tcPr>
          <w:p>
            <w:pPr>
              <w:pStyle w:val="TableContents"/>
              <w:bidi w:val="0"/>
              <w:spacing w:before="0" w:after="283"/>
              <w:jc w:val="right"/>
              <w:rPr/>
            </w:pPr>
            <w:r>
              <w:rPr/>
              <w:t>257,000,000</w:t>
            </w:r>
          </w:p>
        </w:tc>
        <w:tc>
          <w:tcPr>
            <w:tcW w:w="65" w:type="dxa"/>
            <w:tcBorders/>
            <w:shd w:fill="CCEEFF" w:val="clear"/>
            <w:vAlign w:val="bottom"/>
          </w:tcPr>
          <w:p>
            <w:pPr>
              <w:pStyle w:val="TableContents"/>
              <w:bidi w:val="0"/>
              <w:spacing w:before="0" w:after="283"/>
              <w:jc w:val="left"/>
              <w:rPr/>
            </w:pPr>
            <w:r>
              <w:rPr/>
              <w:t> </w:t>
            </w:r>
          </w:p>
        </w:tc>
      </w:tr>
      <w:tr>
        <w:trPr/>
        <w:tc>
          <w:tcPr>
            <w:tcW w:w="4068"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ARCH Venture Partners(1)</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83,333,334</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13,531,561</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105,700,828</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542" w:type="dxa"/>
            <w:tcBorders/>
            <w:vAlign w:val="bottom"/>
          </w:tcPr>
          <w:p>
            <w:pPr>
              <w:pStyle w:val="TableContents"/>
              <w:bidi w:val="0"/>
              <w:spacing w:before="0" w:after="283"/>
              <w:jc w:val="right"/>
              <w:rPr/>
            </w:pPr>
            <w:r>
              <w:rPr/>
              <w:t>119,232,389</w:t>
            </w:r>
          </w:p>
        </w:tc>
        <w:tc>
          <w:tcPr>
            <w:tcW w:w="65" w:type="dxa"/>
            <w:tcBorders/>
            <w:vAlign w:val="bottom"/>
          </w:tcPr>
          <w:p>
            <w:pPr>
              <w:pStyle w:val="TableContents"/>
              <w:bidi w:val="0"/>
              <w:spacing w:before="0" w:after="283"/>
              <w:jc w:val="left"/>
              <w:rPr/>
            </w:pPr>
            <w:r>
              <w:rPr/>
              <w:t> </w:t>
            </w:r>
          </w:p>
        </w:tc>
      </w:tr>
      <w:tr>
        <w:trPr/>
        <w:tc>
          <w:tcPr>
            <w:tcW w:w="4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Biomatics Capital Partners</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10,000,000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4,164,035</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44,500,000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42" w:type="dxa"/>
            <w:tcBorders/>
            <w:shd w:fill="CCEEFF" w:val="clear"/>
            <w:vAlign w:val="bottom"/>
          </w:tcPr>
          <w:p>
            <w:pPr>
              <w:pStyle w:val="TableContents"/>
              <w:bidi w:val="0"/>
              <w:spacing w:before="0" w:after="283"/>
              <w:jc w:val="right"/>
              <w:rPr/>
            </w:pPr>
            <w:r>
              <w:rPr/>
              <w:t>48,664,035</w:t>
            </w:r>
          </w:p>
        </w:tc>
        <w:tc>
          <w:tcPr>
            <w:tcW w:w="65" w:type="dxa"/>
            <w:tcBorders/>
            <w:shd w:fill="CCEEFF" w:val="clear"/>
            <w:vAlign w:val="bottom"/>
          </w:tcPr>
          <w:p>
            <w:pPr>
              <w:pStyle w:val="TableContents"/>
              <w:bidi w:val="0"/>
              <w:spacing w:before="0" w:after="283"/>
              <w:jc w:val="left"/>
              <w:rPr/>
            </w:pPr>
            <w:r>
              <w:rPr/>
              <w:t> </w:t>
            </w:r>
          </w:p>
        </w:tc>
      </w:tr>
      <w:tr>
        <w:trPr/>
        <w:tc>
          <w:tcPr>
            <w:tcW w:w="4068"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F-Prime Capital Partners(2)</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15,000,000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28,463,722</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542" w:type="dxa"/>
            <w:tcBorders/>
            <w:vAlign w:val="bottom"/>
          </w:tcPr>
          <w:p>
            <w:pPr>
              <w:pStyle w:val="TableContents"/>
              <w:bidi w:val="0"/>
              <w:spacing w:before="0" w:after="283"/>
              <w:jc w:val="right"/>
              <w:rPr/>
            </w:pPr>
            <w:r>
              <w:rPr/>
              <w:t>28,463,722</w:t>
            </w:r>
          </w:p>
        </w:tc>
        <w:tc>
          <w:tcPr>
            <w:tcW w:w="65" w:type="dxa"/>
            <w:tcBorders/>
            <w:vAlign w:val="bottom"/>
          </w:tcPr>
          <w:p>
            <w:pPr>
              <w:pStyle w:val="TableContents"/>
              <w:bidi w:val="0"/>
              <w:spacing w:before="0" w:after="283"/>
              <w:jc w:val="left"/>
              <w:rPr/>
            </w:pPr>
            <w:r>
              <w:rPr/>
              <w:t> </w:t>
            </w:r>
          </w:p>
        </w:tc>
      </w:tr>
      <w:tr>
        <w:trPr/>
        <w:tc>
          <w:tcPr>
            <w:tcW w:w="4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SVF II AIV (DE) LLC.</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60,000,000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42" w:type="dxa"/>
            <w:tcBorders/>
            <w:shd w:fill="CCEEFF" w:val="clear"/>
            <w:vAlign w:val="bottom"/>
          </w:tcPr>
          <w:p>
            <w:pPr>
              <w:pStyle w:val="TableContents"/>
              <w:bidi w:val="0"/>
              <w:spacing w:before="0" w:after="283"/>
              <w:jc w:val="right"/>
              <w:rPr/>
            </w:pPr>
            <w:r>
              <w:rPr/>
              <w:t>60,000,000</w:t>
            </w:r>
          </w:p>
        </w:tc>
        <w:tc>
          <w:tcPr>
            <w:tcW w:w="65" w:type="dxa"/>
            <w:tcBorders/>
            <w:shd w:fill="CCEEFF" w:val="clear"/>
            <w:vAlign w:val="bottom"/>
          </w:tcPr>
          <w:p>
            <w:pPr>
              <w:pStyle w:val="TableContents"/>
              <w:bidi w:val="0"/>
              <w:spacing w:before="0" w:after="283"/>
              <w:jc w:val="left"/>
              <w:rPr/>
            </w:pPr>
            <w:r>
              <w:rPr/>
              <w:t> </w:t>
            </w:r>
          </w:p>
        </w:tc>
      </w:tr>
      <w:tr>
        <w:trPr/>
        <w:tc>
          <w:tcPr>
            <w:tcW w:w="4068" w:type="dxa"/>
            <w:tcBorders/>
          </w:tcPr>
          <w:p>
            <w:pPr>
              <w:pStyle w:val="TableContents"/>
              <w:bidi w:val="0"/>
              <w:spacing w:before="0" w:after="0"/>
              <w:jc w:val="left"/>
              <w:rPr>
                <w:rFonts w:ascii="Times New Roman" w:hAnsi="Times New Roman"/>
                <w:sz w:val="20"/>
              </w:rPr>
            </w:pPr>
            <w:r>
              <w:rPr>
                <w:rFonts w:ascii="Times New Roman" w:hAnsi="Times New Roman"/>
                <w:sz w:val="20"/>
              </w:rPr>
              <w:t>Kristina M. Burow.</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106,873</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542" w:type="dxa"/>
            <w:tcBorders/>
            <w:vAlign w:val="bottom"/>
          </w:tcPr>
          <w:p>
            <w:pPr>
              <w:pStyle w:val="TableContents"/>
              <w:bidi w:val="0"/>
              <w:spacing w:before="0" w:after="283"/>
              <w:jc w:val="right"/>
              <w:rPr/>
            </w:pPr>
            <w:r>
              <w:rPr/>
              <w:t>106,873</w:t>
            </w:r>
          </w:p>
        </w:tc>
        <w:tc>
          <w:tcPr>
            <w:tcW w:w="65"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Kristina Burow and Robert Nelsen, members of our board of directors, were designated to our board by ARCH Venture Partners. For further details, see the information provided in footnote (2) to the table in the section titled Principal Stockholders.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Stacie Weninger, Ph.D., a member of our board of directors, was designated to our board by F-Prime Capital Partners. Dr. Weninger has indicated her intention to resign as a director prior to the effectiveness of the registration statement for which this prospectus is a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Investors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an investors rights agreement with the purchasers of our outstanding convertible preferred stock, including entities with which certain of our directors are affiliated. Following the consummation of this offering, the holders of approximately              shares of our common stock, including the shares of common stock issuable upon the conversion of our convertible preferred stock, are entitled to rights with respect to the registration of their shares under the Securities Act. For a more detailed description of these registration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see the section titled Description of Capital StockRegistration Rights. The investors rights agreement also provides for a right of first offer in favor of certain holders of convertible preferred stock with regard to certain issuances of our capital stock. The rights of first offer will not apply to, and will terminate upon the consummation of,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Voting Agreement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 voting agreement with certain holders of our common stock and convertible preferred stock. Upon the conversion of all outstanding shares of convertible preferred stock into common stock in connection with the consummation of this offering, the voting agreement will terminate. For a description of the voting agreement, see the section titled ManagementBoard CompositionVoting Arrangements. </w:t>
      </w:r>
    </w:p>
    <w:p>
      <w:pPr>
        <w:pStyle w:val="TextBody"/>
        <w:bidi w:val="0"/>
        <w:spacing w:before="360" w:after="0"/>
        <w:jc w:val="left"/>
        <w:rPr>
          <w:rFonts w:ascii="Times New Roman" w:hAnsi="Times New Roman"/>
          <w:b/>
          <w:sz w:val="20"/>
        </w:rPr>
      </w:pPr>
      <w:r>
        <w:rPr>
          <w:rFonts w:ascii="Times New Roman" w:hAnsi="Times New Roman"/>
          <w:b/>
          <w:sz w:val="20"/>
        </w:rPr>
        <w:t xml:space="preserve">Right of First Refusal and Co-Sale Agreement </w:t>
      </w:r>
    </w:p>
    <w:p>
      <w:pPr>
        <w:pStyle w:val="TextBody"/>
        <w:bidi w:val="0"/>
        <w:spacing w:before="120" w:after="0"/>
        <w:jc w:val="left"/>
        <w:rPr>
          <w:rFonts w:ascii="Times New Roman" w:hAnsi="Times New Roman"/>
          <w:sz w:val="20"/>
        </w:rPr>
      </w:pPr>
      <w:r>
        <w:rPr>
          <w:rFonts w:ascii="Times New Roman" w:hAnsi="Times New Roman"/>
          <w:sz w:val="20"/>
        </w:rPr>
        <w:t xml:space="preserve">We are party an amended and restated right of first refusal and co-sale agreement with certain holders of our common stock and convertible preferred stock. This agreement provides for rights of first refusal and co-sale relating to the shares of our common stock held by the parties to the agreement. Upon the consummation of this offering, the amended and restated right of first refusal and co-sale agreement will terminate. </w:t>
      </w:r>
    </w:p>
    <w:p>
      <w:pPr>
        <w:pStyle w:val="TextBody"/>
        <w:bidi w:val="0"/>
        <w:spacing w:before="360" w:after="0"/>
        <w:jc w:val="left"/>
        <w:rPr>
          <w:rFonts w:ascii="Times New Roman" w:hAnsi="Times New Roman"/>
          <w:b/>
          <w:sz w:val="20"/>
        </w:rPr>
      </w:pPr>
      <w:r>
        <w:rPr>
          <w:rFonts w:ascii="Times New Roman" w:hAnsi="Times New Roman"/>
          <w:b/>
          <w:sz w:val="20"/>
        </w:rPr>
        <w:t xml:space="preserve">Other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offer letter agreements with our executive officers that, among other things, provide for certain compensatory and change in control benefits, as well as severance benefits. For a description of these agreements with our named executive officers, see the subsection titled Executive CompensationExecutive Compensation Arrangements.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2022, we were obligated to pay Amgen $6.3 million under the Amgen Collaboration Agreement. Further, subject to certain conditions, Amgen is also obligated to provide us additional financing of up to $100.0 million. See BusinessIn-Licensing and Collaboration AgreementsResearch Collaboration Agreement with Amgen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also granted stock options and restricted stock to our executive officers and certain of our directors. For a description of these equity awards, see the sections titled Executive Compensation and Director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and Officer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indemnification agreements with certain of our current executive officers and directors, and intend to enter into new indemnification agreements with each of our current executive officers and directors before the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also provides that, to the fullest extent permitted by law, we will indemnify any officer or director of our company against all damages, claims, and liabilities arising out of the fact that the person is or was our officer or director, or served any other enterprise at our request as an officer or director. Amending this provision will not reduce our indemnification obligations relating to actions taken before an amendment. </w:t>
      </w:r>
    </w:p>
    <w:p>
      <w:pPr>
        <w:pStyle w:val="TextBody"/>
        <w:bidi w:val="0"/>
        <w:spacing w:before="360" w:after="0"/>
        <w:jc w:val="left"/>
        <w:rPr>
          <w:rFonts w:ascii="Times New Roman" w:hAnsi="Times New Roman"/>
          <w:b/>
          <w:sz w:val="20"/>
        </w:rPr>
      </w:pPr>
      <w:r>
        <w:rPr>
          <w:rFonts w:ascii="Times New Roman" w:hAnsi="Times New Roman"/>
          <w:b/>
          <w:sz w:val="20"/>
        </w:rPr>
        <w:t xml:space="preserve">Related Person Transaction Policy </w:t>
      </w:r>
    </w:p>
    <w:p>
      <w:pPr>
        <w:pStyle w:val="TextBody"/>
        <w:bidi w:val="0"/>
        <w:spacing w:before="120" w:after="0"/>
        <w:jc w:val="left"/>
        <w:rPr>
          <w:rFonts w:ascii="Times New Roman" w:hAnsi="Times New Roman"/>
          <w:sz w:val="20"/>
        </w:rPr>
      </w:pPr>
      <w:r>
        <w:rPr>
          <w:rFonts w:ascii="Times New Roman" w:hAnsi="Times New Roman"/>
          <w:sz w:val="20"/>
        </w:rPr>
        <w:t xml:space="preserve">We have a written related-person transaction policy, to be effective upon the closing of this offering, that applies to our executive officers, directors, director nominees, holders of more than five percent of any class of our voting securities and any member of the immediate family of, and any entity affiliated with, any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foregoing persons. Such persons will not be permitted to enter into a related person transaction with us without the prior consent of our audit committee, or other independent members of our board of directors in the event it is inappropriate for our audit committee to review such transaction due to a conflict of interest. Any request for us to enter into a transaction with an executive officer, director, director nominee, principal stockholder, or any of their immediate family members or affiliates, in which the amount involved exceeds $120,000 must first be presented to our audit committee for review, consideration, and approval. In approving or rejecting any such proposal, our audit committee will consider the relevant facts and circumstances available and deemed relevant to our audit committee, including, but not limited to, the commercial reasonableness of the terms of the transaction and the materiality and character of the related persons direct or indirect interest in the transaction. All of the transactions described in this section occurred prior to the adoption of this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rom241143_17"/>
      <w:bookmarkEnd w:id="19"/>
      <w:r>
        <w:rPr>
          <w:rFonts w:ascii="Times New Roman" w:hAnsi="Times New Roman"/>
          <w:b/>
          <w:sz w:val="20"/>
        </w:rPr>
        <w:t xml:space="preserve">PRINCIPAL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beneficial ownership of our common stock as of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whom we know to beneficially own more than 5%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accordance with the rules of the SEC, beneficial ownership includes voting or investment power with respect to securities and includes the shares issuable pursuant to stock options that are exercisable within 60 days of         . Shares issuable pursuant to stock options are deemed outstanding for computing the percentage of the person holding such options but are not outstanding for computing the percentage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We have based our calculation of the percentage of beneficial ownership prior to this offering on          shares of our common stock outstanding and held of record by approximately stockholders as of         , which gives effect to (i) the filing and effectiveness of our amended and restated certificate of incorporation; and (ii) the conversion of shares of all outstanding convertible preferred stock into shares of our common stock, as if such filing and effectiveness and conversion had taken place as of         . We have based our calculation of the percentage of beneficial ownership after this offering on          shares of our common stock outstanding as of         , which gives effect to the adjustments described in the prior sentence and further reflects the issuance of          shares of common stock in this offering, assuming that the underwriters will not exercise their option to purchase up to an additional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address for each listed stockholder is: c/o Neumora Therapeutics, Inc., 490 Arsenal Way, Watertown, Massachusetts 02472. To our knowledge, except as indicated in the footnotes to this table and pursuant to applicable community property laws, the persons named in the table have sole voting and investment power with respect to all shares of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3"/>
        <w:gridCol w:w="474"/>
        <w:gridCol w:w="835"/>
        <w:gridCol w:w="835"/>
        <w:gridCol w:w="60"/>
        <w:gridCol w:w="474"/>
        <w:gridCol w:w="617"/>
        <w:gridCol w:w="618"/>
        <w:gridCol w:w="474"/>
        <w:gridCol w:w="948"/>
        <w:gridCol w:w="609"/>
        <w:gridCol w:w="625"/>
        <w:gridCol w:w="63"/>
      </w:tblGrid>
      <w:tr>
        <w:trPr/>
        <w:tc>
          <w:tcPr>
            <w:tcW w:w="3573" w:type="dxa"/>
            <w:tcBorders/>
            <w:vAlign w:val="center"/>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948" w:type="dxa"/>
            <w:tcBorders/>
            <w:vAlign w:val="bottom"/>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573"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6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3891" w:type="dxa"/>
            <w:gridSpan w:val="6"/>
            <w:tcBorders>
              <w:bottom w:val="single" w:sz="8" w:space="0" w:color="000000"/>
            </w:tcBorders>
            <w:tcMar>
              <w:bottom w:w="28" w:type="dxa"/>
            </w:tcMar>
            <w:vAlign w:val="bottom"/>
          </w:tcPr>
          <w:p>
            <w:pPr>
              <w:pStyle w:val="TableContents"/>
              <w:bidi w:val="0"/>
              <w:spacing w:before="0" w:after="283"/>
              <w:jc w:val="center"/>
              <w:rPr/>
            </w:pPr>
            <w:r>
              <w:rPr>
                <w:b/>
              </w:rPr>
              <w:t>Percentage of Shares</w:t>
            </w:r>
            <w:r>
              <w:rPr/>
              <w:br/>
            </w:r>
            <w:r>
              <w:rPr>
                <w:b/>
              </w:rPr>
              <w:t>Beneficially Owned</w:t>
            </w:r>
          </w:p>
        </w:tc>
        <w:tc>
          <w:tcPr>
            <w:tcW w:w="63" w:type="dxa"/>
            <w:tcBorders/>
            <w:vAlign w:val="bottom"/>
          </w:tcPr>
          <w:p>
            <w:pPr>
              <w:pStyle w:val="TableContents"/>
              <w:bidi w:val="0"/>
              <w:spacing w:before="0" w:after="283"/>
              <w:jc w:val="left"/>
              <w:rPr/>
            </w:pPr>
            <w:r>
              <w:rPr/>
              <w:t> </w:t>
            </w:r>
          </w:p>
        </w:tc>
      </w:tr>
      <w:tr>
        <w:trPr/>
        <w:tc>
          <w:tcPr>
            <w:tcW w:w="35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474" w:type="dxa"/>
            <w:tcBorders/>
            <w:vAlign w:val="bottom"/>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br/>
              <w:t>    Beneficially    </w:t>
            </w:r>
            <w:r>
              <w:rPr/>
              <w:br/>
            </w:r>
            <w:r>
              <w:rPr>
                <w:b/>
              </w:rPr>
              <w:t>Owned</w:t>
            </w:r>
            <w:r>
              <w:rPr/>
              <w:br/>
            </w:r>
            <w:r>
              <w:rPr>
                <w:b/>
              </w:rPr>
              <w:t>(#)</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pPr>
            <w:r>
              <w:rPr>
                <w:b/>
              </w:rPr>
              <w:t>Before</w:t>
            </w:r>
            <w:r>
              <w:rPr/>
              <w:br/>
              <w:t>   </w:t>
            </w:r>
            <w:r>
              <w:rPr>
                <w:b/>
              </w:rPr>
              <w:t>Offering   </w:t>
            </w:r>
            <w:r>
              <w:rPr/>
              <w:br/>
            </w:r>
            <w:r>
              <w:rPr>
                <w:b/>
              </w:rPr>
              <w:t>(%)</w:t>
            </w:r>
          </w:p>
        </w:tc>
        <w:tc>
          <w:tcPr>
            <w:tcW w:w="474"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bottom"/>
          </w:tcPr>
          <w:p>
            <w:pPr>
              <w:pStyle w:val="TableContents"/>
              <w:bidi w:val="0"/>
              <w:spacing w:before="0" w:after="283"/>
              <w:jc w:val="center"/>
              <w:rPr/>
            </w:pPr>
            <w:r>
              <w:rPr>
                <w:b/>
              </w:rPr>
              <w:t>After</w:t>
            </w:r>
            <w:r>
              <w:rPr/>
              <w:br/>
              <w:t>   </w:t>
            </w:r>
            <w:r>
              <w:rPr>
                <w:b/>
              </w:rPr>
              <w:t>Offering   </w:t>
            </w:r>
            <w:r>
              <w:rPr/>
              <w:br/>
            </w:r>
            <w:r>
              <w:rPr>
                <w:b/>
              </w:rPr>
              <w:t>(%)</w:t>
            </w:r>
          </w:p>
        </w:tc>
        <w:tc>
          <w:tcPr>
            <w:tcW w:w="63" w:type="dxa"/>
            <w:tcBorders/>
            <w:vAlign w:val="bottom"/>
          </w:tcPr>
          <w:p>
            <w:pPr>
              <w:pStyle w:val="TableContents"/>
              <w:bidi w:val="0"/>
              <w:spacing w:before="0" w:after="283"/>
              <w:jc w:val="left"/>
              <w:rPr/>
            </w:pPr>
            <w:r>
              <w:rPr/>
              <w:t> </w:t>
            </w:r>
          </w:p>
        </w:tc>
      </w:tr>
      <w:tr>
        <w:trPr/>
        <w:tc>
          <w:tcPr>
            <w:tcW w:w="3573" w:type="dxa"/>
            <w:tcBorders/>
            <w:shd w:fill="CCEEFF" w:val="clear"/>
            <w:vAlign w:val="bottom"/>
          </w:tcPr>
          <w:p>
            <w:pPr>
              <w:pStyle w:val="TableContents"/>
              <w:bidi w:val="0"/>
              <w:spacing w:before="0" w:after="283"/>
              <w:jc w:val="left"/>
              <w:rPr>
                <w:b/>
                <w:sz w:val="18"/>
              </w:rPr>
            </w:pPr>
            <w:r>
              <w:rPr>
                <w:b/>
                <w:sz w:val="18"/>
              </w:rPr>
              <w:t>Greater than 5% Owners:</w:t>
            </w:r>
          </w:p>
        </w:tc>
        <w:tc>
          <w:tcPr>
            <w:tcW w:w="474"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left"/>
              <w:rPr>
                <w:sz w:val="4"/>
                <w:szCs w:val="4"/>
              </w:rPr>
            </w:pPr>
            <w:r>
              <w:rPr>
                <w:sz w:val="4"/>
                <w:szCs w:val="4"/>
              </w:rPr>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8"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sz w:val="4"/>
                <w:szCs w:val="4"/>
              </w:rPr>
            </w:pPr>
            <w:r>
              <w:rPr>
                <w:sz w:val="4"/>
                <w:szCs w:val="4"/>
              </w:rPr>
            </w:r>
          </w:p>
        </w:tc>
        <w:tc>
          <w:tcPr>
            <w:tcW w:w="62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Amgen Inc.(1)</w:t>
            </w:r>
          </w:p>
        </w:tc>
        <w:tc>
          <w:tcPr>
            <w:tcW w:w="474"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left"/>
              <w:rPr>
                <w:sz w:val="4"/>
                <w:szCs w:val="4"/>
              </w:rPr>
            </w:pPr>
            <w:r>
              <w:rPr>
                <w:sz w:val="4"/>
                <w:szCs w:val="4"/>
              </w:rPr>
            </w:r>
          </w:p>
        </w:tc>
        <w:tc>
          <w:tcPr>
            <w:tcW w:w="8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8"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ARCH Venture Partners(2)</w:t>
            </w:r>
          </w:p>
        </w:tc>
        <w:tc>
          <w:tcPr>
            <w:tcW w:w="474"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left"/>
              <w:rPr>
                <w:sz w:val="4"/>
                <w:szCs w:val="4"/>
              </w:rPr>
            </w:pPr>
            <w:r>
              <w:rPr>
                <w:sz w:val="4"/>
                <w:szCs w:val="4"/>
              </w:rPr>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8"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sz w:val="4"/>
                <w:szCs w:val="4"/>
              </w:rPr>
            </w:pPr>
            <w:r>
              <w:rPr>
                <w:sz w:val="4"/>
                <w:szCs w:val="4"/>
              </w:rPr>
            </w:r>
          </w:p>
        </w:tc>
        <w:tc>
          <w:tcPr>
            <w:tcW w:w="62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Biomatics Capital Partners(3)</w:t>
            </w:r>
          </w:p>
        </w:tc>
        <w:tc>
          <w:tcPr>
            <w:tcW w:w="474"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left"/>
              <w:rPr>
                <w:sz w:val="4"/>
                <w:szCs w:val="4"/>
              </w:rPr>
            </w:pPr>
            <w:r>
              <w:rPr>
                <w:sz w:val="4"/>
                <w:szCs w:val="4"/>
              </w:rPr>
            </w:r>
          </w:p>
        </w:tc>
        <w:tc>
          <w:tcPr>
            <w:tcW w:w="8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8"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SVF II AIV (DE) LLC(4)</w:t>
            </w:r>
          </w:p>
        </w:tc>
        <w:tc>
          <w:tcPr>
            <w:tcW w:w="474"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left"/>
              <w:rPr>
                <w:sz w:val="4"/>
                <w:szCs w:val="4"/>
              </w:rPr>
            </w:pPr>
            <w:r>
              <w:rPr>
                <w:sz w:val="4"/>
                <w:szCs w:val="4"/>
              </w:rPr>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8"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sz w:val="4"/>
                <w:szCs w:val="4"/>
              </w:rPr>
            </w:pPr>
            <w:r>
              <w:rPr>
                <w:sz w:val="4"/>
                <w:szCs w:val="4"/>
              </w:rPr>
            </w:r>
          </w:p>
        </w:tc>
        <w:tc>
          <w:tcPr>
            <w:tcW w:w="62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573" w:type="dxa"/>
            <w:tcBorders/>
            <w:vAlign w:val="bottom"/>
          </w:tcPr>
          <w:p>
            <w:pPr>
              <w:pStyle w:val="TableContents"/>
              <w:bidi w:val="0"/>
              <w:spacing w:before="0" w:after="283"/>
              <w:jc w:val="left"/>
              <w:rPr>
                <w:b/>
                <w:sz w:val="18"/>
              </w:rPr>
            </w:pPr>
            <w:r>
              <w:rPr>
                <w:b/>
                <w:sz w:val="18"/>
              </w:rPr>
              <w:t>Named Executive Officers and Directors:</w:t>
            </w:r>
          </w:p>
        </w:tc>
        <w:tc>
          <w:tcPr>
            <w:tcW w:w="474"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left"/>
              <w:rPr>
                <w:sz w:val="4"/>
                <w:szCs w:val="4"/>
              </w:rPr>
            </w:pPr>
            <w:r>
              <w:rPr>
                <w:sz w:val="4"/>
                <w:szCs w:val="4"/>
              </w:rPr>
            </w:r>
          </w:p>
        </w:tc>
        <w:tc>
          <w:tcPr>
            <w:tcW w:w="8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8"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Paul Berns(5)</w:t>
            </w:r>
          </w:p>
        </w:tc>
        <w:tc>
          <w:tcPr>
            <w:tcW w:w="474"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left"/>
              <w:rPr>
                <w:sz w:val="4"/>
                <w:szCs w:val="4"/>
              </w:rPr>
            </w:pPr>
            <w:r>
              <w:rPr>
                <w:sz w:val="4"/>
                <w:szCs w:val="4"/>
              </w:rPr>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8"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sz w:val="4"/>
                <w:szCs w:val="4"/>
              </w:rPr>
            </w:pPr>
            <w:r>
              <w:rPr>
                <w:sz w:val="4"/>
                <w:szCs w:val="4"/>
              </w:rPr>
            </w:r>
          </w:p>
        </w:tc>
        <w:tc>
          <w:tcPr>
            <w:tcW w:w="62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Lori Lyons-Williams(6)</w:t>
            </w:r>
          </w:p>
        </w:tc>
        <w:tc>
          <w:tcPr>
            <w:tcW w:w="474"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left"/>
              <w:rPr>
                <w:sz w:val="4"/>
                <w:szCs w:val="4"/>
              </w:rPr>
            </w:pPr>
            <w:r>
              <w:rPr>
                <w:sz w:val="4"/>
                <w:szCs w:val="4"/>
              </w:rPr>
            </w:r>
          </w:p>
        </w:tc>
        <w:tc>
          <w:tcPr>
            <w:tcW w:w="8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8"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Joshua Pinto, Ph.D.(7)</w:t>
            </w:r>
          </w:p>
        </w:tc>
        <w:tc>
          <w:tcPr>
            <w:tcW w:w="474"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left"/>
              <w:rPr>
                <w:sz w:val="4"/>
                <w:szCs w:val="4"/>
              </w:rPr>
            </w:pPr>
            <w:r>
              <w:rPr>
                <w:sz w:val="4"/>
                <w:szCs w:val="4"/>
              </w:rPr>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8"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sz w:val="4"/>
                <w:szCs w:val="4"/>
              </w:rPr>
            </w:pPr>
            <w:r>
              <w:rPr>
                <w:sz w:val="4"/>
                <w:szCs w:val="4"/>
              </w:rPr>
            </w:r>
          </w:p>
        </w:tc>
        <w:tc>
          <w:tcPr>
            <w:tcW w:w="62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Kristina M. Burow(8)</w:t>
            </w:r>
          </w:p>
        </w:tc>
        <w:tc>
          <w:tcPr>
            <w:tcW w:w="474"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left"/>
              <w:rPr>
                <w:sz w:val="4"/>
                <w:szCs w:val="4"/>
              </w:rPr>
            </w:pPr>
            <w:r>
              <w:rPr>
                <w:sz w:val="4"/>
                <w:szCs w:val="4"/>
              </w:rPr>
            </w:r>
          </w:p>
        </w:tc>
        <w:tc>
          <w:tcPr>
            <w:tcW w:w="8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8"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Matthew Fust(9)</w:t>
            </w:r>
          </w:p>
        </w:tc>
        <w:tc>
          <w:tcPr>
            <w:tcW w:w="474"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left"/>
              <w:rPr>
                <w:sz w:val="4"/>
                <w:szCs w:val="4"/>
              </w:rPr>
            </w:pPr>
            <w:r>
              <w:rPr>
                <w:sz w:val="4"/>
                <w:szCs w:val="4"/>
              </w:rPr>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8"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sz w:val="4"/>
                <w:szCs w:val="4"/>
              </w:rPr>
            </w:pPr>
            <w:r>
              <w:rPr>
                <w:sz w:val="4"/>
                <w:szCs w:val="4"/>
              </w:rPr>
            </w:r>
          </w:p>
        </w:tc>
        <w:tc>
          <w:tcPr>
            <w:tcW w:w="62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Maykin Ho, Ph.D.(10)</w:t>
            </w:r>
          </w:p>
        </w:tc>
        <w:tc>
          <w:tcPr>
            <w:tcW w:w="474"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left"/>
              <w:rPr>
                <w:sz w:val="4"/>
                <w:szCs w:val="4"/>
              </w:rPr>
            </w:pPr>
            <w:r>
              <w:rPr>
                <w:sz w:val="4"/>
                <w:szCs w:val="4"/>
              </w:rPr>
            </w:r>
          </w:p>
        </w:tc>
        <w:tc>
          <w:tcPr>
            <w:tcW w:w="8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8"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Nelsen(2)</w:t>
            </w:r>
          </w:p>
        </w:tc>
        <w:tc>
          <w:tcPr>
            <w:tcW w:w="474"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left"/>
              <w:rPr>
                <w:sz w:val="4"/>
                <w:szCs w:val="4"/>
              </w:rPr>
            </w:pPr>
            <w:r>
              <w:rPr>
                <w:sz w:val="4"/>
                <w:szCs w:val="4"/>
              </w:rPr>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8"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sz w:val="4"/>
                <w:szCs w:val="4"/>
              </w:rPr>
            </w:pPr>
            <w:r>
              <w:rPr>
                <w:sz w:val="4"/>
                <w:szCs w:val="4"/>
              </w:rPr>
            </w:r>
          </w:p>
        </w:tc>
        <w:tc>
          <w:tcPr>
            <w:tcW w:w="62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Kári Stefánsson, M.D.</w:t>
            </w:r>
          </w:p>
        </w:tc>
        <w:tc>
          <w:tcPr>
            <w:tcW w:w="474"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left"/>
              <w:rPr>
                <w:sz w:val="4"/>
                <w:szCs w:val="4"/>
              </w:rPr>
            </w:pPr>
            <w:r>
              <w:rPr>
                <w:sz w:val="4"/>
                <w:szCs w:val="4"/>
              </w:rPr>
            </w:r>
          </w:p>
        </w:tc>
        <w:tc>
          <w:tcPr>
            <w:tcW w:w="8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8"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Stacie Weninger, Ph.D.(11)</w:t>
            </w:r>
          </w:p>
        </w:tc>
        <w:tc>
          <w:tcPr>
            <w:tcW w:w="474"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left"/>
              <w:rPr>
                <w:sz w:val="4"/>
                <w:szCs w:val="4"/>
              </w:rPr>
            </w:pPr>
            <w:r>
              <w:rPr>
                <w:sz w:val="4"/>
                <w:szCs w:val="4"/>
              </w:rPr>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8"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sz w:val="4"/>
                <w:szCs w:val="4"/>
              </w:rPr>
            </w:pPr>
            <w:r>
              <w:rPr>
                <w:sz w:val="4"/>
                <w:szCs w:val="4"/>
              </w:rPr>
            </w:r>
          </w:p>
        </w:tc>
        <w:tc>
          <w:tcPr>
            <w:tcW w:w="62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(12 persons)(12)</w:t>
            </w:r>
          </w:p>
        </w:tc>
        <w:tc>
          <w:tcPr>
            <w:tcW w:w="474"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left"/>
              <w:rPr>
                <w:sz w:val="4"/>
                <w:szCs w:val="4"/>
              </w:rPr>
            </w:pPr>
            <w:r>
              <w:rPr>
                <w:sz w:val="4"/>
                <w:szCs w:val="4"/>
              </w:rPr>
            </w:r>
          </w:p>
        </w:tc>
        <w:tc>
          <w:tcPr>
            <w:tcW w:w="8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8"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Consists of          shares of common stock issuable upon the conversion of Series A-2 convertible preferred stock. Investment and voting decisions for Amgen Inc. are made by an investment committee comprised of three or more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individuals, and therefore no individual is the beneficial owner of the shares held by Amgen Inc. The address of Amgen Inc. is One Amgen Center Drive, Thousand Oaks, California 91320.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Consists of (i)          shares of common stock held by ARCH Venture Fund X, L.P. (ARCH X), (ii) shares of common stock issuable upon the conversion of Series A-2 convertible preferred stock held by ARCH X, (iii)          shares of common stock held by ARCH Venture Fund X, Overage, L.P. (ARCH X Overage), (iv)          shares of common stock issuable upon the conversion of Series A-2 convertible preferred stock held by ARCH X Overage, (v)          shares of common stock issuable upon the conversion of Series A-2 convertible preferred stock held by ARCH Venture Partners X, L.P. (AVP X LP), (vi)          shares of common stock issuable upon the conversion of Series A-2 convertible preferred stock held by ARCH Venture Partners X, Overage L.P. (AVP X Overage LP), (vii)          shares of common stock issuable upon the conversion of Series A-1 convertible preferred stock held by ARCH Venture Fund VII, L.P. (ARCH VII) and (viii)          of common stock issuable upon the conversion of Series A-2 convertible preferred stock held by ARCH Venture Fund VIII Overage, L.P. (ARCH VIII Overage). AVP X LP is the sole general partner of ARCH X. AVP X Overage LP is the sole general partner of ARCH X Overage. ARCH Venture Partners X, LLC (AVP X LLC) is the sole general partner of each of AVP X LP and AVP X Overage LP. ARCH Venture Partners VII, L.P. (AVP VII LP), is the sole general partner of ARCH VII and ARCH Venture Partners VII, LLC (AVP VII LLC), is the sole general partner of AVP VII LP. ARCH Venture Partners VIII, LLC (AVP VIII LLC), is the general partner of ARCH VIII Overage. Keith Crandell, Kristina Burow, Steven Gillis and Robert Nelsen comprise the investment committee of AVP X LLC (the AVP X Committee Members). AVP X LLC may be deemed to beneficially own the shares held by ARCH X and ARCH X Overage, and each of the AVP X Committee Members may be deemed to share the power to direct the disposition and vote of the shares held by ARCH X and ARCH X Overage. Clinton Bybee, Keith Crandell and Robert Nelsen comprise the investment committee of AVP VII LLC (AVP VII LLC Committee Members). AVP VII LLC may be deemed to beneficially own the shares held by ARCH VII, and each of the AVP VII LLC Committee Members may be deemed to share the power to direct the disposition and vote of the shares held by ARCH VII. Clinton Bybee, Keith Crandell and Robert Nelsen comprise the investment committee of AVP VIII LLC (the AVP VIII LLC Committee Members). AVP VIII LLC may be deemed to beneficially own the shares held by ARCH VIII Overage, and each of the AVP VIII LLC Committee Members may be deemed to share the power to direct the disposition and vote of the shares held by ARCH VIII Overage. AVP X Committee Members, AVP VII LLC Committee Members and AVP VIII LLC Committee Members each disclaim beneficial ownership except to the extent of their pecuniary interest therein, if any. Further, Paul Berns does not have dispositive control over any of our shares held beneficially by AVP X LLC, ARCH VII LLC and ARCH VIII LLC. The address of ARCH Venture Partners is 1700 Owens Street, Suite 535, San Francisco, California 94158.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Consists of (i)          shares of common stock held by Biomatics Capital Partners, L.P. (Biomatics), (ii)          shares of common stock issuable upon the conversion of Series A-1 convertible preferred stock held by Biomatics, (iii)          shares of common stock issuable upon the conversion of Series A-2 convertible preferred stock held by Biomatics, (iv)          shares of common stock held by Biomatics Capital Partners II L.P. (Biomatics II, and together with Biomatics, Biomatics Capital Partners) and (v)          shares of common stock issuable upon the conversion of Series A-2 convertible preferred stock held by Biomatics II. Biomatics Capital Management, L.L.C. (Biomatics LLC) is the managing partner of Biomatics and Biomatics II. Julie Sunderland and Boris Nikolic are the general managers of Biomatics LLC (the Biomatics LLC Committee Members). Biomatics LLC may be deemed to beneficially own the shares held Biomatics and Biomatics II, and each of the Biomatics LLC Committee Members may be deemed to share the power to direct the disposition and vote of the shares held by Biomatics and Biomatics II. The Biomatics LLC Committee Members each disclaim beneficial ownership except to the extent of their pecuniary interest therein, if any. The address of Biomatics Capital Partners is 188 E. Blaine Street, Suite 126, Seattle, Washington 98102.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Consists of shares of common stock issuable upon the conversion of Series A-2 convertible preferred stock. SoftBank Vision Fund II-2 L.P. is the managing member of SVF II Holdings (DE) LLC, which is the sole member of SVF. SB Global Advisers Limited (SBGA) has been appointed as manager and is responsible for making all decisions related to the acquisition, structuring, financing and disposal of SoftBank Vision Fund II-2 L.P.s investments, including as held by SVF. Spencer Collins, Rajeev Misra, and Neil Hadley are the directors of SBGA. As a result of these relationships, each of these entities and individuals may be deemed to share beneficial ownership of the securities held of record by SVF. Each of them disclaims any such beneficial ownership. The registered address for each of SVF and SVF II Holdings (DE) LLC is c/o Corporation Service Company, 251 Little Falls Drive, Wilmington, DE 19808. The registered address of SoftBank Vision Fund II-2 L.P. is c/o Crestbridge Limited, 47 Esplanade, St. Helier, Jersey, JE1 0BD. The business address of SB Global Advisers Limited is 69 Grosvenor Street, London W1K 3JP, England, United Kingdom.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Consists of          shares of common stock held directly by Mr. Berns.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Consists of (i)          shares of common stock held directly by Ms. Lyons-Williams and (ii)          shares issuable pursuant to stock options exercisable within 60 days of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Consists of (i)          shares of common stock held directly by Dr. Pinto and (ii)          shares issuable pursuant to stock options exercisable within 60 days of             .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See Footnote (2) above. Also consists of          shares of common stock issuable upon the conversion of Series A-1 convertible preferred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Consists of          shares issuable pursuant to stock options exercisable within 60 days of             .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Consists of          shares issuable pursuant to stock options exercisable within 60 days of             .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Dr. Weninger has indicated her intention to resign as a director prior to the effectiveness of the registration statement for which this prospectus is a part.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Consists of (i)         shares of common stock issuable upon the conversion of Series A-1 convertible preferred stock, (ii)          shares of common stock and (iii)          shares issuable pursuant to stock options exercisable within 60 days of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rom241143_18"/>
      <w:bookmarkEnd w:id="20"/>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summary describes our capital stock and the material provisions of our amended and restated certificate of incorporation and our amended and restated bylaws, which will become effective immediately prior to the completion of this offering, the investors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investors rights agreement, copies of which have been filed as exhibits to the registration statement of which this prospectus is part.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this offering and the filing of our amended and restated certificate of incorporation, our authorized capital stock will consist of          shares of common stock, par value $0.0001 per share, and          shares of preferred stock, par value $0.0001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Outstanding Shares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2022, we had          shares of common stock outstanding, held of record by          stockholders, assuming the conversion of all of our outstanding shares of convertible preferred stock into          shares of common stock immediately prior to the completion of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66-2/3% of the voting power of all of the then outstanding voting stock will be required to take certain actions, including amending certain provisions of our amended and restated certificate of incorporation, including the provisions relating to amending our amended and restated bylaws, the classified board and director liability.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be applicable to any then outstanding preferred stock, holders of our common stock are entitled to receive dividends as may be declared from time to time by our board of directors out of legally available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then outstanding shares of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Preferences and Privileges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All of our outstanding shares of common stock are, and the shares of common stock to be issued in this offering will be,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this offering, all of our currently outstanding shares of convertible preferred stock will convert into common stock and we will not have any shares of preferred stock outstanding. Immediately prior to the completion of this offering, our amended and restated certificate of incorporation will be amended and restated to delete all references to such shares of convertible preferred stock. From and after the consummation of this offering, our board of directors will have the authority, without further action by our stockholders, to issue up to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2022, we had outstanding options to purchase an aggregate of          shares of our common stock, with a weighted-average exercise price of $         per share. For additional information regarding terms of our equity incentive plans, see the section titled Executive CompensationEquity Compensation Plans.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this offering and subject to the lock-up agreements entered into in connection with this offering and federal securities laws, certain holders of shares of our common stock, including those shares of our common stock that will be issued upon the conversion of our convertible preferred stock in connection with this offering, will initially be entitled to certain rights with respect to registration of such shares under the Securities Act. These shares are referred to as registrable securities. The holders of these registrable securities possess registration rights pursuant to the terms of our investors rights agreement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demand, piggyback and Form S-3 registrations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Generally, in an underwritten offering, the managing underwriter, if any, has the right, subject to specified conditions and limitations, to limit the number of shares the holders may include. The demand, piggyback and Form S-3 registration rights described below will terminate upon the earliest of (i) with respect to each stockholder, such date, on or after the closing of this offering, on which all registrable shares held by such stockholder may immediately be sold during any 90-day period pursuant to Rule 144 of the Securities Act, or Rule 144 and (ii) the occurrence of a deemed liquidation event, as defined in our amended and restated certificate of incorporation, as currently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Demand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this offering, holders of approximately              shares of our common stock issuable upon conversion of outstanding convertible preferred stock will be entitled to certain demand registration rights. Beginning 180 days following the effectiveness of the registration statement of which this prospectus is a part, certain major investors holding, collectively, holding at least 40% of registrable securities may, on not more than two occasions, request that we register all or a portion of their shares, subject to certain specified exceptions. If any of these holders exercises its demand registration rights, then holders of approximately              shares of our common stock issuable upon the shares of our convertible preferred stock in connection with this offering will be entitled to register their shares, subject to specified conditions and limitations in the corresponding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Piggyback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holders of approximately              shares of our common stock issuable upon conversion of outstanding convertible preferred stock are entitled to their rights to notice of this offering and to include their shares of registrable securities in this offering. The requisite percentage of these stockholders are expected to waive all such stockholders rights to notice of this offering and to include their shares of registrable securities in this offering. In the event that we propose to register any of our securities under the Securities Act in another offering, either for our own account or for the account of other security holders, the holders of registrable securities will be entitled to certain piggyback registration rights allowing them to include their shares in such registration, subject to specified conditions and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S-3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this offering, the holders of approximately              shares of our common stock issuable upon conversion of outstanding convertible preferred stock will initially be entitled to certain Form S-3 registration rights. Certain major investors holding at least 20% of registrable securities may, on not more than two registrations on Form S-3 within any 12-month period, request that we register all or a portion of their shares on Form S-3 if we are qualified to file a registration statement on Form S-3, subject to specified exceptions. Such request for registration on Form S-3 must cover securities with an aggregate offering price which equals or exceeds $5.0 million, net of selling expenses. The right to have such shares registered on Form S-3 is further subject to other specified conditions and limitations. </w:t>
      </w:r>
    </w:p>
    <w:p>
      <w:pPr>
        <w:pStyle w:val="TextBody"/>
        <w:bidi w:val="0"/>
        <w:spacing w:before="360" w:after="0"/>
        <w:jc w:val="left"/>
        <w:rPr>
          <w:rFonts w:ascii="Times New Roman" w:hAnsi="Times New Roman"/>
          <w:b/>
          <w:sz w:val="20"/>
        </w:rPr>
      </w:pPr>
      <w:r>
        <w:rPr>
          <w:rFonts w:ascii="Times New Roman" w:hAnsi="Times New Roman"/>
          <w:b/>
          <w:sz w:val="20"/>
        </w:rPr>
        <w:t xml:space="preserve">Election and Removal of Directors; Vacancies </w:t>
      </w:r>
    </w:p>
    <w:p>
      <w:pPr>
        <w:pStyle w:val="TextBody"/>
        <w:bidi w:val="0"/>
        <w:spacing w:before="120" w:after="0"/>
        <w:jc w:val="left"/>
        <w:rPr>
          <w:rFonts w:ascii="Times New Roman" w:hAnsi="Times New Roman"/>
          <w:sz w:val="20"/>
        </w:rPr>
      </w:pPr>
      <w:r>
        <w:rPr>
          <w:rFonts w:ascii="Times New Roman" w:hAnsi="Times New Roman"/>
          <w:sz w:val="20"/>
        </w:rPr>
        <w:t xml:space="preserve">The exact number of directors will be fixed from time to time by resolution of the board. Directors will be elected by a plurality of the votes of the shares of our capital stock present in person or represented by proxy at the meeting and entitled to vote on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No director may be removed except for cause, and directors may be removed for cause only by an affirmative vote of shares representing not less than a majority of the shares then entitled to vote at an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Any vacancy occurring on the board of directors and any newly created directorship may be filled only by a majority of the remaining directors in office. </w:t>
      </w:r>
    </w:p>
    <w:p>
      <w:pPr>
        <w:pStyle w:val="TextBody"/>
        <w:bidi w:val="0"/>
        <w:spacing w:before="360" w:after="0"/>
        <w:jc w:val="left"/>
        <w:rPr>
          <w:rFonts w:ascii="Times New Roman" w:hAnsi="Times New Roman"/>
          <w:b/>
          <w:sz w:val="20"/>
        </w:rPr>
      </w:pPr>
      <w:r>
        <w:rPr>
          <w:rFonts w:ascii="Times New Roman" w:hAnsi="Times New Roman"/>
          <w:b/>
          <w:sz w:val="20"/>
        </w:rPr>
        <w:t xml:space="preserve">Staggered Board </w:t>
      </w:r>
    </w:p>
    <w:p>
      <w:pPr>
        <w:pStyle w:val="TextBody"/>
        <w:bidi w:val="0"/>
        <w:spacing w:before="120" w:after="0"/>
        <w:jc w:val="left"/>
        <w:rPr>
          <w:rFonts w:ascii="Times New Roman" w:hAnsi="Times New Roman"/>
          <w:sz w:val="20"/>
        </w:rPr>
      </w:pPr>
      <w:r>
        <w:rPr>
          <w:rFonts w:ascii="Times New Roman" w:hAnsi="Times New Roman"/>
          <w:sz w:val="20"/>
        </w:rPr>
        <w:t xml:space="preserve">Upon the closing of this offering, our board of directors will be divided into three classes serving staggered three-year terms. Class I, Class II, and Class III directors will serve until our annual meetings of stockholders in 202    , 202     and 202    , respectively. At each annual meeting of stockholders, directors will be elected to succeed the class of directors whose terms have expired. This classification of our board of directors could have the effect of increasing the length of time necessary to change the composition of a majority of the board of directors. In general, at least two annual meetings of stockholders will typically be necessary for stockholders to effect a change in a majority of the members of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Limitation on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our amended and restated bylaws provide that holders of our common stock will not be able to act by written consent without a meeting.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our amended and restated bylaws provide that special meetings of our stockholders may be called only by the chairman of the board, our chief executive officer (or president, in the absence of a chief executive officer) or a majority of the directors. Our amended and restated certificate of incorporation and our amended and restated bylaws specifically deny any power of any other person to call a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Certificate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our amended and restated certificate of incorporation described under the subsections titled Election and Removal of Directors; Vacancies, Stockholder Meetings, Limitation on Action by Written Consent, Limitation of Liability of Directors and Officers, Common StockVoting Rights and Forum Selection and provisions relating to amendments to our amended and restated certificate of incorporation may be amended only by the affirmative vote of holders of at least 66-2/3% of the voting power of our outstanding shares of voting stock. The affirmative vote of holders of at least a majority of the voting power of our outstanding shares of stock will generally be required to amend other provisions of our amended and restated certificate of incorporation.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our amended and restated bylaws may generally be altered, amended, or repealed, and new bylaws may be adopted, with the affirmative vote of a majority of directors present at any regular or special meeting of the board of directors called for that purpose, provided that any alteration, amendment, or repeal of, or adoption of any bylaw inconsistent with specified provisions of the bylaws, including those related to special and annual meetings of stockholders, action of stockholders by written consent, nomination of directors, transfers of capital stock and dividends requires the affirmative vote of at least 66-2/3% of all directors in office at a meeting called for that purpose. </w:t>
      </w:r>
    </w:p>
    <w:p>
      <w:pPr>
        <w:pStyle w:val="TextBody"/>
        <w:bidi w:val="0"/>
        <w:spacing w:before="240" w:after="0"/>
        <w:jc w:val="left"/>
        <w:rPr>
          <w:rFonts w:ascii="Times New Roman" w:hAnsi="Times New Roman"/>
          <w:sz w:val="20"/>
        </w:rPr>
      </w:pPr>
      <w:r>
        <w:rPr>
          <w:rFonts w:ascii="Times New Roman" w:hAnsi="Times New Roman"/>
          <w:sz w:val="20"/>
        </w:rPr>
        <w:t xml:space="preserve">All other provisions of our amended and restated bylaws may generally be altered, amended, or repealed, and new bylaws may be adopted, with the affirmative vote of holders of 66-2/3 % of the voting power of our outstanding shares of voting stock. </w:t>
      </w:r>
    </w:p>
    <w:p>
      <w:pPr>
        <w:pStyle w:val="TextBody"/>
        <w:bidi w:val="0"/>
        <w:spacing w:before="360" w:after="0"/>
        <w:jc w:val="left"/>
        <w:rPr>
          <w:rFonts w:ascii="Times New Roman" w:hAnsi="Times New Roman"/>
          <w:b/>
          <w:sz w:val="20"/>
        </w:rPr>
      </w:pPr>
      <w:r>
        <w:rPr>
          <w:rFonts w:ascii="Times New Roman" w:hAnsi="Times New Roman"/>
          <w:b/>
          <w:sz w:val="20"/>
        </w:rPr>
        <w:t xml:space="preserve">Other Limitations on Stockholder Actions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impose some procedural requirements on stockholders who wish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nominations in the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 that a director be removed;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 any repeal or change in our amended and restated bylaws;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 any other business to be brought before an annual or special meeting of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these procedural requirements, in order to bring a proposal before a meeting of stockholders, a stockholder must deliver timely notice of a proposal pertaining to a proper subject for presentation at the meeting to our corporate secretary along with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business or nomination to be brought before the meeting and the reasons for conducting such business at the meeting;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name and address;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interest of the stockholder in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beneficially owned by the stockholder and evidence of such ownership;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and addresses of all persons with whom the stockholder is acting in concert and a description of all arrangements and understandings with those persons, and the number of shares such persons beneficially own.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be timely, a stockholder must generally deliver notice: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an annual meeting of stockholders, not less than 120 nor more than 150 days prior to the date on which the annual meeting of stockholders was held in the immediately preceding year, but in the event that the date of the annual meeting is more than 30 days before or more than 70 days after the anniversary date of the preceding annual meeting of stockholders, a stockholder notice will be timely if received by us not later than the close of business on the later of (i) not less than 70 nor more than 120 days prior to the date of the annual meeting and (ii) the 10th day following the day on which we first publicly announce the date of the annual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election of a director at a special meeting of stockholders, during the period not less than 120 nor more than 150 days prior to the date of the special meeting, or the 10th day following the day on which a notice of the date of the special meeting was mailed to the stockholders or the public disclosure of that date was made.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submit a nomination for our board of directors, a stockholder must also submit all information with respect to the nominee that would be required to be included in a proxy statement, as well as other information. If a stockholder fails to follow the required procedures, the stockholders proposal or nominee will be ineligible and will not be voted on by our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of Liability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no director will be personally liable to us or our stockholders for monetary damages for breach of fiduciary duty as a director, except as required by applicable law, as in effect from time to time. 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duty of loyalty to our company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which involved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unlawful payments of dividends or unlawful stock repurchases or redemptions as provided in Section 174 of the Delaware General Corporation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neither we nor our stockholders have the right, through stockholders derivative suits on our behalf, to recover monetary damages against a director for breach of fiduciary duty as a director, including breaches resulting from grossly negligent behavior, except in the situations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also provides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or officer. Amending this provision will not reduce our indemnification obligations relating to actions taken before an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Forum Selection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the Court of Chancery of the State of Delaware will be the sole and exclusive forum for the following types of actions or proceedings under Delaware statutory or common law: (i) any derivative action or proceeding brought on behalf of us; (ii) any action asserting a claim of breach of fiduciary duty owed by any director, officer, or other employee of our company to us or our stockholders; (iii) any action asserting a claim arising pursuant to any provision of the Delaware General Corporation Law or our amended and restated certificate of incorporation and bylaws; or (iv) any action asserting a claim governed by the internal affairs doctrine. This provision would not apply to claims brought to enforce a duty or liability created by the Securities Exchange Act of 1934, as amended, or any other claim for which the federal courts have exclusive jurisdiction. </w:t>
      </w:r>
    </w:p>
    <w:p>
      <w:pPr>
        <w:pStyle w:val="TextBody"/>
        <w:bidi w:val="0"/>
        <w:spacing w:before="240" w:after="0"/>
        <w:jc w:val="left"/>
        <w:rPr>
          <w:rFonts w:ascii="Times New Roman" w:hAnsi="Times New Roman"/>
          <w:sz w:val="20"/>
        </w:rPr>
      </w:pPr>
      <w:r>
        <w:rPr>
          <w:rFonts w:ascii="Times New Roman" w:hAnsi="Times New Roman"/>
          <w:sz w:val="20"/>
        </w:rPr>
        <w:t xml:space="preserve">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of 1933, as amended. Any person or entity purchasing or otherwise acquiring any interest in our shares of capital stock shall be deemed to have notice of and consented to the foregoing forum selection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Our exclusive forum provision will not relieve us of our duties to comply with the federal securities laws and the rules and regulations thereunder, and our stockholders will not be deemed to have waived our compliance with these laws,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The enforceability of similar federal court choice of forum provisions in other companies certificates of incorporation has been challenged in legal proceedings, and it is possible that a court could find this type of provision to be inapplicable or unenforceable. If a court were to find either of the choice of forum provisions contained in our amended and restated certificate of incorporation or amended and restated bylaws to be inapplicable or unenforceable in an action, we may incur additional costs associated with resolving such action in other jurisdictions. </w:t>
      </w:r>
    </w:p>
    <w:p>
      <w:pPr>
        <w:pStyle w:val="TextBody"/>
        <w:bidi w:val="0"/>
        <w:spacing w:before="240" w:after="0"/>
        <w:jc w:val="left"/>
        <w:rPr>
          <w:rFonts w:ascii="Times New Roman" w:hAnsi="Times New Roman"/>
          <w:sz w:val="20"/>
        </w:rPr>
      </w:pPr>
      <w:r>
        <w:rPr>
          <w:rFonts w:ascii="Times New Roman" w:hAnsi="Times New Roman"/>
          <w:sz w:val="20"/>
        </w:rPr>
        <w:t xml:space="preserve">The choice of forum provisions may limit a stockholders ability to bring a claim in a judicial forum that it finds favorable for disputes with the company or our directors, officers or other employees, which may discourage such lawsuits against the company and our directors, officers and other employees and result in increased costs for investors to bring a claim. </w:t>
      </w:r>
    </w:p>
    <w:p>
      <w:pPr>
        <w:pStyle w:val="TextBody"/>
        <w:bidi w:val="0"/>
        <w:spacing w:before="360" w:after="0"/>
        <w:jc w:val="left"/>
        <w:rPr>
          <w:rFonts w:ascii="Times New Roman" w:hAnsi="Times New Roman"/>
          <w:b/>
          <w:sz w:val="20"/>
        </w:rPr>
      </w:pPr>
      <w:r>
        <w:rPr>
          <w:rFonts w:ascii="Times New Roman" w:hAnsi="Times New Roman"/>
          <w:b/>
          <w:sz w:val="20"/>
        </w:rPr>
        <w:t xml:space="preserve">Delaware Business Combination Statute </w:t>
      </w:r>
    </w:p>
    <w:p>
      <w:pPr>
        <w:pStyle w:val="TextBody"/>
        <w:bidi w:val="0"/>
        <w:spacing w:before="120" w:after="0"/>
        <w:jc w:val="left"/>
        <w:rPr>
          <w:rFonts w:ascii="Times New Roman" w:hAnsi="Times New Roman"/>
          <w:sz w:val="20"/>
        </w:rPr>
      </w:pPr>
      <w:r>
        <w:rPr>
          <w:rFonts w:ascii="Times New Roman" w:hAnsi="Times New Roman"/>
          <w:sz w:val="20"/>
        </w:rPr>
        <w:t xml:space="preserve">We have elected to be subject to Section 203 of the Delaware General Corporation Law. Section 203 prevents an interested stockholder, which is defined generally as a person owning 15% or more of a corporations voting stock, or any affiliate or associate of that person, from engaging in a broad range of business combinations with the corporation for three years after becoming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of the corporation had previously approved either the business combination or the transaction that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transaction that resulted in the stockholder becoming an interested stockholder, that person owned at least 85% of the voting stock of the corporation outstanding at the time the transaction commenced, other than statutorily excluded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transaction in which that person became an interested stockholder, the business combination is approved by the board of directors of the corporation and holders of at least two-thirds of the outstanding voting stock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Section 203, the restrictions described above also do not apply to specific business combinations proposed by an interested stockholder following the announcement or notification of designated extraordinary transactions involving the corporation and a person who had not been an interested stockholder during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previous three years or who became an interested stockholder with the approval of a majority of the corporations directors, if such extraordinary transaction is approved or not opposed by a majority of the directors who were directors prior to any person becoming an interested stockholder during the previous three years or were recommended for election or elected to succeed such directors by a majority of such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203 may make it more difficult for a person who would be an interested stockholder to effect various business combinations with a corporation for a three-year period. Section 203 also may have the effect of preventing changes in our management and could make it more difficult to accomplish transactions that our stockholders may otherwise deem to be in their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Some Provisions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our amended and restated certificate of incorporation and amended and restated bylaws could make the following more difficult: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 of control of us by means of a proxy contest, tender offer, or otherwise;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removal of our incumbent officers and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as well as our ability to issue preferred stock, are designed to discourage coercive takeover practices and inadequate takeover bids. These provisions are also designed to encourage persons seeking to acquire control of us to first negotiate with our board of directors. We believe that the 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We intend to apply to list our common stock on the Nasdaq Global Market under the symbol NMRA.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the common stock will be                 . The transfer agent and registrars address is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rom241143_19"/>
      <w:bookmarkEnd w:id="21"/>
      <w:r>
        <w:rPr>
          <w:rFonts w:ascii="Times New Roman" w:hAnsi="Times New Roman"/>
          <w:b/>
          <w:sz w:val="20"/>
        </w:rPr>
        <w:t xml:space="preserve">MATERIAL U.S. FEDERAL INCOME TAX CONSEQUENCES TO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(the IRS), in each case in effect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common stock as part of a hedge, straddle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treated as partnerships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common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 of a Non-U.S. Holder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all substantial decisions of which are subject to the control of one or more United States persons (within the meaning of Section 7701(a)(30) of the Code) or (ii) has a valid election in effect to be treated as a United States person for U.S. federal income tax purposes.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 section titled Dividend Policy, we do not anticipate paying any cash dividends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the subsection titled Sale or Other Taxable Disposition.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regarding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treaties. </w:t>
      </w:r>
    </w:p>
    <w:p>
      <w:pPr>
        <w:pStyle w:val="TextBody"/>
        <w:bidi w:val="0"/>
        <w:spacing w:before="240" w:after="0"/>
        <w:jc w:val="left"/>
        <w:rPr>
          <w:rFonts w:ascii="Times New Roman" w:hAnsi="Times New Roman"/>
          <w:sz w:val="20"/>
        </w:rPr>
      </w:pPr>
      <w:r>
        <w:rPr>
          <w:rFonts w:ascii="Times New Roman" w:hAnsi="Times New Roman"/>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Any such effectively connected dividends will be subject to U.S. federal income tax on a net income basis at the regular rates applicable to U.S. persons. A Non-U.S. Holder that is a corporation also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Sale or Other Taxable Disposition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will not be subject to U.S. federal income tax on any gain realized upon the sale or other taxable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constitutes a U.S. real property interest (USRPI), by reason of our status as a U.S. real property holding corporation (USRPHC),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certain U.S.-source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that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any applicable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dividends on our common stock will not be subject to backup withholding, provided the Non-U.S. Holder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withholding agent receives the certification described above or the Non-U.S.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 </w:t>
      </w:r>
    </w:p>
    <w:p>
      <w:pPr>
        <w:pStyle w:val="TextBody"/>
        <w:bidi w:val="0"/>
        <w:spacing w:before="240" w:after="0"/>
        <w:jc w:val="left"/>
        <w:rPr>
          <w:rFonts w:ascii="Times New Roman" w:hAnsi="Times New Roman"/>
          <w:sz w:val="20"/>
        </w:rPr>
      </w:pPr>
      <w:r>
        <w:rPr>
          <w:rFonts w:ascii="Times New Roman" w:hAnsi="Times New Roman"/>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Tax on Payments Made to Foreign Accounts </w:t>
      </w:r>
    </w:p>
    <w:p>
      <w:pPr>
        <w:pStyle w:val="TextBody"/>
        <w:bidi w:val="0"/>
        <w:spacing w:before="120" w:after="0"/>
        <w:jc w:val="left"/>
        <w:rPr>
          <w:rFonts w:ascii="Times New Roman" w:hAnsi="Times New Roman"/>
          <w:sz w:val="20"/>
        </w:rPr>
      </w:pPr>
      <w:r>
        <w:rPr>
          <w:rFonts w:ascii="Times New Roman" w:hAnsi="Times New Roman"/>
          <w:sz w:val="20"/>
        </w:rPr>
        <w:t xml:space="preserve">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(i)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Under applicable Treasury Regulations and administrative guidance, withholding under FATCA generally applies to payments of dividends on our common stock. While withholding under FATCA would have applied also to payments of gross proceeds from the sale or other disposition of our common stock beginning on January 1, 2019, proposed Treasury Regulations eliminate FATCA withholding on payments of gross proceeds entirely. Taxpayers generally may rely on these proposed Treasury Regulations until final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potential application of withholding under FATCA to their investment in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rom241143_20"/>
      <w:bookmarkEnd w:id="22"/>
      <w:r>
        <w:rPr>
          <w:rFonts w:ascii="Times New Roman" w:hAnsi="Times New Roman"/>
          <w:b/>
          <w:sz w:val="20"/>
        </w:rPr>
        <w:t xml:space="preserve">SHARES ELIGIBLE FOR FUTURE SALE </w:t>
      </w:r>
    </w:p>
    <w:p>
      <w:pPr>
        <w:pStyle w:val="TextBody"/>
        <w:bidi w:val="0"/>
        <w:spacing w:before="240" w:after="0"/>
        <w:jc w:val="left"/>
        <w:rPr>
          <w:rFonts w:ascii="Times New Roman" w:hAnsi="Times New Roman"/>
          <w:sz w:val="20"/>
        </w:rPr>
      </w:pPr>
      <w:r>
        <w:rPr>
          <w:rFonts w:ascii="Times New Roman" w:hAnsi="Times New Roman"/>
          <w:sz w:val="20"/>
        </w:rPr>
        <w:t xml:space="preserve">Prior to this offering, there has been no public market for our common stock. Future sales of substantial amounts of our common stock in the public market could adversely affect market prices prevailing from time to time. Furthermore, because only a limited number of shares will be available for sale shortly after this offering due to existing contractual and legal restrictions on resale as described below, there may be sales of substantial amounts of our common stock in the public market after the restrictions lapse. This may adversely affect the prevailing market price and our ability to raise equity capital in the future. </w:t>
      </w:r>
    </w:p>
    <w:p>
      <w:pPr>
        <w:pStyle w:val="TextBody"/>
        <w:bidi w:val="0"/>
        <w:spacing w:before="240" w:after="0"/>
        <w:jc w:val="left"/>
        <w:rPr>
          <w:rFonts w:ascii="Times New Roman" w:hAnsi="Times New Roman"/>
          <w:sz w:val="20"/>
        </w:rPr>
      </w:pPr>
      <w:r>
        <w:rPr>
          <w:rFonts w:ascii="Times New Roman" w:hAnsi="Times New Roman"/>
          <w:sz w:val="20"/>
        </w:rPr>
        <w:t xml:space="preserve">Based on the number of shares of our common stock outstanding as of March 31, 2022, upon completion of this offering, we will have          shares of common stock outstanding, assuming no exercise of the underwriters option to purchase additional shares and no exercise of any options after March 31, 2022. Of these shares,          (or          shares of our common stock if the underwriters exercise their option to purchase additional shares in full), sold in this offering will be freely transferable without restriction or registration under the Securities Act, except for any shares purchased by one of our existing affiliates, as that term is defined in Rule 144 under the Securities Act. The remaining          shares of common stock outstanding will bear restricted shares as defined in Rule 144. Restricted shares and the shares of common stock into which such securities are convertible may be sold in the public market only if registered or if they qualify for an exemption from registration under Rules 144 or 701 of the Securities Act, which rules are summarized below. As a result of the contractual lock-up period ending 180 days after the date of this prospectus described below and the provisions of Rules 144 and 701, these shares will be available for sale in the public market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Number of Shares</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c>
          <w:tcPr>
            <w:tcW w:w="520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pPr>
            <w:r>
              <w:rPr/>
              <w:t>After 180 days from the date of this prospectus (subject, in some cases, to volume limitations)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Rule 144 </w:t>
      </w:r>
    </w:p>
    <w:p>
      <w:pPr>
        <w:pStyle w:val="TextBody"/>
        <w:bidi w:val="0"/>
        <w:spacing w:before="120" w:after="0"/>
        <w:jc w:val="left"/>
        <w:rPr>
          <w:rFonts w:ascii="Times New Roman" w:hAnsi="Times New Roman"/>
          <w:sz w:val="20"/>
        </w:rPr>
      </w:pPr>
      <w:r>
        <w:rPr>
          <w:rFonts w:ascii="Times New Roman" w:hAnsi="Times New Roman"/>
          <w:sz w:val="20"/>
        </w:rPr>
        <w:t xml:space="preserve">In general, a person who has beneficially owned restricted shares of our common stock for at least six months would be entitled to sell such securities, provided that (i) such person is not deemed to have been one of our affiliates at the time of, or at any time during the 90 days preceding, a sale; and (ii) we are subject to the Exchange Act periodic reporting requirements for at least 90 days before the sale. 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of the number of shares of our common stock then outstanding, which will equal approximately          shares immediately after this offering, assuming no exercise of the underwriters option to purchase additional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trading volume of shares of our common stock on the Nasdaq Global Market during the four calendar weeks preceding the filing of a notice on Form 144 with respect to the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Rule 701 </w:t>
      </w:r>
    </w:p>
    <w:p>
      <w:pPr>
        <w:pStyle w:val="TextBody"/>
        <w:bidi w:val="0"/>
        <w:spacing w:before="120" w:after="0"/>
        <w:jc w:val="left"/>
        <w:rPr>
          <w:rFonts w:ascii="Times New Roman" w:hAnsi="Times New Roman"/>
          <w:sz w:val="20"/>
        </w:rPr>
      </w:pPr>
      <w:r>
        <w:rPr>
          <w:rFonts w:ascii="Times New Roman" w:hAnsi="Times New Roman"/>
          <w:sz w:val="20"/>
        </w:rPr>
        <w:t xml:space="preserve">In general, under Rule 701 as currently in effect, any of our employees, directors, officers, consultants or advisors who acquired common stock from us in connection with a written compensatory stock or option plan or other written agreement in compliance with Rule 701 before the effective date of the registration statement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this prospectus is a part (to the extent such common stock is not subject to a lock-up agreement) and who are not our affiliates as defined in Rule 144 during the immediately preceding 90 days, is entitled to rely on Rule 701 to resell such shares beginning 90 days after the date of this prospectus in reliance on Rule 144, but without complying with the notice, manner of sale, public information requirements or volume limitation provisions of Rule 144. Persons who are our affiliates may resell those shares beginning 90 days after the date of this prospectus without compliance with minimum holding period requirements under Rule 144 (subject to the terms of the lock-up agreement referred to below, if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we, our directors, our executive officers and holders of substantially all of our other outstanding shares of common stock or securities convertible into or exchangeable for shares of our common stock outstanding upon the completion of this offering, have entered into or will enter into lock-up agreements with the underwriters, subject to certain exceptions more fully described under the section titled Underwriting, not to, among other things and subject to certain exceptions, dispose of or hedge any of their common stock or securities convertible into or exchangeable for shares of common stock during the period from the date of this prospectus continuing through the date 180 days after the date of this prospectus, except with the prior consent of J.P. Morgan Securities LLC, BofA Securities, Inc. and Credit Suisse (USA) Securities LLC. See the section titled Underwriting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this offering, the holders of approximately              shares of our common stock will be entitled to rights with respect to the registration of their shares under the Securities Act, subject to the lock-up agreements described under Lock-Up Agreements above. Registration of these shares under the Securities Act would result in the shares becoming freely tradable without restriction under the Securities Act, except for shares purchased by affiliates, immediately upon the effectiveness of the registration statement of which this prospectus is a part. Any sales of securities by these stockholders could have a material adverse effect on the trading price of our common stock. The requisite percentage of these stockholders will waive all such stockholders rights to notice of this offering and to include their shares of registrable securities in this offering. See the section titled Description of Capital StockRegistration Rights. </w:t>
      </w:r>
    </w:p>
    <w:p>
      <w:pPr>
        <w:pStyle w:val="TextBody"/>
        <w:bidi w:val="0"/>
        <w:spacing w:before="360" w:after="0"/>
        <w:jc w:val="left"/>
        <w:rPr>
          <w:rFonts w:ascii="Times New Roman" w:hAnsi="Times New Roman"/>
          <w:b/>
          <w:sz w:val="20"/>
        </w:rPr>
      </w:pPr>
      <w:r>
        <w:rPr>
          <w:rFonts w:ascii="Times New Roman" w:hAnsi="Times New Roman"/>
          <w:b/>
          <w:sz w:val="20"/>
        </w:rPr>
        <w:t xml:space="preserve">Equity Incentive Plans </w:t>
      </w:r>
    </w:p>
    <w:p>
      <w:pPr>
        <w:pStyle w:val="TextBody"/>
        <w:bidi w:val="0"/>
        <w:spacing w:before="120" w:after="0"/>
        <w:jc w:val="left"/>
        <w:rPr>
          <w:rFonts w:ascii="Times New Roman" w:hAnsi="Times New Roman"/>
          <w:sz w:val="20"/>
        </w:rPr>
      </w:pPr>
      <w:r>
        <w:rPr>
          <w:rFonts w:ascii="Times New Roman" w:hAnsi="Times New Roman"/>
          <w:sz w:val="20"/>
        </w:rPr>
        <w:t xml:space="preserve">We intend to file with the SEC a registration statement on Form S-8 under the Securities Act covering the shares of common stock reserved for issuance under the 2015 Plan, the 2020 Plan, the 2022 Plan and the ESPP. Such registration statement is expected to be filed and become effective as soon as practicable after the completion of this offering. Accordingly, shares registered under such registration statement will be available for sale in the open market following its effective date, subject to Rule 144 volume limitations and the lock-up agreements described above, if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3" w:name="rom241143_21"/>
      <w:bookmarkEnd w:id="23"/>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the shares of common stock described in this prospectus through a number of underwriters. J.P. Morgan Securities LLC, BofA Securities, Inc. and Credit Suisse Securities (USA) LLC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74"/>
        <w:gridCol w:w="123"/>
        <w:gridCol w:w="60"/>
        <w:gridCol w:w="1485"/>
        <w:gridCol w:w="63"/>
      </w:tblGrid>
      <w:tr>
        <w:trPr/>
        <w:tc>
          <w:tcPr>
            <w:tcW w:w="847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4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3" w:type="dxa"/>
            <w:tcBorders/>
            <w:vAlign w:val="bottom"/>
          </w:tcPr>
          <w:p>
            <w:pPr>
              <w:pStyle w:val="TableContents"/>
              <w:bidi w:val="0"/>
              <w:spacing w:before="0" w:after="283"/>
              <w:jc w:val="left"/>
              <w:rPr/>
            </w:pPr>
            <w:r>
              <w:rPr/>
              <w:t>  </w:t>
            </w:r>
          </w:p>
        </w:tc>
        <w:tc>
          <w:tcPr>
            <w:tcW w:w="1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3" w:type="dxa"/>
            <w:tcBorders/>
            <w:vAlign w:val="bottom"/>
          </w:tcPr>
          <w:p>
            <w:pPr>
              <w:pStyle w:val="TableContents"/>
              <w:bidi w:val="0"/>
              <w:spacing w:before="0" w:after="283"/>
              <w:jc w:val="left"/>
              <w:rPr/>
            </w:pPr>
            <w:r>
              <w:rPr/>
              <w:t> </w:t>
            </w:r>
          </w:p>
        </w:tc>
      </w:tr>
      <w:tr>
        <w:trPr/>
        <w:tc>
          <w:tcPr>
            <w:tcW w:w="8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474"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Credit Suisse Securities (USA) LLC</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474" w:type="dxa"/>
            <w:tcBorders/>
          </w:tcPr>
          <w:p>
            <w:pPr>
              <w:pStyle w:val="TableContents"/>
              <w:bidi w:val="0"/>
              <w:spacing w:before="0" w:after="0"/>
              <w:jc w:val="left"/>
              <w:rPr>
                <w:rFonts w:ascii="Times New Roman" w:hAnsi="Times New Roman"/>
                <w:sz w:val="20"/>
              </w:rPr>
            </w:pPr>
            <w:r>
              <w:rPr>
                <w:rFonts w:ascii="Times New Roman" w:hAnsi="Times New Roman"/>
                <w:sz w:val="20"/>
              </w:rPr>
              <w:t>Stifel, Nicolaus &amp; Company, Incorporated</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847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8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474"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47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8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propose to offer the common stock directly to the public at the initial public offering price set forth on the cover page of this prospectus and to certain dealers at that price less a concession not in excess of $         per share. After the initial offering of the shares to the public, if all of the shares of common stock are not sold at the initial public offering price, the underwriters may change the offering price and the other selling terms. Sales of any shares made outside of the United States may be made by affiliates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an option to buy up to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fee is equal to the public offering price per share of common stock less the amount paid by the underwriters to us per share of common stock. The underwriting fee is $         per share. The following table shows the per share and total underwriting discounts and commissions to be paid to the underwriters assuming both no exercise and full exercise of the underwriters option to purchase additional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46"/>
        <w:gridCol w:w="226"/>
        <w:gridCol w:w="167"/>
        <w:gridCol w:w="1547"/>
        <w:gridCol w:w="60"/>
        <w:gridCol w:w="226"/>
        <w:gridCol w:w="179"/>
        <w:gridCol w:w="1691"/>
        <w:gridCol w:w="63"/>
      </w:tblGrid>
      <w:tr>
        <w:trPr/>
        <w:tc>
          <w:tcPr>
            <w:tcW w:w="6046"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0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7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Without Option</w:t>
              <w:br/>
              <w:t>to Purchase</w:t>
              <w:br/>
              <w:t>Additional</w:t>
              <w:br/>
              <w:t>Shares Exercise</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 Full Option</w:t>
              <w:br/>
              <w:t>to Purchase</w:t>
              <w:br/>
              <w:t>Additional</w:t>
              <w:br/>
              <w:t>Shares Exercise</w:t>
            </w:r>
          </w:p>
        </w:tc>
        <w:tc>
          <w:tcPr>
            <w:tcW w:w="63" w:type="dxa"/>
            <w:tcBorders/>
            <w:vAlign w:val="bottom"/>
          </w:tcPr>
          <w:p>
            <w:pPr>
              <w:pStyle w:val="TableContents"/>
              <w:bidi w:val="0"/>
              <w:spacing w:before="0" w:after="283"/>
              <w:jc w:val="left"/>
              <w:rPr/>
            </w:pPr>
            <w:r>
              <w:rPr/>
              <w:t> </w:t>
            </w:r>
          </w:p>
        </w:tc>
      </w:tr>
      <w:tr>
        <w:trPr/>
        <w:tc>
          <w:tcPr>
            <w:tcW w:w="60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w:t>
            </w:r>
          </w:p>
        </w:tc>
        <w:tc>
          <w:tcPr>
            <w:tcW w:w="226"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15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69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604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6"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15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1691"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this offering, including registration, filing and listing fees, printing fees and legal and accounting expenses, but excluding the underwriting discounts and commissions, will be approximately $        . We have agreed to reimburse the underwriters for expenses relating to the clearance of this offering with the Financial Industry Regulatory Authority, Inc. in an amount up to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we will not, subject to certain exceptions, (i) offer, pledge, sell, contract to sell, sell any option or contract to purchase, purchase any option or contract to sell, grant any option, right or warrant to purchase, hedge, lend, or otherwise transfer or dispose of, directly or indirectly, or submit to, or file with, the Securities and Exchange Commission a registration statement under the Securities Act relating to, any shares of our common stock or any securities convertible into or exercisable or exchangeable for any shares of our common stock, or publicly disclose the intention to undertake any of the foregoing, or (ii) enter into any swap, hedging, or other agreement that transfers, in whole or in part, any of the economic consequences of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BofA Securities, Inc. and Credit Suisse Securities (USA) LLC for a period of 180 days after the date of this prospectus, other than the shares of our common stock to be sold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on our actions, as described above, do not apply to certain transactions, including (i) the issuance of shares of common stock or securities convertible into or exercisable for shares of our common stock pursuant to the conversion or exchange of convertible or exchangeable securities or the exercise of warrants or options (including net exercise) or the settlement of RSUs (including net settlement), in each case outstanding on the date of the underwriting agreement and described in this prospectus; (ii) grants of stock options, stock awards, restricted stock, RSUs, or other equity awards and the issuance of shares of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date of this offering and described in this prospectus, provided that such recipients enter into a lock-up agreement with the underwriters; (iii) the issuance of up to 10% of the outstanding shares of common stock, or securities convertible into, exercisable for, or which are otherwise exchangeable for, common stock, immediately following the closing date of this offering, in acquisitions or other similar strategic transactions, provided that such recipients enter into a lock-up agreement with the underwriters; or (iv) the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 </w:t>
      </w:r>
    </w:p>
    <w:p>
      <w:pPr>
        <w:pStyle w:val="TextBody"/>
        <w:bidi w:val="0"/>
        <w:spacing w:before="240" w:after="0"/>
        <w:jc w:val="left"/>
        <w:rPr>
          <w:rFonts w:ascii="Times New Roman" w:hAnsi="Times New Roman"/>
          <w:sz w:val="20"/>
        </w:rPr>
      </w:pPr>
      <w:r>
        <w:rPr>
          <w:rFonts w:ascii="Times New Roman" w:hAnsi="Times New Roman"/>
          <w:sz w:val="20"/>
        </w:rPr>
        <w:t xml:space="preserve">Our directors and executive officers, and substantially all of our securityholders (such persons, the lock-up parties) have entered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BofA Securities, Inc. and Credit Suisse Securities (USA) LLC,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our common stock or such other securities which may be deemed to be beneficially owned by the lock-up party in accordance with the rules and regulations of the Securities and Exchange Commission and securities which may be issued upon exercise of a stock option or warrant) (collectively with the common stock, the lock-up securities), (ii) enter into any hedging, swap or other agreement or transaction that transfers, in whole or in part, any of the economic consequences of ownership of the lock-up securities, whether any such transaction described in clause (i) or (ii) above is to be settled by delivery of the lock-up securities, in cash or otherwise, (iii) make any demand for or exercise any right with respect to the registration of any the lock up securities, or (iv) publicly disclose the intention to do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persons or entities have further acknowledged that these undertakings preclude them from engaging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lock-up party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Such persons or entities further confirm that they have furnished the representatives with the details of any transaction such persons or entities, or any of their respective affiliates, is a party to as of the date hereof, which transaction would have been restricted by the lock-up agreements if it had been entered into by such persons or entities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immediately preceding paragraph and contained in the lock-up agreements between the underwriters and the lock-up parties do not apply, subject in certain cases to various conditions, to certain transactions, including (a) transfers, distribution, disposition or surrender of lock-up securities: (i) as bona fide gifts, or for bona fide estate planning purposes, (ii) by will, testamentary document or intestacy, (iii) to any trust for the direct or indirect benefit of the lock-up party or any immediate family member, (iv) to a corporation,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partners, members or stockholders of the lock-up party; (vii) by operation of law, (viii) to us from an employee upon death, disability or termination of employment of such employee, (ix) as part of a sale of lock-up securities acquired in this offering or in open market transactions after the completion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(b) exercise of the options, settlement of RSUs or other equity awards, or the exercise of warrants granted pursuant to plans described in in this prospectus, provided that any lock-up securities received upon such exercise, vesting or settlement would be subject to restrictions similar to those in the immediately preceding paragraph; (c) the conversion of outstanding convertible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and (d) the establishment by lock-up parties of trading plans under Rule 10b5-1 under Section 16 of the Exchange Act, provided that such plan does not provide for the transfer of lock-up securities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BofA Securities, Inc. and Credit Suisse Securities (USA) LLC, in their sole discretion, may release the securities subject to any of the lock-up agreements with the underwriters described above, in whole or in part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intend to apply to list our common stock on the Nasdaq Global Market under the symbol NMRA.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Market,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set forth in this prospectus and otherwise available to the representatives;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prospects and the history and prospects for the industry in which we compete;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assessment of our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prospects for future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condition of the securities markets at the time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recent market prices of, and demand for, publicly traded common stock of generally comparable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deemed relevant by the underwriters and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can assure investors that an active trading market will develop for shares of our common stock, or that the shares will trade in the public market at or above the initial public offering price.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Certain of the underwriters and their affiliates have provided in the past to us and our affiliates and may provide from time to time in the future certain commercial banking, financial advisory, investment banking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sz w:val="20"/>
        </w:rPr>
      </w:pPr>
      <w:r>
        <w:rPr>
          <w:rFonts w:ascii="Times New Roman" w:hAnsi="Times New Roman"/>
          <w:sz w:val="20"/>
        </w:rPr>
        <w:t xml:space="preserve">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shall require us or any of the representatives to publish a prospectus pursuant to Article 3 of the Prospectus Regulation or supplement a prospectus pursuant to Article 23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FSMA, 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 disclosure document or a prospectus under Chapter 6D.2 of the Corporations Act 2001 (Cth)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only be provided in Australia to select investors who are able to demonstrate that they fall within one or more of the categories of investors, available under section 708 of the Corporations Act (Exempt Investors).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 </w:t>
      </w:r>
    </w:p>
    <w:p>
      <w:pPr>
        <w:pStyle w:val="TextBody"/>
        <w:bidi w:val="0"/>
        <w:spacing w:before="240" w:after="0"/>
        <w:jc w:val="left"/>
        <w:rPr>
          <w:rFonts w:ascii="Times New Roman" w:hAnsi="Times New Roman"/>
          <w:sz w:val="20"/>
        </w:rPr>
      </w:pPr>
      <w:r>
        <w:rPr>
          <w:rFonts w:ascii="Times New Roman" w:hAnsi="Times New Roman"/>
          <w:sz w:val="20"/>
        </w:rPr>
        <w:t xml:space="preserve">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offered or sold and will not be offered or sold in Hong Kong, by means of any document, other than (i) to professional investors as defined in the Securities and Futures Ordinance (Cap. 571 of the Laws of Hong Kong) (the SFO) of Hong Kong and any rules made thereunder; or (ii)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Each representative has acknowledged that this prospectus has not been registered as a prospectus with the Monetary Authority of Singapore. Accordingly, each representative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(as defined in Section 4A of the Securities and Futures Act (Chapter 289) of Singapore (as modified or amended from time to time, the SFA)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relevant person (as defined in Section 275(2) of the SFA) pursuant to Section 275(1) of the SFA, or any person pursuant to Section 275(1A)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Singapore SFA Product ClassificationIn connection with Section 309B of the SFA and the CMP Regulations 2018, unless otherwise specified before an offer of the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Bermuda </w:t>
      </w:r>
    </w:p>
    <w:p>
      <w:pPr>
        <w:pStyle w:val="TextBody"/>
        <w:bidi w:val="0"/>
        <w:spacing w:before="120" w:after="0"/>
        <w:jc w:val="left"/>
        <w:rPr>
          <w:rFonts w:ascii="Times New Roman" w:hAnsi="Times New Roman"/>
          <w:sz w:val="20"/>
        </w:rPr>
      </w:pPr>
      <w:r>
        <w:rPr>
          <w:rFonts w:ascii="Times New Roman" w:hAnsi="Times New Roman"/>
          <w:sz w:val="20"/>
        </w:rPr>
        <w:t xml:space="preserve">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Saudi Arabia </w:t>
      </w:r>
    </w:p>
    <w:p>
      <w:pPr>
        <w:pStyle w:val="TextBody"/>
        <w:bidi w:val="0"/>
        <w:spacing w:before="120" w:after="0"/>
        <w:jc w:val="left"/>
        <w:rPr>
          <w:rFonts w:ascii="Times New Roman" w:hAnsi="Times New Roman"/>
          <w:sz w:val="20"/>
        </w:rPr>
      </w:pPr>
      <w:r>
        <w:rPr>
          <w:rFonts w:ascii="Times New Roman" w:hAnsi="Times New Roman"/>
          <w:sz w:val="20"/>
        </w:rPr>
        <w:t xml:space="preserve">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British Virgin Islands </w:t>
      </w:r>
    </w:p>
    <w:p>
      <w:pPr>
        <w:pStyle w:val="TextBody"/>
        <w:bidi w:val="0"/>
        <w:spacing w:before="120" w:after="0"/>
        <w:jc w:val="left"/>
        <w:rPr>
          <w:rFonts w:ascii="Times New Roman" w:hAnsi="Times New Roman"/>
          <w:sz w:val="20"/>
        </w:rPr>
      </w:pPr>
      <w:r>
        <w:rPr>
          <w:rFonts w:ascii="Times New Roman" w:hAnsi="Times New Roman"/>
          <w:sz w:val="20"/>
        </w:rPr>
        <w:t xml:space="preserve">The shares are not being, and may not be offered to the public or to any person in the British Virgin Islands for purchase or subscription by us or on our behalf. The shares may be offered to companies incorporated under the BVI Business Companies Act, 2004 (British Virgin Islands), or BVI Companies, but only where the offer will be made to, and received by, the relevant BVI Company entirely outside of the British Virgin Islands.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China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will not be circulated or distributed in the PRC and the shares will not be offered or sold, and will not be offered or sold to any person for re-offering or resale directly or indirectly to any residents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Korea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have not been listed on any of the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Malaysia </w:t>
      </w:r>
    </w:p>
    <w:p>
      <w:pPr>
        <w:pStyle w:val="TextBody"/>
        <w:bidi w:val="0"/>
        <w:spacing w:before="120" w:after="0"/>
        <w:jc w:val="left"/>
        <w:rPr>
          <w:rFonts w:ascii="Times New Roman" w:hAnsi="Times New Roman"/>
          <w:sz w:val="20"/>
        </w:rPr>
      </w:pPr>
      <w:r>
        <w:rPr>
          <w:rFonts w:ascii="Times New Roman" w:hAnsi="Times New Roman"/>
          <w:sz w:val="20"/>
        </w:rPr>
        <w:t xml:space="preserve">No prospectus or other offering material or document in connection with the offer and sale of the shares has been or will be registered with the Securities Commission of Malaysia (the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w:t>
      </w:r>
      <w:r>
        <w:rPr>
          <w:rFonts w:ascii="Times New Roman" w:hAnsi="Times New Roman"/>
          <w:i/>
          <w:sz w:val="20"/>
        </w:rPr>
        <w:t>provided</w:t>
      </w:r>
      <w:r>
        <w:rPr>
          <w:rFonts w:ascii="Times New Roman" w:hAnsi="Times New Roman"/>
          <w:sz w:val="20"/>
        </w:rPr>
        <w:t xml:space="preserve"> that, in the each of the preceding categories (i) to (xi), the distribution of the shares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Taiwan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Taiwan. No person or entity in Taiwan has been authorized to offer, sell, give advice regarding or otherwise intermediate the offering and sale of the shares in Taiwan.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South Africa </w:t>
      </w:r>
    </w:p>
    <w:p>
      <w:pPr>
        <w:pStyle w:val="TextBody"/>
        <w:bidi w:val="0"/>
        <w:spacing w:before="120" w:after="0"/>
        <w:jc w:val="left"/>
        <w:rPr>
          <w:rFonts w:ascii="Times New Roman" w:hAnsi="Times New Roman"/>
          <w:sz w:val="20"/>
        </w:rPr>
      </w:pPr>
      <w:r>
        <w:rPr>
          <w:rFonts w:ascii="Times New Roman" w:hAnsi="Times New Roman"/>
          <w:sz w:val="20"/>
        </w:rPr>
        <w:t xml:space="preserve">Due to restrictions under the securities laws of South Africa, no offer to the public (as such term is defined in the South African Companies Act, No. 71 of 2008 (as amended or re-enacted, the South African Companies Act)) is being made in connection with the issue of the shares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0"/>
        <w:gridCol w:w="8165"/>
      </w:tblGrid>
      <w:tr>
        <w:trPr/>
        <w:tc>
          <w:tcPr>
            <w:tcW w:w="2040" w:type="dxa"/>
            <w:tcBorders/>
          </w:tcPr>
          <w:p>
            <w:pPr>
              <w:pStyle w:val="TableContents"/>
              <w:bidi w:val="0"/>
              <w:spacing w:before="0" w:after="283"/>
              <w:jc w:val="left"/>
              <w:rPr/>
            </w:pPr>
            <w:r>
              <w:rPr/>
              <w:t>Section 96 (1)(a)</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transfer, sale, renunciation or delivery is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whose ordinary business, or part of whose ordinary business, is to deal in securities, as principal or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South African Public Investment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or entities regulated by the Reserve Bank of South Africa;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authorized financial service providers under South African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recognized as such under South African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wholly-owned subsidiary of any person or entity contemplated in (c), (d) or (e), acting as agent in the capacity of an authorized portfolio manager for a pension fund, or as manager for a collective investment scheme (in each case duly registered as such under South African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person in (i) to (vi);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1"/>
        <w:gridCol w:w="8164"/>
      </w:tblGrid>
      <w:tr>
        <w:trPr/>
        <w:tc>
          <w:tcPr>
            <w:tcW w:w="2041" w:type="dxa"/>
            <w:tcBorders/>
          </w:tcPr>
          <w:p>
            <w:pPr>
              <w:pStyle w:val="TableContents"/>
              <w:bidi w:val="0"/>
              <w:spacing w:before="0" w:after="283"/>
              <w:jc w:val="left"/>
              <w:rPr/>
            </w:pPr>
            <w:r>
              <w:rPr/>
              <w:t>Section 96 (1)(b)</w:t>
            </w:r>
          </w:p>
        </w:tc>
        <w:tc>
          <w:tcPr>
            <w:tcW w:w="816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Information made available in this prospectus should not be considered as advice as defined in the South African Financial Advisory and Intermediary Services Act, 2002.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4" w:name="rom241143_22"/>
      <w:bookmarkEnd w:id="24"/>
      <w:r>
        <w:rPr>
          <w:rFonts w:ascii="Times New Roman" w:hAnsi="Times New Roman"/>
          <w:b/>
          <w:sz w:val="20"/>
        </w:rPr>
        <w:t xml:space="preserve">LEGAL MATTERS </w:t>
      </w:r>
    </w:p>
    <w:p>
      <w:pPr>
        <w:pStyle w:val="TextBody"/>
        <w:bidi w:val="0"/>
        <w:spacing w:before="120" w:after="0"/>
        <w:jc w:val="left"/>
        <w:rPr>
          <w:rFonts w:ascii="Times New Roman" w:hAnsi="Times New Roman"/>
          <w:sz w:val="20"/>
        </w:rPr>
      </w:pPr>
      <w:r>
        <w:rPr>
          <w:rFonts w:ascii="Times New Roman" w:hAnsi="Times New Roman"/>
          <w:sz w:val="20"/>
        </w:rPr>
        <w:t xml:space="preserve">The validity of the issuance of the shares of common stock offered hereby will be passed upon for Neumora Therapeutics, Inc. by Latham &amp; Watkins LLP, Menlo Park, California. Cooley LLP, San Diego, California, is representing the underwriters. Certain attorneys of Latham &amp; Watkins LLP collectively own shares of our common stock representing in the aggregate less than 1% of the outstanding shares of our common stock, on an as converted basis. </w:t>
      </w:r>
    </w:p>
    <w:p>
      <w:pPr>
        <w:pStyle w:val="TextBody"/>
        <w:bidi w:val="0"/>
        <w:spacing w:before="480" w:after="0"/>
        <w:jc w:val="center"/>
        <w:rPr>
          <w:rFonts w:ascii="Times New Roman" w:hAnsi="Times New Roman"/>
          <w:b/>
          <w:sz w:val="20"/>
        </w:rPr>
      </w:pPr>
      <w:bookmarkStart w:id="25" w:name="rom241143_23"/>
      <w:bookmarkEnd w:id="2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consolidated financial statements as of December 31, 2020 and 2021, and for each of the two years in the period ended December 31, 2021, as set forth in their report. We have included our consolidated financial statements in the prospectus and elsewhere in the registration statement in reliance on Ernst &amp; Young LLPs report, given on their authority as experts in accounting and auditing. </w:t>
      </w:r>
    </w:p>
    <w:p>
      <w:pPr>
        <w:pStyle w:val="TextBody"/>
        <w:bidi w:val="0"/>
        <w:spacing w:before="480" w:after="0"/>
        <w:jc w:val="center"/>
        <w:rPr>
          <w:rFonts w:ascii="Times New Roman" w:hAnsi="Times New Roman"/>
          <w:b/>
          <w:sz w:val="20"/>
        </w:rPr>
      </w:pPr>
      <w:bookmarkStart w:id="26" w:name="rom241143_24"/>
      <w:bookmarkEnd w:id="2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S-1 under the Securities Act with respect to the common stock offered hereby. This prospectus does not contain all of the information set forth in the registration statement and the exhibits and schedules thereto. For further information with respect to the company and our common stock,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 The SEC maintains a website at www.sec.gov, from which interested persons can electronically access the registration statement, including the exhibits and any schedules thereto.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offering, we will be required to file periodic reports and other information with the SEC. We also maintain a website at www.neumoratx.com, at which, following this offering, you may access these materials free of charge as soon as reasonably practicable after they are electronically filed with or furnished to the SEC. Our website and the information contained therein or connected thereto shall not be deemed to be incorporated into this prospectus or the registration statement of which it forms a part. We have included our website address as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7" w:name="toc1"/>
      <w:bookmarkEnd w:id="27"/>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bookmarkStart w:id="28" w:name="rom241143_25"/>
      <w:bookmarkEnd w:id="28"/>
      <w:r>
        <w:rPr>
          <w:rFonts w:ascii="Times New Roman" w:hAnsi="Times New Roman"/>
          <w:b/>
          <w:sz w:val="20"/>
        </w:rPr>
        <w:t xml:space="preserve">INDEX TO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6"/>
        <w:gridCol w:w="252"/>
        <w:gridCol w:w="75"/>
        <w:gridCol w:w="440"/>
        <w:gridCol w:w="62"/>
      </w:tblGrid>
      <w:tr>
        <w:trPr/>
        <w:tc>
          <w:tcPr>
            <w:tcW w:w="9376"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76"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76" w:type="dxa"/>
            <w:tcBorders/>
          </w:tcPr>
          <w:p>
            <w:pPr>
              <w:pStyle w:val="TableContents"/>
              <w:bidi w:val="0"/>
              <w:spacing w:before="0" w:after="0"/>
              <w:jc w:val="left"/>
              <w:rPr>
                <w:rFonts w:ascii="Times New Roman" w:hAnsi="Times New Roman"/>
                <w:b/>
                <w:sz w:val="20"/>
              </w:rPr>
            </w:pPr>
            <w:r>
              <w:rPr>
                <w:rFonts w:ascii="Times New Roman" w:hAnsi="Times New Roman"/>
                <w:b/>
                <w:sz w:val="20"/>
              </w:rPr>
              <w:t>Audited Consolidated Financial Statements</w:t>
            </w:r>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376" w:type="dxa"/>
            <w:tcBorders/>
          </w:tcPr>
          <w:p>
            <w:pPr>
              <w:pStyle w:val="TableContents"/>
              <w:bidi w:val="0"/>
              <w:spacing w:before="0" w:after="0"/>
              <w:jc w:val="left"/>
              <w:rPr/>
            </w:pPr>
            <w:hyperlink w:anchor="fin241143_1">
              <w:r>
                <w:rPr>
                  <w:rStyle w:val="InternetLink"/>
                  <w:rFonts w:ascii="Times New Roman" w:hAnsi="Times New Roman"/>
                  <w:sz w:val="20"/>
                </w:rPr>
                <w:t>Report of Independent Registered Public Accounting Firm</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376" w:type="dxa"/>
            <w:tcBorders/>
          </w:tcPr>
          <w:p>
            <w:pPr>
              <w:pStyle w:val="TableContents"/>
              <w:bidi w:val="0"/>
              <w:spacing w:before="0" w:after="0"/>
              <w:jc w:val="left"/>
              <w:rPr/>
            </w:pPr>
            <w:hyperlink w:anchor="fin241143_2">
              <w:r>
                <w:rPr>
                  <w:rStyle w:val="InternetLink"/>
                  <w:rFonts w:ascii="Times New Roman" w:hAnsi="Times New Roman"/>
                  <w:sz w:val="20"/>
                </w:rPr>
                <w:t>Consolidated Balance Sheets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c>
          <w:tcPr>
            <w:tcW w:w="9376" w:type="dxa"/>
            <w:tcBorders/>
          </w:tcPr>
          <w:p>
            <w:pPr>
              <w:pStyle w:val="TableContents"/>
              <w:bidi w:val="0"/>
              <w:spacing w:before="0" w:after="0"/>
              <w:jc w:val="left"/>
              <w:rPr/>
            </w:pPr>
            <w:hyperlink w:anchor="fin241143_3">
              <w:r>
                <w:rPr>
                  <w:rStyle w:val="InternetLink"/>
                  <w:rFonts w:ascii="Times New Roman" w:hAnsi="Times New Roman"/>
                  <w:sz w:val="20"/>
                </w:rPr>
                <w:t>Consolidated Statements of Operations and Comprehensive Loss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376" w:type="dxa"/>
            <w:tcBorders/>
          </w:tcPr>
          <w:p>
            <w:pPr>
              <w:pStyle w:val="TableContents"/>
              <w:bidi w:val="0"/>
              <w:spacing w:before="0" w:after="0"/>
              <w:jc w:val="left"/>
              <w:rPr/>
            </w:pPr>
            <w:hyperlink w:anchor="fin241143_4">
              <w:r>
                <w:rPr>
                  <w:rStyle w:val="InternetLink"/>
                  <w:rFonts w:ascii="Times New Roman" w:hAnsi="Times New Roman"/>
                  <w:sz w:val="20"/>
                </w:rPr>
                <w:t>Consolidated Statements of Convertible Preferred Stock and Stockholders Deficit</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376" w:type="dxa"/>
            <w:tcBorders/>
          </w:tcPr>
          <w:p>
            <w:pPr>
              <w:pStyle w:val="TableContents"/>
              <w:bidi w:val="0"/>
              <w:spacing w:before="0" w:after="0"/>
              <w:jc w:val="left"/>
              <w:rPr/>
            </w:pPr>
            <w:hyperlink w:anchor="fin241143_5">
              <w:r>
                <w:rPr>
                  <w:rStyle w:val="InternetLink"/>
                  <w:rFonts w:ascii="Times New Roman" w:hAnsi="Times New Roman"/>
                  <w:sz w:val="20"/>
                </w:rPr>
                <w:t>Consolidated Statements of Cash Flows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376" w:type="dxa"/>
            <w:tcBorders/>
          </w:tcPr>
          <w:p>
            <w:pPr>
              <w:pStyle w:val="TableContents"/>
              <w:bidi w:val="0"/>
              <w:spacing w:before="0" w:after="0"/>
              <w:jc w:val="left"/>
              <w:rPr/>
            </w:pPr>
            <w:hyperlink w:anchor="fin241143_6">
              <w:r>
                <w:rPr>
                  <w:rStyle w:val="InternetLink"/>
                  <w:rFonts w:ascii="Times New Roman" w:hAnsi="Times New Roman"/>
                  <w:sz w:val="20"/>
                </w:rPr>
                <w:t>Notes to Consolidated Financial Statements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rFonts w:ascii="Times New Roman" w:hAnsi="Times New Roman"/>
                <w:b/>
                <w:sz w:val="20"/>
              </w:rPr>
            </w:pPr>
            <w:r>
              <w:rPr>
                <w:rFonts w:ascii="Times New Roman" w:hAnsi="Times New Roman"/>
                <w:b/>
                <w:sz w:val="20"/>
              </w:rPr>
              <w:t>Unaudited Condensed Consolidated 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fin241143_7">
              <w:r>
                <w:rPr>
                  <w:rStyle w:val="InternetLink"/>
                  <w:rFonts w:ascii="Times New Roman" w:hAnsi="Times New Roman"/>
                  <w:sz w:val="20"/>
                </w:rPr>
                <w:t>Condensed Consolidated Balance Sheets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F-49</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241143_8">
              <w:r>
                <w:rPr>
                  <w:rStyle w:val="InternetLink"/>
                  <w:rFonts w:ascii="Times New Roman" w:hAnsi="Times New Roman"/>
                  <w:sz w:val="20"/>
                </w:rPr>
                <w:t>Condensed Consolidated Statements of Operations and Comprehensive Loss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F-50</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241143_9">
              <w:r>
                <w:rPr>
                  <w:rStyle w:val="InternetLink"/>
                  <w:rFonts w:ascii="Times New Roman" w:hAnsi="Times New Roman"/>
                  <w:sz w:val="20"/>
                </w:rPr>
                <w:t>Condensed Consolidated Statements of Convertible Preferred Stock and Stockholders Deficit</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F-51</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241143_10">
              <w:r>
                <w:rPr>
                  <w:rStyle w:val="InternetLink"/>
                  <w:rFonts w:ascii="Times New Roman" w:hAnsi="Times New Roman"/>
                  <w:sz w:val="20"/>
                </w:rPr>
                <w:t>Condensed Consolidated Statements of Cash Flows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F-52</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241143_11">
              <w:r>
                <w:rPr>
                  <w:rStyle w:val="InternetLink"/>
                  <w:rFonts w:ascii="Times New Roman" w:hAnsi="Times New Roman"/>
                  <w:sz w:val="20"/>
                </w:rPr>
                <w:t>Notes to Condensed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F-53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9" w:name="fin241143_1"/>
      <w:bookmarkEnd w:id="29"/>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and the Board of Directors of </w:t>
      </w:r>
    </w:p>
    <w:p>
      <w:pPr>
        <w:pStyle w:val="TextBody"/>
        <w:bidi w:val="0"/>
        <w:spacing w:before="0" w:after="0"/>
        <w:jc w:val="left"/>
        <w:rPr>
          <w:rFonts w:ascii="Times New Roman" w:hAnsi="Times New Roman"/>
          <w:sz w:val="20"/>
        </w:rPr>
      </w:pPr>
      <w:r>
        <w:rPr>
          <w:rFonts w:ascii="Times New Roman" w:hAnsi="Times New Roman"/>
          <w:sz w:val="20"/>
        </w:rPr>
        <w:t xml:space="preserve">Neumora Therapeutics, Inc. </w:t>
      </w:r>
    </w:p>
    <w:p>
      <w:pPr>
        <w:pStyle w:val="TextBody"/>
        <w:bidi w:val="0"/>
        <w:spacing w:before="24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Neumora Therapeutics, Inc. (the Company) as of December 31, 2020 and 2021, the related statements of operations and comprehensive loss, statements of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2020 and 2021, and the results of its operations and its cash flows for the years then ended, in conformity with U.S. generally accepted accounting principles.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2020. </w:t>
      </w:r>
    </w:p>
    <w:p>
      <w:pPr>
        <w:pStyle w:val="TextBody"/>
        <w:bidi w:val="0"/>
        <w:spacing w:before="240" w:after="0"/>
        <w:jc w:val="left"/>
        <w:rPr>
          <w:rFonts w:ascii="Times New Roman" w:hAnsi="Times New Roman"/>
          <w:sz w:val="20"/>
        </w:rPr>
      </w:pPr>
      <w:r>
        <w:rPr>
          <w:rFonts w:ascii="Times New Roman" w:hAnsi="Times New Roman"/>
          <w:sz w:val="20"/>
        </w:rPr>
        <w:t xml:space="preserve">Redwood City, California </w:t>
      </w:r>
    </w:p>
    <w:p>
      <w:pPr>
        <w:pStyle w:val="TextBody"/>
        <w:bidi w:val="0"/>
        <w:spacing w:before="0" w:after="0"/>
        <w:jc w:val="left"/>
        <w:rPr>
          <w:rFonts w:ascii="Times New Roman" w:hAnsi="Times New Roman"/>
          <w:sz w:val="20"/>
        </w:rPr>
      </w:pPr>
      <w:r>
        <w:rPr>
          <w:rFonts w:ascii="Times New Roman" w:hAnsi="Times New Roman"/>
          <w:sz w:val="20"/>
        </w:rPr>
        <w:t xml:space="preserve">May 2,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0" w:name="fin241143_2"/>
      <w:bookmarkEnd w:id="30"/>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par values)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41"/>
        <w:gridCol w:w="230"/>
        <w:gridCol w:w="140"/>
        <w:gridCol w:w="865"/>
        <w:gridCol w:w="164"/>
        <w:gridCol w:w="199"/>
        <w:gridCol w:w="140"/>
        <w:gridCol w:w="958"/>
        <w:gridCol w:w="168"/>
      </w:tblGrid>
      <w:tr>
        <w:trPr/>
        <w:tc>
          <w:tcPr>
            <w:tcW w:w="7341"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341"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4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8" w:type="dxa"/>
            <w:tcBorders/>
            <w:vAlign w:val="bottom"/>
          </w:tcPr>
          <w:p>
            <w:pPr>
              <w:pStyle w:val="TableContents"/>
              <w:bidi w:val="0"/>
              <w:spacing w:before="0" w:after="283"/>
              <w:jc w:val="left"/>
              <w:rPr/>
            </w:pPr>
            <w:r>
              <w:rPr/>
              <w:t> </w:t>
            </w:r>
          </w:p>
        </w:tc>
      </w:tr>
      <w:tr>
        <w:trPr/>
        <w:tc>
          <w:tcPr>
            <w:tcW w:w="7341"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0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8" w:type="dxa"/>
            <w:tcBorders/>
            <w:vAlign w:val="bottom"/>
          </w:tcPr>
          <w:p>
            <w:pPr>
              <w:pStyle w:val="TableContents"/>
              <w:bidi w:val="0"/>
              <w:spacing w:before="0" w:after="283"/>
              <w:jc w:val="left"/>
              <w:rPr/>
            </w:pPr>
            <w:r>
              <w:rPr/>
              <w:t> </w:t>
            </w:r>
          </w:p>
        </w:tc>
      </w:tr>
      <w:tr>
        <w:trPr/>
        <w:tc>
          <w:tcPr>
            <w:tcW w:w="73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7341"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6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191,977</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409,247</w:t>
            </w:r>
          </w:p>
        </w:tc>
        <w:tc>
          <w:tcPr>
            <w:tcW w:w="168" w:type="dxa"/>
            <w:tcBorders/>
            <w:shd w:fill="CCEEFF" w:val="clear"/>
            <w:vAlign w:val="bottom"/>
          </w:tcPr>
          <w:p>
            <w:pPr>
              <w:pStyle w:val="TableContents"/>
              <w:bidi w:val="0"/>
              <w:spacing w:before="0" w:after="283"/>
              <w:jc w:val="left"/>
              <w:rPr/>
            </w:pPr>
            <w:r>
              <w:rPr/>
              <w:t> </w:t>
            </w:r>
          </w:p>
        </w:tc>
      </w:tr>
      <w:tr>
        <w:trPr/>
        <w:tc>
          <w:tcPr>
            <w:tcW w:w="7341"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125</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125</w:t>
            </w:r>
          </w:p>
        </w:tc>
        <w:tc>
          <w:tcPr>
            <w:tcW w:w="168" w:type="dxa"/>
            <w:tcBorders/>
            <w:vAlign w:val="bottom"/>
          </w:tcPr>
          <w:p>
            <w:pPr>
              <w:pStyle w:val="TableContents"/>
              <w:bidi w:val="0"/>
              <w:spacing w:before="0" w:after="283"/>
              <w:jc w:val="left"/>
              <w:rPr/>
            </w:pPr>
            <w:r>
              <w:rPr/>
              <w:t> </w:t>
            </w:r>
          </w:p>
        </w:tc>
      </w:tr>
      <w:tr>
        <w:trPr/>
        <w:tc>
          <w:tcPr>
            <w:tcW w:w="7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1,739</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6,231</w:t>
            </w:r>
          </w:p>
        </w:tc>
        <w:tc>
          <w:tcPr>
            <w:tcW w:w="168" w:type="dxa"/>
            <w:tcBorders/>
            <w:shd w:fill="CCEEFF" w:val="clear"/>
            <w:vAlign w:val="bottom"/>
          </w:tcPr>
          <w:p>
            <w:pPr>
              <w:pStyle w:val="TableContents"/>
              <w:bidi w:val="0"/>
              <w:spacing w:before="0" w:after="283"/>
              <w:jc w:val="left"/>
              <w:rPr/>
            </w:pPr>
            <w:r>
              <w:rPr/>
              <w:t> </w:t>
            </w:r>
          </w:p>
        </w:tc>
      </w:tr>
      <w:tr>
        <w:trPr/>
        <w:tc>
          <w:tcPr>
            <w:tcW w:w="734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341"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193,841</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415,603</w:t>
            </w:r>
          </w:p>
        </w:tc>
        <w:tc>
          <w:tcPr>
            <w:tcW w:w="168" w:type="dxa"/>
            <w:tcBorders/>
            <w:vAlign w:val="bottom"/>
          </w:tcPr>
          <w:p>
            <w:pPr>
              <w:pStyle w:val="TableContents"/>
              <w:bidi w:val="0"/>
              <w:spacing w:before="0" w:after="283"/>
              <w:jc w:val="left"/>
              <w:rPr/>
            </w:pPr>
            <w:r>
              <w:rPr/>
              <w:t> </w:t>
            </w:r>
          </w:p>
        </w:tc>
      </w:tr>
      <w:tr>
        <w:trPr/>
        <w:tc>
          <w:tcPr>
            <w:tcW w:w="7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1,933</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2,170</w:t>
            </w:r>
          </w:p>
        </w:tc>
        <w:tc>
          <w:tcPr>
            <w:tcW w:w="168" w:type="dxa"/>
            <w:tcBorders/>
            <w:shd w:fill="CCEEFF" w:val="clear"/>
            <w:vAlign w:val="bottom"/>
          </w:tcPr>
          <w:p>
            <w:pPr>
              <w:pStyle w:val="TableContents"/>
              <w:bidi w:val="0"/>
              <w:spacing w:before="0" w:after="283"/>
              <w:jc w:val="left"/>
              <w:rPr/>
            </w:pPr>
            <w:r>
              <w:rPr/>
              <w:t> </w:t>
            </w:r>
          </w:p>
        </w:tc>
      </w:tr>
      <w:tr>
        <w:trPr/>
        <w:tc>
          <w:tcPr>
            <w:tcW w:w="734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1,989</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1,871</w:t>
            </w:r>
          </w:p>
        </w:tc>
        <w:tc>
          <w:tcPr>
            <w:tcW w:w="168" w:type="dxa"/>
            <w:tcBorders/>
            <w:vAlign w:val="bottom"/>
          </w:tcPr>
          <w:p>
            <w:pPr>
              <w:pStyle w:val="TableContents"/>
              <w:bidi w:val="0"/>
              <w:spacing w:before="0" w:after="283"/>
              <w:jc w:val="left"/>
              <w:rPr/>
            </w:pPr>
            <w:r>
              <w:rPr/>
              <w:t> </w:t>
            </w:r>
          </w:p>
        </w:tc>
      </w:tr>
      <w:tr>
        <w:trPr/>
        <w:tc>
          <w:tcPr>
            <w:tcW w:w="7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183</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9,653</w:t>
            </w:r>
          </w:p>
        </w:tc>
        <w:tc>
          <w:tcPr>
            <w:tcW w:w="168" w:type="dxa"/>
            <w:tcBorders/>
            <w:shd w:fill="CCEEFF" w:val="clear"/>
            <w:vAlign w:val="bottom"/>
          </w:tcPr>
          <w:p>
            <w:pPr>
              <w:pStyle w:val="TableContents"/>
              <w:bidi w:val="0"/>
              <w:spacing w:before="0" w:after="283"/>
              <w:jc w:val="left"/>
              <w:rPr/>
            </w:pPr>
            <w:r>
              <w:rPr/>
              <w:t> </w:t>
            </w:r>
          </w:p>
        </w:tc>
      </w:tr>
      <w:tr>
        <w:trPr/>
        <w:tc>
          <w:tcPr>
            <w:tcW w:w="734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341"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5" w:type="dxa"/>
            <w:tcBorders/>
            <w:vAlign w:val="bottom"/>
          </w:tcPr>
          <w:p>
            <w:pPr>
              <w:pStyle w:val="TableContents"/>
              <w:bidi w:val="0"/>
              <w:spacing w:before="0" w:after="283"/>
              <w:jc w:val="right"/>
              <w:rPr/>
            </w:pPr>
            <w:r>
              <w:rPr/>
              <w:t>197,946</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429,297</w:t>
            </w:r>
          </w:p>
        </w:tc>
        <w:tc>
          <w:tcPr>
            <w:tcW w:w="168" w:type="dxa"/>
            <w:tcBorders/>
            <w:vAlign w:val="bottom"/>
          </w:tcPr>
          <w:p>
            <w:pPr>
              <w:pStyle w:val="TableContents"/>
              <w:bidi w:val="0"/>
              <w:spacing w:before="0" w:after="283"/>
              <w:jc w:val="left"/>
              <w:rPr/>
            </w:pPr>
            <w:r>
              <w:rPr/>
              <w:t> </w:t>
            </w:r>
          </w:p>
        </w:tc>
      </w:tr>
      <w:tr>
        <w:trPr/>
        <w:tc>
          <w:tcPr>
            <w:tcW w:w="734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5"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58"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3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 Stockholders Deficit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7341"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6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2,398</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1,639</w:t>
            </w:r>
          </w:p>
        </w:tc>
        <w:tc>
          <w:tcPr>
            <w:tcW w:w="168" w:type="dxa"/>
            <w:tcBorders/>
            <w:shd w:fill="CCEEFF" w:val="clear"/>
            <w:vAlign w:val="bottom"/>
          </w:tcPr>
          <w:p>
            <w:pPr>
              <w:pStyle w:val="TableContents"/>
              <w:bidi w:val="0"/>
              <w:spacing w:before="0" w:after="283"/>
              <w:jc w:val="left"/>
              <w:rPr/>
            </w:pPr>
            <w:r>
              <w:rPr/>
              <w:t> </w:t>
            </w:r>
          </w:p>
        </w:tc>
      </w:tr>
      <w:tr>
        <w:trPr/>
        <w:tc>
          <w:tcPr>
            <w:tcW w:w="7341" w:type="dxa"/>
            <w:tcBorders/>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5,596</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19,096</w:t>
            </w:r>
          </w:p>
        </w:tc>
        <w:tc>
          <w:tcPr>
            <w:tcW w:w="168" w:type="dxa"/>
            <w:tcBorders/>
            <w:vAlign w:val="bottom"/>
          </w:tcPr>
          <w:p>
            <w:pPr>
              <w:pStyle w:val="TableContents"/>
              <w:bidi w:val="0"/>
              <w:spacing w:before="0" w:after="283"/>
              <w:jc w:val="left"/>
              <w:rPr/>
            </w:pPr>
            <w:r>
              <w:rPr/>
              <w:t> </w:t>
            </w:r>
          </w:p>
        </w:tc>
      </w:tr>
      <w:tr>
        <w:trPr/>
        <w:tc>
          <w:tcPr>
            <w:tcW w:w="7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Early exercise liability, current portion</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928</w:t>
            </w:r>
          </w:p>
        </w:tc>
        <w:tc>
          <w:tcPr>
            <w:tcW w:w="168" w:type="dxa"/>
            <w:tcBorders/>
            <w:shd w:fill="CCEEFF" w:val="clear"/>
            <w:vAlign w:val="bottom"/>
          </w:tcPr>
          <w:p>
            <w:pPr>
              <w:pStyle w:val="TableContents"/>
              <w:bidi w:val="0"/>
              <w:spacing w:before="0" w:after="283"/>
              <w:jc w:val="left"/>
              <w:rPr/>
            </w:pPr>
            <w:r>
              <w:rPr/>
              <w:t> </w:t>
            </w:r>
          </w:p>
        </w:tc>
      </w:tr>
      <w:tr>
        <w:trPr/>
        <w:tc>
          <w:tcPr>
            <w:tcW w:w="734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 portion</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764</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1,056</w:t>
            </w:r>
          </w:p>
        </w:tc>
        <w:tc>
          <w:tcPr>
            <w:tcW w:w="168" w:type="dxa"/>
            <w:tcBorders/>
            <w:vAlign w:val="bottom"/>
          </w:tcPr>
          <w:p>
            <w:pPr>
              <w:pStyle w:val="TableContents"/>
              <w:bidi w:val="0"/>
              <w:spacing w:before="0" w:after="283"/>
              <w:jc w:val="left"/>
              <w:rPr/>
            </w:pPr>
            <w:r>
              <w:rPr/>
              <w:t> </w:t>
            </w:r>
          </w:p>
        </w:tc>
      </w:tr>
      <w:tr>
        <w:trPr/>
        <w:tc>
          <w:tcPr>
            <w:tcW w:w="7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 warrant liability</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612</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559</w:t>
            </w:r>
          </w:p>
        </w:tc>
        <w:tc>
          <w:tcPr>
            <w:tcW w:w="168" w:type="dxa"/>
            <w:tcBorders/>
            <w:shd w:fill="CCEEFF" w:val="clear"/>
            <w:vAlign w:val="bottom"/>
          </w:tcPr>
          <w:p>
            <w:pPr>
              <w:pStyle w:val="TableContents"/>
              <w:bidi w:val="0"/>
              <w:spacing w:before="0" w:after="283"/>
              <w:jc w:val="left"/>
              <w:rPr/>
            </w:pPr>
            <w:r>
              <w:rPr/>
              <w:t> </w:t>
            </w:r>
          </w:p>
        </w:tc>
      </w:tr>
      <w:tr>
        <w:trPr/>
        <w:tc>
          <w:tcPr>
            <w:tcW w:w="734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341"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9,370</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23,278</w:t>
            </w:r>
          </w:p>
        </w:tc>
        <w:tc>
          <w:tcPr>
            <w:tcW w:w="168" w:type="dxa"/>
            <w:tcBorders/>
            <w:vAlign w:val="bottom"/>
          </w:tcPr>
          <w:p>
            <w:pPr>
              <w:pStyle w:val="TableContents"/>
              <w:bidi w:val="0"/>
              <w:spacing w:before="0" w:after="283"/>
              <w:jc w:val="left"/>
              <w:rPr/>
            </w:pPr>
            <w:r>
              <w:rPr/>
              <w:t> </w:t>
            </w:r>
          </w:p>
        </w:tc>
      </w:tr>
      <w:tr>
        <w:trPr/>
        <w:tc>
          <w:tcPr>
            <w:tcW w:w="7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net of current portion</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1,281</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996</w:t>
            </w:r>
          </w:p>
        </w:tc>
        <w:tc>
          <w:tcPr>
            <w:tcW w:w="168" w:type="dxa"/>
            <w:tcBorders/>
            <w:shd w:fill="CCEEFF" w:val="clear"/>
            <w:vAlign w:val="bottom"/>
          </w:tcPr>
          <w:p>
            <w:pPr>
              <w:pStyle w:val="TableContents"/>
              <w:bidi w:val="0"/>
              <w:spacing w:before="0" w:after="283"/>
              <w:jc w:val="left"/>
              <w:rPr/>
            </w:pPr>
            <w:r>
              <w:rPr/>
              <w:t> </w:t>
            </w:r>
          </w:p>
        </w:tc>
      </w:tr>
      <w:tr>
        <w:trPr/>
        <w:tc>
          <w:tcPr>
            <w:tcW w:w="7341" w:type="dxa"/>
            <w:tcBorders/>
          </w:tcPr>
          <w:p>
            <w:pPr>
              <w:pStyle w:val="TableContents"/>
              <w:bidi w:val="0"/>
              <w:spacing w:before="0" w:after="0"/>
              <w:jc w:val="left"/>
              <w:rPr>
                <w:rFonts w:ascii="Times New Roman" w:hAnsi="Times New Roman"/>
                <w:sz w:val="20"/>
              </w:rPr>
            </w:pPr>
            <w:r>
              <w:rPr>
                <w:rFonts w:ascii="Times New Roman" w:hAnsi="Times New Roman"/>
                <w:sz w:val="20"/>
              </w:rPr>
              <w:t>Early exercise liability, net of current portion</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386</w:t>
            </w:r>
          </w:p>
        </w:tc>
        <w:tc>
          <w:tcPr>
            <w:tcW w:w="168" w:type="dxa"/>
            <w:tcBorders/>
            <w:vAlign w:val="bottom"/>
          </w:tcPr>
          <w:p>
            <w:pPr>
              <w:pStyle w:val="TableContents"/>
              <w:bidi w:val="0"/>
              <w:spacing w:before="0" w:after="283"/>
              <w:jc w:val="left"/>
              <w:rPr/>
            </w:pPr>
            <w:r>
              <w:rPr/>
              <w:t> </w:t>
            </w:r>
          </w:p>
        </w:tc>
      </w:tr>
      <w:tr>
        <w:trPr/>
        <w:tc>
          <w:tcPr>
            <w:tcW w:w="734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10,651</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24,660</w:t>
            </w:r>
          </w:p>
        </w:tc>
        <w:tc>
          <w:tcPr>
            <w:tcW w:w="168" w:type="dxa"/>
            <w:tcBorders/>
            <w:shd w:fill="CCEEFF" w:val="clear"/>
            <w:vAlign w:val="bottom"/>
          </w:tcPr>
          <w:p>
            <w:pPr>
              <w:pStyle w:val="TableContents"/>
              <w:bidi w:val="0"/>
              <w:spacing w:before="0" w:after="283"/>
              <w:jc w:val="left"/>
              <w:rPr/>
            </w:pPr>
            <w:r>
              <w:rPr/>
              <w:t> </w:t>
            </w:r>
          </w:p>
        </w:tc>
      </w:tr>
      <w:tr>
        <w:trPr/>
        <w:tc>
          <w:tcPr>
            <w:tcW w:w="7341"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9)</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6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 $0.0001 par value; 340,000 and 755,000 shares authorized as of December 31, 2020 and 2021, respectively; 294,876 and 743,126 shares issued and outstanding as of December 31, 2020 and 2021, respectively; aggregate liquidation preference of $743,126 as of December 31, 2021</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281,679</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729,858</w:t>
            </w:r>
          </w:p>
        </w:tc>
        <w:tc>
          <w:tcPr>
            <w:tcW w:w="168" w:type="dxa"/>
            <w:tcBorders/>
            <w:shd w:fill="CCEEFF" w:val="clear"/>
            <w:vAlign w:val="bottom"/>
          </w:tcPr>
          <w:p>
            <w:pPr>
              <w:pStyle w:val="TableContents"/>
              <w:bidi w:val="0"/>
              <w:spacing w:before="0" w:after="283"/>
              <w:jc w:val="left"/>
              <w:rPr/>
            </w:pPr>
            <w:r>
              <w:rPr/>
              <w:t> </w:t>
            </w:r>
          </w:p>
        </w:tc>
      </w:tr>
      <w:tr>
        <w:trPr/>
        <w:tc>
          <w:tcPr>
            <w:tcW w:w="7341"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6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$0.0001 par value; 660,000 and 1,125,000 shares authorized as of December 31, 2020 and 2021, respectively; 240,152 and 250,962 shares issued and outstanding as of December 31, 2020 and 2021, respectively</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13</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14</w:t>
            </w:r>
          </w:p>
        </w:tc>
        <w:tc>
          <w:tcPr>
            <w:tcW w:w="168" w:type="dxa"/>
            <w:tcBorders/>
            <w:shd w:fill="CCEEFF" w:val="clear"/>
            <w:vAlign w:val="bottom"/>
          </w:tcPr>
          <w:p>
            <w:pPr>
              <w:pStyle w:val="TableContents"/>
              <w:bidi w:val="0"/>
              <w:spacing w:before="0" w:after="283"/>
              <w:jc w:val="left"/>
              <w:rPr/>
            </w:pPr>
            <w:r>
              <w:rPr/>
              <w:t> </w:t>
            </w:r>
          </w:p>
        </w:tc>
      </w:tr>
      <w:tr>
        <w:trPr/>
        <w:tc>
          <w:tcPr>
            <w:tcW w:w="7341"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4,896</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11,370</w:t>
            </w:r>
          </w:p>
        </w:tc>
        <w:tc>
          <w:tcPr>
            <w:tcW w:w="168" w:type="dxa"/>
            <w:tcBorders/>
            <w:vAlign w:val="bottom"/>
          </w:tcPr>
          <w:p>
            <w:pPr>
              <w:pStyle w:val="TableContents"/>
              <w:bidi w:val="0"/>
              <w:spacing w:before="0" w:after="283"/>
              <w:jc w:val="left"/>
              <w:rPr/>
            </w:pPr>
            <w:r>
              <w:rPr/>
              <w:t> </w:t>
            </w:r>
          </w:p>
        </w:tc>
      </w:tr>
      <w:tr>
        <w:trPr/>
        <w:tc>
          <w:tcPr>
            <w:tcW w:w="7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(99,293</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(336,605</w:t>
            </w:r>
          </w:p>
        </w:tc>
        <w:tc>
          <w:tcPr>
            <w:tcW w:w="168" w:type="dxa"/>
            <w:tcBorders/>
            <w:shd w:fill="CCEEFF" w:val="clear"/>
            <w:vAlign w:val="bottom"/>
          </w:tcPr>
          <w:p>
            <w:pPr>
              <w:pStyle w:val="TableContents"/>
              <w:bidi w:val="0"/>
              <w:spacing w:before="0" w:after="283"/>
              <w:jc w:val="left"/>
              <w:rPr/>
            </w:pPr>
            <w:r>
              <w:rPr/>
              <w:t>) </w:t>
            </w:r>
          </w:p>
        </w:tc>
      </w:tr>
      <w:tr>
        <w:trPr/>
        <w:tc>
          <w:tcPr>
            <w:tcW w:w="734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341"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(94,384</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(325,221</w:t>
            </w:r>
          </w:p>
        </w:tc>
        <w:tc>
          <w:tcPr>
            <w:tcW w:w="168" w:type="dxa"/>
            <w:tcBorders/>
            <w:vAlign w:val="bottom"/>
          </w:tcPr>
          <w:p>
            <w:pPr>
              <w:pStyle w:val="TableContents"/>
              <w:bidi w:val="0"/>
              <w:spacing w:before="0" w:after="283"/>
              <w:jc w:val="left"/>
              <w:rPr/>
            </w:pPr>
            <w:r>
              <w:rPr/>
              <w:t>) </w:t>
            </w:r>
          </w:p>
        </w:tc>
      </w:tr>
      <w:tr>
        <w:trPr/>
        <w:tc>
          <w:tcPr>
            <w:tcW w:w="734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 </w:t>
            </w:r>
            <w:r>
              <w:rPr/>
              <w:t>197,946</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429,297</w:t>
            </w:r>
          </w:p>
        </w:tc>
        <w:tc>
          <w:tcPr>
            <w:tcW w:w="168" w:type="dxa"/>
            <w:tcBorders/>
            <w:shd w:fill="CCEEFF" w:val="clear"/>
            <w:vAlign w:val="bottom"/>
          </w:tcPr>
          <w:p>
            <w:pPr>
              <w:pStyle w:val="TableContents"/>
              <w:bidi w:val="0"/>
              <w:spacing w:before="0" w:after="283"/>
              <w:jc w:val="left"/>
              <w:rPr/>
            </w:pPr>
            <w:r>
              <w:rPr/>
              <w:t> </w:t>
            </w:r>
          </w:p>
        </w:tc>
      </w:tr>
      <w:tr>
        <w:trPr/>
        <w:tc>
          <w:tcPr>
            <w:tcW w:w="734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5"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58"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1" w:name="fin241143_3"/>
      <w:bookmarkEnd w:id="31"/>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amounts) </w:t>
      </w:r>
    </w:p>
    <w:tbl>
      <w:tblPr>
        <w:tblW w:w="5000" w:type="pct"/>
        <w:jc w:val="center"/>
        <w:tblInd w:w="0" w:type="dxa"/>
        <w:tblLayout w:type="fixed"/>
        <w:tblCellMar>
          <w:top w:w="0" w:type="dxa"/>
          <w:left w:w="0" w:type="dxa"/>
          <w:bottom w:w="0" w:type="dxa"/>
          <w:right w:w="0" w:type="dxa"/>
        </w:tblCellMar>
      </w:tblPr>
      <w:tblGrid>
        <w:gridCol w:w="6972"/>
        <w:gridCol w:w="227"/>
        <w:gridCol w:w="171"/>
        <w:gridCol w:w="1023"/>
        <w:gridCol w:w="200"/>
        <w:gridCol w:w="196"/>
        <w:gridCol w:w="171"/>
        <w:gridCol w:w="1086"/>
        <w:gridCol w:w="159"/>
      </w:tblGrid>
      <w:tr>
        <w:trPr/>
        <w:tc>
          <w:tcPr>
            <w:tcW w:w="6972"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7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8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97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20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2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9" w:type="dxa"/>
            <w:tcBorders/>
            <w:vAlign w:val="bottom"/>
          </w:tcPr>
          <w:p>
            <w:pPr>
              <w:pStyle w:val="TableContents"/>
              <w:bidi w:val="0"/>
              <w:spacing w:before="0" w:after="283"/>
              <w:jc w:val="left"/>
              <w:rPr/>
            </w:pPr>
            <w:r>
              <w:rPr/>
              <w:t> </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08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023" w:type="dxa"/>
            <w:tcBorders/>
            <w:vAlign w:val="bottom"/>
          </w:tcPr>
          <w:p>
            <w:pPr>
              <w:pStyle w:val="TableContents"/>
              <w:bidi w:val="0"/>
              <w:spacing w:before="0" w:after="283"/>
              <w:jc w:val="right"/>
              <w:rPr/>
            </w:pPr>
            <w:r>
              <w:rPr/>
              <w:t>17,614</w:t>
            </w:r>
          </w:p>
        </w:tc>
        <w:tc>
          <w:tcPr>
            <w:tcW w:w="20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086" w:type="dxa"/>
            <w:tcBorders/>
            <w:vAlign w:val="bottom"/>
          </w:tcPr>
          <w:p>
            <w:pPr>
              <w:pStyle w:val="TableContents"/>
              <w:bidi w:val="0"/>
              <w:spacing w:before="0" w:after="283"/>
              <w:jc w:val="right"/>
              <w:rPr/>
            </w:pPr>
            <w:r>
              <w:rPr/>
              <w:t>55,776</w:t>
            </w:r>
          </w:p>
        </w:tc>
        <w:tc>
          <w:tcPr>
            <w:tcW w:w="159" w:type="dxa"/>
            <w:tcBorders/>
            <w:vAlign w:val="bottom"/>
          </w:tcPr>
          <w:p>
            <w:pPr>
              <w:pStyle w:val="TableContents"/>
              <w:bidi w:val="0"/>
              <w:spacing w:before="0" w:after="283"/>
              <w:jc w:val="left"/>
              <w:rPr/>
            </w:pPr>
            <w:r>
              <w:rPr/>
              <w:t> </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2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69,512</w:t>
            </w:r>
          </w:p>
        </w:tc>
        <w:tc>
          <w:tcPr>
            <w:tcW w:w="20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157,000</w:t>
            </w:r>
          </w:p>
        </w:tc>
        <w:tc>
          <w:tcPr>
            <w:tcW w:w="159" w:type="dxa"/>
            <w:tcBorders/>
            <w:shd w:fill="CCEEFF" w:val="clear"/>
            <w:vAlign w:val="bottom"/>
          </w:tcPr>
          <w:p>
            <w:pPr>
              <w:pStyle w:val="TableContents"/>
              <w:bidi w:val="0"/>
              <w:spacing w:before="0" w:after="283"/>
              <w:jc w:val="left"/>
              <w:rPr/>
            </w:pPr>
            <w:r>
              <w:rPr/>
              <w:t> </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8,392</w:t>
            </w:r>
          </w:p>
        </w:tc>
        <w:tc>
          <w:tcPr>
            <w:tcW w:w="20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24,547</w:t>
            </w:r>
          </w:p>
        </w:tc>
        <w:tc>
          <w:tcPr>
            <w:tcW w:w="159" w:type="dxa"/>
            <w:tcBorders/>
            <w:vAlign w:val="bottom"/>
          </w:tcPr>
          <w:p>
            <w:pPr>
              <w:pStyle w:val="TableContents"/>
              <w:bidi w:val="0"/>
              <w:spacing w:before="0" w:after="283"/>
              <w:jc w:val="left"/>
              <w:rPr/>
            </w:pPr>
            <w:r>
              <w:rPr/>
              <w:t> </w:t>
            </w:r>
          </w:p>
        </w:tc>
      </w:tr>
      <w:tr>
        <w:trPr/>
        <w:tc>
          <w:tcPr>
            <w:tcW w:w="6972"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95,518</w:t>
            </w:r>
          </w:p>
        </w:tc>
        <w:tc>
          <w:tcPr>
            <w:tcW w:w="20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237,323</w:t>
            </w:r>
          </w:p>
        </w:tc>
        <w:tc>
          <w:tcPr>
            <w:tcW w:w="159" w:type="dxa"/>
            <w:tcBorders/>
            <w:shd w:fill="CCEEFF" w:val="clear"/>
            <w:vAlign w:val="bottom"/>
          </w:tcPr>
          <w:p>
            <w:pPr>
              <w:pStyle w:val="TableContents"/>
              <w:bidi w:val="0"/>
              <w:spacing w:before="0" w:after="283"/>
              <w:jc w:val="left"/>
              <w:rPr/>
            </w:pPr>
            <w:r>
              <w:rPr/>
              <w:t> </w:t>
            </w:r>
          </w:p>
        </w:tc>
      </w:tr>
      <w:tr>
        <w:trPr/>
        <w:tc>
          <w:tcPr>
            <w:tcW w:w="6972"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(95,518</w:t>
            </w:r>
          </w:p>
        </w:tc>
        <w:tc>
          <w:tcPr>
            <w:tcW w:w="20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(237,323</w:t>
            </w:r>
          </w:p>
        </w:tc>
        <w:tc>
          <w:tcPr>
            <w:tcW w:w="159" w:type="dxa"/>
            <w:tcBorders/>
            <w:vAlign w:val="bottom"/>
          </w:tcPr>
          <w:p>
            <w:pPr>
              <w:pStyle w:val="TableContents"/>
              <w:bidi w:val="0"/>
              <w:spacing w:before="0" w:after="283"/>
              <w:jc w:val="left"/>
              <w:rPr/>
            </w:pPr>
            <w:r>
              <w:rPr/>
              <w:t>) </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2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08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Loss from change in fair value of convertible promissory notes</w:t>
            </w:r>
          </w:p>
        </w:tc>
        <w:tc>
          <w:tcPr>
            <w:tcW w:w="2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(3,275</w:t>
            </w:r>
          </w:p>
        </w:tc>
        <w:tc>
          <w:tcPr>
            <w:tcW w:w="20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(479</w:t>
            </w:r>
          </w:p>
        </w:tc>
        <w:tc>
          <w:tcPr>
            <w:tcW w:w="20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11</w:t>
            </w:r>
          </w:p>
        </w:tc>
        <w:tc>
          <w:tcPr>
            <w:tcW w:w="159" w:type="dxa"/>
            <w:tcBorders/>
            <w:shd w:fill="CCEEFF" w:val="clear"/>
            <w:vAlign w:val="bottom"/>
          </w:tcPr>
          <w:p>
            <w:pPr>
              <w:pStyle w:val="TableContents"/>
              <w:bidi w:val="0"/>
              <w:spacing w:before="0" w:after="283"/>
              <w:jc w:val="left"/>
              <w:rPr/>
            </w:pPr>
            <w:r>
              <w:rPr/>
              <w:t> </w:t>
            </w:r>
          </w:p>
        </w:tc>
      </w:tr>
      <w:tr>
        <w:trPr/>
        <w:tc>
          <w:tcPr>
            <w:tcW w:w="6972"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(3,754</w:t>
            </w:r>
          </w:p>
        </w:tc>
        <w:tc>
          <w:tcPr>
            <w:tcW w:w="20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11</w:t>
            </w:r>
          </w:p>
        </w:tc>
        <w:tc>
          <w:tcPr>
            <w:tcW w:w="159" w:type="dxa"/>
            <w:tcBorders/>
            <w:vAlign w:val="bottom"/>
          </w:tcPr>
          <w:p>
            <w:pPr>
              <w:pStyle w:val="TableContents"/>
              <w:bidi w:val="0"/>
              <w:spacing w:before="0" w:after="283"/>
              <w:jc w:val="left"/>
              <w:rPr/>
            </w:pPr>
            <w:r>
              <w:rPr/>
              <w:t> </w:t>
            </w:r>
          </w:p>
        </w:tc>
      </w:tr>
      <w:tr>
        <w:trPr/>
        <w:tc>
          <w:tcPr>
            <w:tcW w:w="6972"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2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023" w:type="dxa"/>
            <w:tcBorders/>
            <w:shd w:fill="CCEEFF" w:val="clear"/>
            <w:vAlign w:val="bottom"/>
          </w:tcPr>
          <w:p>
            <w:pPr>
              <w:pStyle w:val="TableContents"/>
              <w:bidi w:val="0"/>
              <w:spacing w:before="0" w:after="283"/>
              <w:jc w:val="right"/>
              <w:rPr/>
            </w:pPr>
            <w:r>
              <w:rPr/>
              <w:t>(99,272</w:t>
            </w:r>
          </w:p>
        </w:tc>
        <w:tc>
          <w:tcPr>
            <w:tcW w:w="20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086" w:type="dxa"/>
            <w:tcBorders/>
            <w:shd w:fill="CCEEFF" w:val="clear"/>
            <w:vAlign w:val="bottom"/>
          </w:tcPr>
          <w:p>
            <w:pPr>
              <w:pStyle w:val="TableContents"/>
              <w:bidi w:val="0"/>
              <w:spacing w:before="0" w:after="283"/>
              <w:jc w:val="right"/>
              <w:rPr/>
            </w:pPr>
            <w:r>
              <w:rPr/>
              <w:t>(237,312</w:t>
            </w:r>
          </w:p>
        </w:tc>
        <w:tc>
          <w:tcPr>
            <w:tcW w:w="159" w:type="dxa"/>
            <w:tcBorders/>
            <w:shd w:fill="CCEEFF" w:val="clear"/>
            <w:vAlign w:val="bottom"/>
          </w:tcPr>
          <w:p>
            <w:pPr>
              <w:pStyle w:val="TableContents"/>
              <w:bidi w:val="0"/>
              <w:spacing w:before="0" w:after="283"/>
              <w:jc w:val="left"/>
              <w:rPr/>
            </w:pPr>
            <w:r>
              <w:rPr/>
              <w:t>) </w:t>
            </w:r>
          </w:p>
        </w:tc>
      </w:tr>
      <w:tr>
        <w:trPr/>
        <w:tc>
          <w:tcPr>
            <w:tcW w:w="6972"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08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023" w:type="dxa"/>
            <w:tcBorders/>
            <w:vAlign w:val="bottom"/>
          </w:tcPr>
          <w:p>
            <w:pPr>
              <w:pStyle w:val="TableContents"/>
              <w:bidi w:val="0"/>
              <w:spacing w:before="0" w:after="283"/>
              <w:jc w:val="right"/>
              <w:rPr/>
            </w:pPr>
            <w:r>
              <w:rPr/>
              <w:t>(0.97</w:t>
            </w:r>
          </w:p>
        </w:tc>
        <w:tc>
          <w:tcPr>
            <w:tcW w:w="20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086" w:type="dxa"/>
            <w:tcBorders/>
            <w:vAlign w:val="bottom"/>
          </w:tcPr>
          <w:p>
            <w:pPr>
              <w:pStyle w:val="TableContents"/>
              <w:bidi w:val="0"/>
              <w:spacing w:before="0" w:after="283"/>
              <w:jc w:val="right"/>
              <w:rPr/>
            </w:pPr>
            <w:r>
              <w:rPr/>
              <w:t>(1.38</w:t>
            </w:r>
          </w:p>
        </w:tc>
        <w:tc>
          <w:tcPr>
            <w:tcW w:w="159" w:type="dxa"/>
            <w:tcBorders/>
            <w:vAlign w:val="bottom"/>
          </w:tcPr>
          <w:p>
            <w:pPr>
              <w:pStyle w:val="TableContents"/>
              <w:bidi w:val="0"/>
              <w:spacing w:before="0" w:after="283"/>
              <w:jc w:val="left"/>
              <w:rPr/>
            </w:pPr>
            <w:r>
              <w:rPr/>
              <w:t>) </w:t>
            </w:r>
          </w:p>
        </w:tc>
      </w:tr>
      <w:tr>
        <w:trPr/>
        <w:tc>
          <w:tcPr>
            <w:tcW w:w="6972"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08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basic and diluted</w:t>
            </w:r>
          </w:p>
        </w:tc>
        <w:tc>
          <w:tcPr>
            <w:tcW w:w="2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101,992</w:t>
            </w:r>
          </w:p>
        </w:tc>
        <w:tc>
          <w:tcPr>
            <w:tcW w:w="20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171,815</w:t>
            </w:r>
          </w:p>
        </w:tc>
        <w:tc>
          <w:tcPr>
            <w:tcW w:w="159" w:type="dxa"/>
            <w:tcBorders/>
            <w:shd w:fill="CCEEFF" w:val="clear"/>
            <w:vAlign w:val="bottom"/>
          </w:tcPr>
          <w:p>
            <w:pPr>
              <w:pStyle w:val="TableContents"/>
              <w:bidi w:val="0"/>
              <w:spacing w:before="0" w:after="283"/>
              <w:jc w:val="left"/>
              <w:rPr/>
            </w:pPr>
            <w:r>
              <w:rPr/>
              <w:t> </w:t>
            </w:r>
          </w:p>
        </w:tc>
      </w:tr>
      <w:tr>
        <w:trPr/>
        <w:tc>
          <w:tcPr>
            <w:tcW w:w="6972"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08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2" w:name="fin241143_4"/>
      <w:bookmarkEnd w:id="32"/>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Consolidated Statements of Convertible Preferred Stock and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26"/>
        <w:gridCol w:w="60"/>
        <w:gridCol w:w="60"/>
        <w:gridCol w:w="800"/>
        <w:gridCol w:w="60"/>
        <w:gridCol w:w="60"/>
        <w:gridCol w:w="140"/>
        <w:gridCol w:w="1040"/>
        <w:gridCol w:w="60"/>
        <w:gridCol w:w="60"/>
        <w:gridCol w:w="60"/>
        <w:gridCol w:w="60"/>
        <w:gridCol w:w="60"/>
        <w:gridCol w:w="60"/>
        <w:gridCol w:w="60"/>
        <w:gridCol w:w="800"/>
        <w:gridCol w:w="155"/>
        <w:gridCol w:w="60"/>
        <w:gridCol w:w="171"/>
        <w:gridCol w:w="688"/>
        <w:gridCol w:w="155"/>
        <w:gridCol w:w="60"/>
        <w:gridCol w:w="163"/>
        <w:gridCol w:w="937"/>
        <w:gridCol w:w="60"/>
        <w:gridCol w:w="60"/>
        <w:gridCol w:w="180"/>
        <w:gridCol w:w="1191"/>
        <w:gridCol w:w="155"/>
        <w:gridCol w:w="60"/>
        <w:gridCol w:w="140"/>
        <w:gridCol w:w="1236"/>
        <w:gridCol w:w="168"/>
      </w:tblGrid>
      <w:tr>
        <w:trPr/>
        <w:tc>
          <w:tcPr>
            <w:tcW w:w="112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gridSpan w:val="6"/>
            <w:tcBorders>
              <w:bottom w:val="single" w:sz="8" w:space="0" w:color="000000"/>
            </w:tcBorders>
            <w:tcMar>
              <w:bottom w:w="28" w:type="dxa"/>
            </w:tcMar>
            <w:vAlign w:val="bottom"/>
          </w:tcPr>
          <w:p>
            <w:pPr>
              <w:pStyle w:val="TableContents"/>
              <w:bidi w:val="0"/>
              <w:spacing w:before="0" w:after="283"/>
              <w:jc w:val="center"/>
              <w:rPr/>
            </w:pPr>
            <w:r>
              <w:rPr>
                <w:b/>
              </w:rPr>
              <w:t>Convertible</w:t>
            </w:r>
            <w:r>
              <w:rPr/>
              <w:br/>
            </w:r>
            <w:r>
              <w:rPr>
                <w:b/>
              </w:rPr>
              <w:t>Preferred Stock</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0" w:type="dxa"/>
            <w:gridSpan w:val="2"/>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15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1"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6"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br/>
              <w:t>Deficit</w:t>
            </w:r>
          </w:p>
        </w:tc>
        <w:tc>
          <w:tcPr>
            <w:tcW w:w="168" w:type="dxa"/>
            <w:vMerge w:val="restart"/>
            <w:tcBorders/>
            <w:vAlign w:val="bottom"/>
          </w:tcPr>
          <w:p>
            <w:pPr>
              <w:pStyle w:val="TableContents"/>
              <w:bidi w:val="0"/>
              <w:spacing w:before="0" w:after="283"/>
              <w:jc w:val="left"/>
              <w:rPr/>
            </w:pPr>
            <w:r>
              <w:rPr/>
              <w:t> </w:t>
            </w:r>
          </w:p>
        </w:tc>
      </w:tr>
      <w:tr>
        <w:trPr/>
        <w:tc>
          <w:tcPr>
            <w:tcW w:w="1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1"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6" w:type="dxa"/>
            <w:gridSpan w:val="2"/>
            <w:vMerge w:val="continue"/>
            <w:tcBorders>
              <w:bottom w:val="single" w:sz="8" w:space="0" w:color="000000"/>
            </w:tcBorders>
            <w:tcMar>
              <w:bottom w:w="28" w:type="dxa"/>
            </w:tcMar>
            <w:vAlign w:val="bottom"/>
          </w:tcPr>
          <w:p>
            <w:pPr>
              <w:pStyle w:val="Normal"/>
              <w:bidi w:val="0"/>
              <w:jc w:val="left"/>
              <w:rPr/>
            </w:pPr>
            <w:r>
              <w:rPr/>
            </w:r>
          </w:p>
        </w:tc>
        <w:tc>
          <w:tcPr>
            <w:tcW w:w="168" w:type="dxa"/>
            <w:vMerge w:val="continue"/>
            <w:tcBorders/>
            <w:vAlign w:val="bottom"/>
          </w:tcPr>
          <w:p>
            <w:pPr>
              <w:pStyle w:val="Normal"/>
              <w:bidi w:val="0"/>
              <w:jc w:val="left"/>
              <w:rPr/>
            </w:pPr>
            <w:r>
              <w:rPr/>
            </w:r>
          </w:p>
        </w:tc>
      </w:tr>
      <w:tr>
        <w:trPr/>
        <w:tc>
          <w:tcPr>
            <w:tcW w:w="1126"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Balance as of December 31, 2019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91"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(21</w:t>
            </w:r>
          </w:p>
        </w:tc>
        <w:tc>
          <w:tcPr>
            <w:tcW w:w="168" w:type="dxa"/>
            <w:tcBorders/>
            <w:shd w:fill="CCEEFF" w:val="clear"/>
            <w:vAlign w:val="bottom"/>
          </w:tcPr>
          <w:p>
            <w:pPr>
              <w:pStyle w:val="TableContents"/>
              <w:bidi w:val="0"/>
              <w:spacing w:before="0" w:after="283"/>
              <w:jc w:val="left"/>
              <w:rPr/>
            </w:pPr>
            <w:r>
              <w:rPr/>
              <w:t>) </w:t>
            </w:r>
          </w:p>
        </w:tc>
      </w:tr>
      <w:tr>
        <w:trPr/>
        <w:tc>
          <w:tcPr>
            <w:tcW w:w="1126" w:type="dxa"/>
            <w:tcBorders/>
          </w:tcPr>
          <w:p>
            <w:pPr>
              <w:pStyle w:val="TableContents"/>
              <w:bidi w:val="0"/>
              <w:spacing w:before="0" w:after="0"/>
              <w:jc w:val="left"/>
              <w:rPr>
                <w:rFonts w:ascii="Times New Roman" w:hAnsi="Times New Roman"/>
                <w:sz w:val="17"/>
              </w:rPr>
            </w:pPr>
            <w:r>
              <w:rPr>
                <w:rFonts w:ascii="Times New Roman" w:hAnsi="Times New Roman"/>
                <w:sz w:val="17"/>
              </w:rPr>
              <w:t>Issuance of Series A-1 convertible preferred stock as noncash consideration for an acquisition of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45,178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36,595</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1126"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Issuance of Series A-2 convertible preferred stock, net of issuance costs of $903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175,620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171,006</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1126" w:type="dxa"/>
            <w:tcBorders/>
          </w:tcPr>
          <w:p>
            <w:pPr>
              <w:pStyle w:val="TableContents"/>
              <w:bidi w:val="0"/>
              <w:spacing w:before="0" w:after="0"/>
              <w:jc w:val="left"/>
              <w:rPr>
                <w:rFonts w:ascii="Times New Roman" w:hAnsi="Times New Roman"/>
                <w:sz w:val="17"/>
              </w:rPr>
            </w:pPr>
            <w:r>
              <w:rPr>
                <w:rFonts w:ascii="Times New Roman" w:hAnsi="Times New Roman"/>
                <w:sz w:val="17"/>
              </w:rPr>
              <w:t>Issuance of Series A-2 convertible preferred stock as noncash consideration for acquisitions of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14,898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14,898</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1126"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Settlement of convertible promissory notes with shares of Series A-2 convertible preferred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59,180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59,180</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1126" w:type="dxa"/>
            <w:tcBorders/>
          </w:tcPr>
          <w:p>
            <w:pPr>
              <w:pStyle w:val="TableContents"/>
              <w:bidi w:val="0"/>
              <w:spacing w:before="0" w:after="0"/>
              <w:jc w:val="left"/>
              <w:rPr>
                <w:rFonts w:ascii="Times New Roman" w:hAnsi="Times New Roman"/>
                <w:sz w:val="17"/>
              </w:rPr>
            </w:pPr>
            <w:r>
              <w:rPr>
                <w:rFonts w:ascii="Times New Roman" w:hAnsi="Times New Roman"/>
                <w:sz w:val="17"/>
              </w:rPr>
              <w:t>Issuance of 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254,709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3,175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3,190</w:t>
            </w:r>
          </w:p>
        </w:tc>
        <w:tc>
          <w:tcPr>
            <w:tcW w:w="168" w:type="dxa"/>
            <w:tcBorders/>
            <w:vAlign w:val="bottom"/>
          </w:tcPr>
          <w:p>
            <w:pPr>
              <w:pStyle w:val="TableContents"/>
              <w:bidi w:val="0"/>
              <w:spacing w:before="0" w:after="283"/>
              <w:jc w:val="left"/>
              <w:rPr/>
            </w:pPr>
            <w:r>
              <w:rPr/>
              <w:t> </w:t>
            </w:r>
          </w:p>
        </w:tc>
      </w:tr>
      <w:tr>
        <w:trPr/>
        <w:tc>
          <w:tcPr>
            <w:tcW w:w="1126"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Issuance of common stock under third-party service agreements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2,100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1126" w:type="dxa"/>
            <w:tcBorders/>
          </w:tcPr>
          <w:p>
            <w:pPr>
              <w:pStyle w:val="TableContents"/>
              <w:bidi w:val="0"/>
              <w:spacing w:before="0" w:after="0"/>
              <w:jc w:val="left"/>
              <w:rPr>
                <w:rFonts w:ascii="Times New Roman" w:hAnsi="Times New Roman"/>
                <w:sz w:val="17"/>
              </w:rPr>
            </w:pPr>
            <w:r>
              <w:rPr>
                <w:rFonts w:ascii="Times New Roman" w:hAnsi="Times New Roman"/>
                <w:sz w:val="17"/>
              </w:rPr>
              <w:t>Repurchase of common stock from related party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(16,667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(2</w:t>
            </w:r>
          </w:p>
        </w:tc>
        <w:tc>
          <w:tcPr>
            <w:tcW w:w="168" w:type="dxa"/>
            <w:tcBorders/>
            <w:vAlign w:val="bottom"/>
          </w:tcPr>
          <w:p>
            <w:pPr>
              <w:pStyle w:val="TableContents"/>
              <w:bidi w:val="0"/>
              <w:spacing w:before="0" w:after="283"/>
              <w:jc w:val="left"/>
              <w:rPr/>
            </w:pPr>
            <w:r>
              <w:rPr/>
              <w:t>) </w:t>
            </w:r>
          </w:p>
        </w:tc>
      </w:tr>
      <w:tr>
        <w:trPr/>
        <w:tc>
          <w:tcPr>
            <w:tcW w:w="1126"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Issuance of common stock as noncash consideration for an acquisition of assets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46</w:t>
            </w:r>
          </w:p>
        </w:tc>
        <w:tc>
          <w:tcPr>
            <w:tcW w:w="168" w:type="dxa"/>
            <w:tcBorders/>
            <w:shd w:fill="CCEEFF" w:val="clear"/>
            <w:vAlign w:val="bottom"/>
          </w:tcPr>
          <w:p>
            <w:pPr>
              <w:pStyle w:val="TableContents"/>
              <w:bidi w:val="0"/>
              <w:spacing w:before="0" w:after="283"/>
              <w:jc w:val="left"/>
              <w:rPr/>
            </w:pPr>
            <w:r>
              <w:rPr/>
              <w:t> </w:t>
            </w:r>
          </w:p>
        </w:tc>
      </w:tr>
      <w:tr>
        <w:trPr/>
        <w:tc>
          <w:tcPr>
            <w:tcW w:w="1126" w:type="dxa"/>
            <w:tcBorders/>
          </w:tcPr>
          <w:p>
            <w:pPr>
              <w:pStyle w:val="TableContents"/>
              <w:bidi w:val="0"/>
              <w:spacing w:before="0" w:after="0"/>
              <w:jc w:val="left"/>
              <w:rPr>
                <w:rFonts w:ascii="Times New Roman" w:hAnsi="Times New Roman"/>
                <w:sz w:val="17"/>
              </w:rPr>
            </w:pPr>
            <w:r>
              <w:rPr>
                <w:rFonts w:ascii="Times New Roman" w:hAnsi="Times New Roman"/>
                <w:sz w:val="17"/>
              </w:rPr>
              <w:t>Stock-based 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1,675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1,675</w:t>
            </w:r>
          </w:p>
        </w:tc>
        <w:tc>
          <w:tcPr>
            <w:tcW w:w="168" w:type="dxa"/>
            <w:tcBorders/>
            <w:vAlign w:val="bottom"/>
          </w:tcPr>
          <w:p>
            <w:pPr>
              <w:pStyle w:val="TableContents"/>
              <w:bidi w:val="0"/>
              <w:spacing w:before="0" w:after="283"/>
              <w:jc w:val="left"/>
              <w:rPr/>
            </w:pPr>
            <w:r>
              <w:rPr/>
              <w:t> </w:t>
            </w:r>
          </w:p>
        </w:tc>
      </w:tr>
      <w:tr>
        <w:trPr/>
        <w:tc>
          <w:tcPr>
            <w:tcW w:w="1126"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Net loss and comprehensive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(99,272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(99,272</w:t>
            </w:r>
          </w:p>
        </w:tc>
        <w:tc>
          <w:tcPr>
            <w:tcW w:w="168" w:type="dxa"/>
            <w:tcBorders/>
            <w:shd w:fill="CCEEFF" w:val="clear"/>
            <w:vAlign w:val="bottom"/>
          </w:tcPr>
          <w:p>
            <w:pPr>
              <w:pStyle w:val="TableContents"/>
              <w:bidi w:val="0"/>
              <w:spacing w:before="0" w:after="283"/>
              <w:jc w:val="left"/>
              <w:rPr/>
            </w:pPr>
            <w:r>
              <w:rPr/>
              <w:t>) </w:t>
            </w:r>
          </w:p>
        </w:tc>
      </w:tr>
      <w:tr>
        <w:trPr/>
        <w:tc>
          <w:tcPr>
            <w:tcW w:w="11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1126" w:type="dxa"/>
            <w:tcBorders/>
          </w:tcPr>
          <w:p>
            <w:pPr>
              <w:pStyle w:val="TableContents"/>
              <w:bidi w:val="0"/>
              <w:spacing w:before="0" w:after="0"/>
              <w:jc w:val="left"/>
              <w:rPr>
                <w:rFonts w:ascii="Times New Roman" w:hAnsi="Times New Roman"/>
                <w:sz w:val="17"/>
              </w:rPr>
            </w:pPr>
            <w:r>
              <w:rPr>
                <w:rFonts w:ascii="Times New Roman" w:hAnsi="Times New Roman"/>
                <w:sz w:val="17"/>
              </w:rPr>
              <w:t>Balance as of December 31, 2020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294,876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0" w:type="dxa"/>
            <w:tcBorders/>
            <w:vAlign w:val="bottom"/>
          </w:tcPr>
          <w:p>
            <w:pPr>
              <w:pStyle w:val="TableContents"/>
              <w:bidi w:val="0"/>
              <w:spacing w:before="0" w:after="283"/>
              <w:jc w:val="right"/>
              <w:rPr/>
            </w:pPr>
            <w:r>
              <w:rPr/>
              <w:t>281,679</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240,152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4,896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191" w:type="dxa"/>
            <w:tcBorders/>
            <w:vAlign w:val="bottom"/>
          </w:tcPr>
          <w:p>
            <w:pPr>
              <w:pStyle w:val="TableContents"/>
              <w:bidi w:val="0"/>
              <w:spacing w:before="0" w:after="283"/>
              <w:jc w:val="right"/>
              <w:rPr/>
            </w:pPr>
            <w:r>
              <w:rPr/>
              <w:t>(99,293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36" w:type="dxa"/>
            <w:tcBorders/>
            <w:vAlign w:val="bottom"/>
          </w:tcPr>
          <w:p>
            <w:pPr>
              <w:pStyle w:val="TableContents"/>
              <w:bidi w:val="0"/>
              <w:spacing w:before="0" w:after="283"/>
              <w:jc w:val="right"/>
              <w:rPr/>
            </w:pPr>
            <w:r>
              <w:rPr/>
              <w:t>(94,384</w:t>
            </w:r>
          </w:p>
        </w:tc>
        <w:tc>
          <w:tcPr>
            <w:tcW w:w="168" w:type="dxa"/>
            <w:tcBorders/>
            <w:vAlign w:val="bottom"/>
          </w:tcPr>
          <w:p>
            <w:pPr>
              <w:pStyle w:val="TableContents"/>
              <w:bidi w:val="0"/>
              <w:spacing w:before="0" w:after="283"/>
              <w:jc w:val="left"/>
              <w:rPr/>
            </w:pPr>
            <w:r>
              <w:rPr/>
              <w:t>) </w:t>
            </w:r>
          </w:p>
        </w:tc>
      </w:tr>
      <w:tr>
        <w:trPr/>
        <w:tc>
          <w:tcPr>
            <w:tcW w:w="1126"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Issuance of Series A-2 convertible preferred stock, net of issuance costs of $71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291,250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291,179</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1126" w:type="dxa"/>
            <w:tcBorders/>
          </w:tcPr>
          <w:p>
            <w:pPr>
              <w:pStyle w:val="TableContents"/>
              <w:bidi w:val="0"/>
              <w:spacing w:before="0" w:after="0"/>
              <w:jc w:val="left"/>
              <w:rPr>
                <w:rFonts w:ascii="Times New Roman" w:hAnsi="Times New Roman"/>
                <w:sz w:val="17"/>
              </w:rPr>
            </w:pPr>
            <w:r>
              <w:rPr>
                <w:rFonts w:ascii="Times New Roman" w:hAnsi="Times New Roman"/>
                <w:sz w:val="17"/>
              </w:rPr>
              <w:t>Issuance of Series A-2 convertible preferred stock for an acquisition of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157,000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157,000</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1126"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Issuance of common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960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960</w:t>
            </w:r>
          </w:p>
        </w:tc>
        <w:tc>
          <w:tcPr>
            <w:tcW w:w="168" w:type="dxa"/>
            <w:tcBorders/>
            <w:shd w:fill="CCEEFF" w:val="clear"/>
            <w:vAlign w:val="bottom"/>
          </w:tcPr>
          <w:p>
            <w:pPr>
              <w:pStyle w:val="TableContents"/>
              <w:bidi w:val="0"/>
              <w:spacing w:before="0" w:after="283"/>
              <w:jc w:val="left"/>
              <w:rPr/>
            </w:pPr>
            <w:r>
              <w:rPr/>
              <w:t> </w:t>
            </w:r>
          </w:p>
        </w:tc>
      </w:tr>
      <w:tr>
        <w:trPr/>
        <w:tc>
          <w:tcPr>
            <w:tcW w:w="1126" w:type="dxa"/>
            <w:tcBorders/>
          </w:tcPr>
          <w:p>
            <w:pPr>
              <w:pStyle w:val="TableContents"/>
              <w:bidi w:val="0"/>
              <w:spacing w:before="0" w:after="0"/>
              <w:jc w:val="left"/>
              <w:rPr>
                <w:rFonts w:ascii="Times New Roman" w:hAnsi="Times New Roman"/>
                <w:sz w:val="17"/>
              </w:rPr>
            </w:pPr>
            <w:r>
              <w:rPr>
                <w:rFonts w:ascii="Times New Roman" w:hAnsi="Times New Roman"/>
                <w:sz w:val="17"/>
              </w:rPr>
              <w:t>Issuance of common stock upon early exercise of stock options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4,415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1126"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Issuance of common stock upon exercise of stock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3,195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1,098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1,099</w:t>
            </w:r>
          </w:p>
        </w:tc>
        <w:tc>
          <w:tcPr>
            <w:tcW w:w="168" w:type="dxa"/>
            <w:tcBorders/>
            <w:shd w:fill="CCEEFF" w:val="clear"/>
            <w:vAlign w:val="bottom"/>
          </w:tcPr>
          <w:p>
            <w:pPr>
              <w:pStyle w:val="TableContents"/>
              <w:bidi w:val="0"/>
              <w:spacing w:before="0" w:after="283"/>
              <w:jc w:val="left"/>
              <w:rPr/>
            </w:pPr>
            <w:r>
              <w:rPr/>
              <w:t> </w:t>
            </w:r>
          </w:p>
        </w:tc>
      </w:tr>
      <w:tr>
        <w:trPr/>
        <w:tc>
          <w:tcPr>
            <w:tcW w:w="1126" w:type="dxa"/>
            <w:tcBorders/>
          </w:tcPr>
          <w:p>
            <w:pPr>
              <w:pStyle w:val="TableContents"/>
              <w:bidi w:val="0"/>
              <w:spacing w:before="0" w:after="0"/>
              <w:jc w:val="left"/>
              <w:rPr>
                <w:rFonts w:ascii="Times New Roman" w:hAnsi="Times New Roman"/>
                <w:sz w:val="17"/>
              </w:rPr>
            </w:pPr>
            <w:r>
              <w:rPr>
                <w:rFonts w:ascii="Times New Roman" w:hAnsi="Times New Roman"/>
                <w:sz w:val="17"/>
              </w:rPr>
              <w:t>Issuance of common stock as noncash consideration for an acquisition of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43</w:t>
            </w:r>
          </w:p>
        </w:tc>
        <w:tc>
          <w:tcPr>
            <w:tcW w:w="168" w:type="dxa"/>
            <w:tcBorders/>
            <w:vAlign w:val="bottom"/>
          </w:tcPr>
          <w:p>
            <w:pPr>
              <w:pStyle w:val="TableContents"/>
              <w:bidi w:val="0"/>
              <w:spacing w:before="0" w:after="283"/>
              <w:jc w:val="left"/>
              <w:rPr/>
            </w:pPr>
            <w:r>
              <w:rPr/>
              <w:t> </w:t>
            </w:r>
          </w:p>
        </w:tc>
      </w:tr>
      <w:tr>
        <w:trPr/>
        <w:tc>
          <w:tcPr>
            <w:tcW w:w="1126"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Vesting of restricted common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99</w:t>
            </w:r>
          </w:p>
        </w:tc>
        <w:tc>
          <w:tcPr>
            <w:tcW w:w="168" w:type="dxa"/>
            <w:tcBorders/>
            <w:shd w:fill="CCEEFF" w:val="clear"/>
            <w:vAlign w:val="bottom"/>
          </w:tcPr>
          <w:p>
            <w:pPr>
              <w:pStyle w:val="TableContents"/>
              <w:bidi w:val="0"/>
              <w:spacing w:before="0" w:after="283"/>
              <w:jc w:val="left"/>
              <w:rPr/>
            </w:pPr>
            <w:r>
              <w:rPr/>
              <w:t> </w:t>
            </w:r>
          </w:p>
        </w:tc>
      </w:tr>
      <w:tr>
        <w:trPr/>
        <w:tc>
          <w:tcPr>
            <w:tcW w:w="1126" w:type="dxa"/>
            <w:tcBorders/>
          </w:tcPr>
          <w:p>
            <w:pPr>
              <w:pStyle w:val="TableContents"/>
              <w:bidi w:val="0"/>
              <w:spacing w:before="0" w:after="0"/>
              <w:jc w:val="left"/>
              <w:rPr>
                <w:rFonts w:ascii="Times New Roman" w:hAnsi="Times New Roman"/>
                <w:sz w:val="17"/>
              </w:rPr>
            </w:pPr>
            <w:r>
              <w:rPr>
                <w:rFonts w:ascii="Times New Roman" w:hAnsi="Times New Roman"/>
                <w:sz w:val="17"/>
              </w:rPr>
              <w:t>Stock-based 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4,274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             </w:t>
            </w: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4,274</w:t>
            </w:r>
          </w:p>
        </w:tc>
        <w:tc>
          <w:tcPr>
            <w:tcW w:w="168" w:type="dxa"/>
            <w:tcBorders/>
            <w:vAlign w:val="bottom"/>
          </w:tcPr>
          <w:p>
            <w:pPr>
              <w:pStyle w:val="TableContents"/>
              <w:bidi w:val="0"/>
              <w:spacing w:before="0" w:after="283"/>
              <w:jc w:val="left"/>
              <w:rPr/>
            </w:pPr>
            <w:r>
              <w:rPr/>
              <w:t> </w:t>
            </w:r>
          </w:p>
        </w:tc>
      </w:tr>
      <w:tr>
        <w:trPr/>
        <w:tc>
          <w:tcPr>
            <w:tcW w:w="1126"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Net loss and comprehensive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(237,312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(237,312</w:t>
            </w:r>
          </w:p>
        </w:tc>
        <w:tc>
          <w:tcPr>
            <w:tcW w:w="168" w:type="dxa"/>
            <w:tcBorders/>
            <w:shd w:fill="CCEEFF" w:val="clear"/>
            <w:vAlign w:val="bottom"/>
          </w:tcPr>
          <w:p>
            <w:pPr>
              <w:pStyle w:val="TableContents"/>
              <w:bidi w:val="0"/>
              <w:spacing w:before="0" w:after="283"/>
              <w:jc w:val="left"/>
              <w:rPr/>
            </w:pPr>
            <w:r>
              <w:rPr/>
              <w:t>) </w:t>
            </w:r>
          </w:p>
        </w:tc>
      </w:tr>
      <w:tr>
        <w:trPr/>
        <w:tc>
          <w:tcPr>
            <w:tcW w:w="11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1126" w:type="dxa"/>
            <w:tcBorders/>
          </w:tcPr>
          <w:p>
            <w:pPr>
              <w:pStyle w:val="TableContents"/>
              <w:bidi w:val="0"/>
              <w:spacing w:before="0" w:after="0"/>
              <w:jc w:val="left"/>
              <w:rPr>
                <w:rFonts w:ascii="Times New Roman" w:hAnsi="Times New Roman"/>
                <w:sz w:val="17"/>
              </w:rPr>
            </w:pPr>
            <w:r>
              <w:rPr>
                <w:rFonts w:ascii="Times New Roman" w:hAnsi="Times New Roman"/>
                <w:sz w:val="17"/>
              </w:rPr>
              <w:t>Balance as of December 31, 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743,126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0" w:type="dxa"/>
            <w:tcBorders/>
            <w:vAlign w:val="bottom"/>
          </w:tcPr>
          <w:p>
            <w:pPr>
              <w:pStyle w:val="TableContents"/>
              <w:bidi w:val="0"/>
              <w:spacing w:before="0" w:after="283"/>
              <w:jc w:val="right"/>
              <w:rPr/>
            </w:pPr>
            <w:r>
              <w:rPr/>
              <w:t>    </w:t>
            </w:r>
            <w:r>
              <w:rPr/>
              <w:t>729,858</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250,962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     </w:t>
            </w:r>
            <w:r>
              <w:rPr/>
              <w:t>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  </w:t>
            </w:r>
            <w:r>
              <w:rPr/>
              <w:t>11,370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191" w:type="dxa"/>
            <w:tcBorders/>
            <w:vAlign w:val="bottom"/>
          </w:tcPr>
          <w:p>
            <w:pPr>
              <w:pStyle w:val="TableContents"/>
              <w:bidi w:val="0"/>
              <w:spacing w:before="0" w:after="283"/>
              <w:jc w:val="right"/>
              <w:rPr/>
            </w:pPr>
            <w:r>
              <w:rPr/>
              <w:t>(336,605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    (325,221</w:t>
            </w:r>
          </w:p>
        </w:tc>
        <w:tc>
          <w:tcPr>
            <w:tcW w:w="168" w:type="dxa"/>
            <w:tcBorders/>
            <w:vAlign w:val="bottom"/>
          </w:tcPr>
          <w:p>
            <w:pPr>
              <w:pStyle w:val="TableContents"/>
              <w:bidi w:val="0"/>
              <w:spacing w:before="0" w:after="283"/>
              <w:jc w:val="left"/>
              <w:rPr/>
            </w:pPr>
            <w:r>
              <w:rPr/>
              <w:t>) </w:t>
            </w:r>
          </w:p>
        </w:tc>
      </w:tr>
      <w:tr>
        <w:trPr/>
        <w:tc>
          <w:tcPr>
            <w:tcW w:w="11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36"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3" w:name="fin241143_5"/>
      <w:bookmarkEnd w:id="33"/>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50"/>
        <w:gridCol w:w="230"/>
        <w:gridCol w:w="140"/>
        <w:gridCol w:w="865"/>
        <w:gridCol w:w="164"/>
        <w:gridCol w:w="199"/>
        <w:gridCol w:w="140"/>
        <w:gridCol w:w="958"/>
        <w:gridCol w:w="159"/>
      </w:tblGrid>
      <w:tr>
        <w:trPr/>
        <w:tc>
          <w:tcPr>
            <w:tcW w:w="7350"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5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4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735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0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9" w:type="dxa"/>
            <w:tcBorders/>
            <w:vAlign w:val="bottom"/>
          </w:tcPr>
          <w:p>
            <w:pPr>
              <w:pStyle w:val="TableContents"/>
              <w:bidi w:val="0"/>
              <w:spacing w:before="0" w:after="283"/>
              <w:jc w:val="left"/>
              <w:rPr/>
            </w:pPr>
            <w:r>
              <w:rPr/>
              <w:t> </w:t>
            </w:r>
          </w:p>
        </w:tc>
      </w:tr>
      <w:tr>
        <w:trPr/>
        <w:tc>
          <w:tcPr>
            <w:tcW w:w="73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activities: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5" w:type="dxa"/>
            <w:tcBorders/>
            <w:vAlign w:val="bottom"/>
          </w:tcPr>
          <w:p>
            <w:pPr>
              <w:pStyle w:val="TableContents"/>
              <w:bidi w:val="0"/>
              <w:spacing w:before="0" w:after="283"/>
              <w:jc w:val="right"/>
              <w:rPr/>
            </w:pPr>
            <w:r>
              <w:rPr/>
              <w:t>(99,272</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(237,312</w:t>
            </w:r>
          </w:p>
        </w:tc>
        <w:tc>
          <w:tcPr>
            <w:tcW w:w="159" w:type="dxa"/>
            <w:tcBorders/>
            <w:vAlign w:val="bottom"/>
          </w:tcPr>
          <w:p>
            <w:pPr>
              <w:pStyle w:val="TableContents"/>
              <w:bidi w:val="0"/>
              <w:spacing w:before="0" w:after="283"/>
              <w:jc w:val="left"/>
              <w:rPr/>
            </w:pPr>
            <w:r>
              <w:rPr/>
              <w:t>) </w:t>
            </w:r>
          </w:p>
        </w:tc>
      </w:tr>
      <w:tr>
        <w:trPr/>
        <w:tc>
          <w:tcPr>
            <w:tcW w:w="7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w:t>
            </w:r>
          </w:p>
          <w:p>
            <w:pPr>
              <w:pStyle w:val="TableContents"/>
              <w:bidi w:val="0"/>
              <w:spacing w:before="0" w:after="20"/>
              <w:jc w:val="left"/>
              <w:rPr>
                <w:rFonts w:ascii="Times New Roman" w:hAnsi="Times New Roman"/>
                <w:sz w:val="20"/>
              </w:rPr>
            </w:pPr>
            <w:r>
              <w:rPr>
                <w:rFonts w:ascii="Times New Roman" w:hAnsi="Times New Roman"/>
                <w:sz w:val="20"/>
              </w:rPr>
              <w:t>activities: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69,512</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157,000</w:t>
            </w:r>
          </w:p>
        </w:tc>
        <w:tc>
          <w:tcPr>
            <w:tcW w:w="159" w:type="dxa"/>
            <w:tcBorders/>
            <w:vAlign w:val="bottom"/>
          </w:tcPr>
          <w:p>
            <w:pPr>
              <w:pStyle w:val="TableContents"/>
              <w:bidi w:val="0"/>
              <w:spacing w:before="0" w:after="283"/>
              <w:jc w:val="left"/>
              <w:rPr/>
            </w:pPr>
            <w:r>
              <w:rPr/>
              <w:t> </w:t>
            </w:r>
          </w:p>
        </w:tc>
      </w:tr>
      <w:tr>
        <w:trPr/>
        <w:tc>
          <w:tcPr>
            <w:tcW w:w="7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promissory notes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2,864</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1,675</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4,274</w:t>
            </w:r>
          </w:p>
        </w:tc>
        <w:tc>
          <w:tcPr>
            <w:tcW w:w="159" w:type="dxa"/>
            <w:tcBorders/>
            <w:vAlign w:val="bottom"/>
          </w:tcPr>
          <w:p>
            <w:pPr>
              <w:pStyle w:val="TableContents"/>
              <w:bidi w:val="0"/>
              <w:spacing w:before="0" w:after="283"/>
              <w:jc w:val="left"/>
              <w:rPr/>
            </w:pPr>
            <w:r>
              <w:rPr/>
              <w:t> </w:t>
            </w:r>
          </w:p>
        </w:tc>
      </w:tr>
      <w:tr>
        <w:trPr/>
        <w:tc>
          <w:tcPr>
            <w:tcW w:w="7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interest expense</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411</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Noncash operating lease expense</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362</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1,013</w:t>
            </w:r>
          </w:p>
        </w:tc>
        <w:tc>
          <w:tcPr>
            <w:tcW w:w="159" w:type="dxa"/>
            <w:tcBorders/>
            <w:vAlign w:val="bottom"/>
          </w:tcPr>
          <w:p>
            <w:pPr>
              <w:pStyle w:val="TableContents"/>
              <w:bidi w:val="0"/>
              <w:spacing w:before="0" w:after="283"/>
              <w:jc w:val="left"/>
              <w:rPr/>
            </w:pPr>
            <w:r>
              <w:rPr/>
              <w:t> </w:t>
            </w:r>
          </w:p>
        </w:tc>
      </w:tr>
      <w:tr>
        <w:trPr/>
        <w:tc>
          <w:tcPr>
            <w:tcW w:w="7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property and equipment and right-of-use assets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350</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105</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538</w:t>
            </w:r>
          </w:p>
        </w:tc>
        <w:tc>
          <w:tcPr>
            <w:tcW w:w="159" w:type="dxa"/>
            <w:tcBorders/>
            <w:vAlign w:val="bottom"/>
          </w:tcPr>
          <w:p>
            <w:pPr>
              <w:pStyle w:val="TableContents"/>
              <w:bidi w:val="0"/>
              <w:spacing w:before="0" w:after="283"/>
              <w:jc w:val="left"/>
              <w:rPr/>
            </w:pPr>
            <w:r>
              <w:rPr/>
              <w:t> </w:t>
            </w:r>
          </w:p>
        </w:tc>
      </w:tr>
      <w:tr>
        <w:trPr/>
        <w:tc>
          <w:tcPr>
            <w:tcW w:w="7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preferred stock warrants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(130</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(53</w:t>
            </w:r>
          </w:p>
        </w:tc>
        <w:tc>
          <w:tcPr>
            <w:tcW w:w="159" w:type="dxa"/>
            <w:tcBorders/>
            <w:shd w:fill="CCEEFF" w:val="clear"/>
            <w:vAlign w:val="bottom"/>
          </w:tcPr>
          <w:p>
            <w:pPr>
              <w:pStyle w:val="TableContents"/>
              <w:bidi w:val="0"/>
              <w:spacing w:before="0" w:after="283"/>
              <w:jc w:val="left"/>
              <w:rPr/>
            </w:pPr>
            <w:r>
              <w:rPr/>
              <w:t>) </w:t>
            </w:r>
          </w:p>
        </w:tc>
      </w:tr>
      <w:tr>
        <w:trPr/>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487</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81</w:t>
            </w:r>
          </w:p>
        </w:tc>
        <w:tc>
          <w:tcPr>
            <w:tcW w:w="159" w:type="dxa"/>
            <w:tcBorders/>
            <w:vAlign w:val="bottom"/>
          </w:tcPr>
          <w:p>
            <w:pPr>
              <w:pStyle w:val="TableContents"/>
              <w:bidi w:val="0"/>
              <w:spacing w:before="0" w:after="283"/>
              <w:jc w:val="left"/>
              <w:rPr/>
            </w:pPr>
            <w:r>
              <w:rPr/>
              <w:t> </w:t>
            </w:r>
          </w:p>
        </w:tc>
      </w:tr>
      <w:tr>
        <w:trPr/>
        <w:tc>
          <w:tcPr>
            <w:tcW w:w="7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(412</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(2,260</w:t>
            </w:r>
          </w:p>
        </w:tc>
        <w:tc>
          <w:tcPr>
            <w:tcW w:w="159" w:type="dxa"/>
            <w:tcBorders/>
            <w:vAlign w:val="bottom"/>
          </w:tcPr>
          <w:p>
            <w:pPr>
              <w:pStyle w:val="TableContents"/>
              <w:bidi w:val="0"/>
              <w:spacing w:before="0" w:after="283"/>
              <w:jc w:val="left"/>
              <w:rPr/>
            </w:pPr>
            <w:r>
              <w:rPr/>
              <w:t>) </w:t>
            </w:r>
          </w:p>
        </w:tc>
      </w:tr>
      <w:tr>
        <w:trPr/>
        <w:tc>
          <w:tcPr>
            <w:tcW w:w="7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(118</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(3,663</w:t>
            </w:r>
          </w:p>
        </w:tc>
        <w:tc>
          <w:tcPr>
            <w:tcW w:w="159" w:type="dxa"/>
            <w:tcBorders/>
            <w:shd w:fill="CCEEFF" w:val="clear"/>
            <w:vAlign w:val="bottom"/>
          </w:tcPr>
          <w:p>
            <w:pPr>
              <w:pStyle w:val="TableContents"/>
              <w:bidi w:val="0"/>
              <w:spacing w:before="0" w:after="283"/>
              <w:jc w:val="left"/>
              <w:rPr/>
            </w:pPr>
            <w:r>
              <w:rPr/>
              <w:t>) </w:t>
            </w:r>
          </w:p>
        </w:tc>
      </w:tr>
      <w:tr>
        <w:trPr/>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(4,673</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(759</w:t>
            </w:r>
          </w:p>
        </w:tc>
        <w:tc>
          <w:tcPr>
            <w:tcW w:w="159" w:type="dxa"/>
            <w:tcBorders/>
            <w:vAlign w:val="bottom"/>
          </w:tcPr>
          <w:p>
            <w:pPr>
              <w:pStyle w:val="TableContents"/>
              <w:bidi w:val="0"/>
              <w:spacing w:before="0" w:after="283"/>
              <w:jc w:val="left"/>
              <w:rPr/>
            </w:pPr>
            <w:r>
              <w:rPr/>
              <w:t>) </w:t>
            </w:r>
          </w:p>
        </w:tc>
      </w:tr>
      <w:tr>
        <w:trPr/>
        <w:tc>
          <w:tcPr>
            <w:tcW w:w="7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2,403</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6,562</w:t>
            </w:r>
          </w:p>
        </w:tc>
        <w:tc>
          <w:tcPr>
            <w:tcW w:w="159" w:type="dxa"/>
            <w:tcBorders/>
            <w:shd w:fill="CCEEFF" w:val="clear"/>
            <w:vAlign w:val="bottom"/>
          </w:tcPr>
          <w:p>
            <w:pPr>
              <w:pStyle w:val="TableContents"/>
              <w:bidi w:val="0"/>
              <w:spacing w:before="0" w:after="283"/>
              <w:jc w:val="left"/>
              <w:rPr/>
            </w:pPr>
            <w:r>
              <w:rPr/>
              <w:t> </w:t>
            </w:r>
          </w:p>
        </w:tc>
      </w:tr>
      <w:tr>
        <w:trPr/>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(324</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(841</w:t>
            </w:r>
          </w:p>
        </w:tc>
        <w:tc>
          <w:tcPr>
            <w:tcW w:w="159" w:type="dxa"/>
            <w:tcBorders/>
            <w:vAlign w:val="bottom"/>
          </w:tcPr>
          <w:p>
            <w:pPr>
              <w:pStyle w:val="TableContents"/>
              <w:bidi w:val="0"/>
              <w:spacing w:before="0" w:after="283"/>
              <w:jc w:val="left"/>
              <w:rPr/>
            </w:pPr>
            <w:r>
              <w:rPr/>
              <w:t>) </w:t>
            </w:r>
          </w:p>
        </w:tc>
      </w:tr>
      <w:tr>
        <w:trPr/>
        <w:tc>
          <w:tcPr>
            <w:tcW w:w="735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(26,760</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(75,420</w:t>
            </w:r>
          </w:p>
        </w:tc>
        <w:tc>
          <w:tcPr>
            <w:tcW w:w="159" w:type="dxa"/>
            <w:tcBorders/>
            <w:shd w:fill="CCEEFF" w:val="clear"/>
            <w:vAlign w:val="bottom"/>
          </w:tcPr>
          <w:p>
            <w:pPr>
              <w:pStyle w:val="TableContents"/>
              <w:bidi w:val="0"/>
              <w:spacing w:before="0" w:after="283"/>
              <w:jc w:val="left"/>
              <w:rPr/>
            </w:pPr>
            <w:r>
              <w:rPr/>
              <w:t>) </w:t>
            </w:r>
          </w:p>
        </w:tc>
      </w:tr>
      <w:tr>
        <w:trPr/>
        <w:tc>
          <w:tcPr>
            <w:tcW w:w="735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50" w:type="dxa"/>
            <w:tcBorders/>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6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acquired in connection with acquisitions of assets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2,813</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promissory notes receivable</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(12,750</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(1,300</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(817</w:t>
            </w:r>
          </w:p>
        </w:tc>
        <w:tc>
          <w:tcPr>
            <w:tcW w:w="159" w:type="dxa"/>
            <w:tcBorders/>
            <w:shd w:fill="CCEEFF" w:val="clear"/>
            <w:vAlign w:val="bottom"/>
          </w:tcPr>
          <w:p>
            <w:pPr>
              <w:pStyle w:val="TableContents"/>
              <w:bidi w:val="0"/>
              <w:spacing w:before="0" w:after="283"/>
              <w:jc w:val="left"/>
              <w:rPr/>
            </w:pPr>
            <w:r>
              <w:rPr/>
              <w:t>) </w:t>
            </w:r>
          </w:p>
        </w:tc>
      </w:tr>
      <w:tr>
        <w:trPr/>
        <w:tc>
          <w:tcPr>
            <w:tcW w:w="735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(11,237</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(817</w:t>
            </w:r>
          </w:p>
        </w:tc>
        <w:tc>
          <w:tcPr>
            <w:tcW w:w="159" w:type="dxa"/>
            <w:tcBorders/>
            <w:vAlign w:val="bottom"/>
          </w:tcPr>
          <w:p>
            <w:pPr>
              <w:pStyle w:val="TableContents"/>
              <w:bidi w:val="0"/>
              <w:spacing w:before="0" w:after="283"/>
              <w:jc w:val="left"/>
              <w:rPr/>
            </w:pPr>
            <w:r>
              <w:rPr/>
              <w:t>) </w:t>
            </w:r>
          </w:p>
        </w:tc>
      </w:tr>
      <w:tr>
        <w:trPr/>
        <w:tc>
          <w:tcPr>
            <w:tcW w:w="735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convertible preferred stock, net of</w:t>
            </w:r>
          </w:p>
          <w:p>
            <w:pPr>
              <w:pStyle w:val="TableContents"/>
              <w:bidi w:val="0"/>
              <w:spacing w:before="0" w:after="20"/>
              <w:jc w:val="left"/>
              <w:rPr>
                <w:rFonts w:ascii="Times New Roman" w:hAnsi="Times New Roman"/>
                <w:sz w:val="20"/>
              </w:rPr>
            </w:pPr>
            <w:r>
              <w:rPr>
                <w:rFonts w:ascii="Times New Roman" w:hAnsi="Times New Roman"/>
                <w:sz w:val="20"/>
              </w:rPr>
              <w:t>issuance costs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171,006</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291,179</w:t>
            </w:r>
          </w:p>
        </w:tc>
        <w:tc>
          <w:tcPr>
            <w:tcW w:w="159" w:type="dxa"/>
            <w:tcBorders/>
            <w:vAlign w:val="bottom"/>
          </w:tcPr>
          <w:p>
            <w:pPr>
              <w:pStyle w:val="TableContents"/>
              <w:bidi w:val="0"/>
              <w:spacing w:before="0" w:after="283"/>
              <w:jc w:val="left"/>
              <w:rPr/>
            </w:pPr>
            <w:r>
              <w:rPr/>
              <w:t> </w:t>
            </w:r>
          </w:p>
        </w:tc>
      </w:tr>
      <w:tr>
        <w:trPr/>
        <w:tc>
          <w:tcPr>
            <w:tcW w:w="7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convertible promissory notes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55,905</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3,190</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960</w:t>
            </w:r>
          </w:p>
        </w:tc>
        <w:tc>
          <w:tcPr>
            <w:tcW w:w="159" w:type="dxa"/>
            <w:tcBorders/>
            <w:vAlign w:val="bottom"/>
          </w:tcPr>
          <w:p>
            <w:pPr>
              <w:pStyle w:val="TableContents"/>
              <w:bidi w:val="0"/>
              <w:spacing w:before="0" w:after="283"/>
              <w:jc w:val="left"/>
              <w:rPr/>
            </w:pPr>
            <w:r>
              <w:rPr/>
              <w:t> </w:t>
            </w:r>
          </w:p>
        </w:tc>
      </w:tr>
      <w:tr>
        <w:trPr/>
        <w:tc>
          <w:tcPr>
            <w:tcW w:w="7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2,509</w:t>
            </w:r>
          </w:p>
        </w:tc>
        <w:tc>
          <w:tcPr>
            <w:tcW w:w="159" w:type="dxa"/>
            <w:tcBorders/>
            <w:shd w:fill="CCEEFF" w:val="clear"/>
            <w:vAlign w:val="bottom"/>
          </w:tcPr>
          <w:p>
            <w:pPr>
              <w:pStyle w:val="TableContents"/>
              <w:bidi w:val="0"/>
              <w:spacing w:before="0" w:after="283"/>
              <w:jc w:val="left"/>
              <w:rPr/>
            </w:pPr>
            <w:r>
              <w:rPr/>
              <w:t> </w:t>
            </w:r>
          </w:p>
        </w:tc>
      </w:tr>
      <w:tr>
        <w:trPr/>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Payments for deferred offering costs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(1,141</w:t>
            </w:r>
          </w:p>
        </w:tc>
        <w:tc>
          <w:tcPr>
            <w:tcW w:w="159" w:type="dxa"/>
            <w:tcBorders/>
            <w:vAlign w:val="bottom"/>
          </w:tcPr>
          <w:p>
            <w:pPr>
              <w:pStyle w:val="TableContents"/>
              <w:bidi w:val="0"/>
              <w:spacing w:before="0" w:after="283"/>
              <w:jc w:val="left"/>
              <w:rPr/>
            </w:pPr>
            <w:r>
              <w:rPr/>
              <w:t>) </w:t>
            </w:r>
          </w:p>
        </w:tc>
      </w:tr>
      <w:tr>
        <w:trPr/>
        <w:tc>
          <w:tcPr>
            <w:tcW w:w="7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Repurchase and retirement of common stock from related party</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(2</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35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230,099</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293,507</w:t>
            </w:r>
          </w:p>
        </w:tc>
        <w:tc>
          <w:tcPr>
            <w:tcW w:w="159" w:type="dxa"/>
            <w:tcBorders/>
            <w:vAlign w:val="bottom"/>
          </w:tcPr>
          <w:p>
            <w:pPr>
              <w:pStyle w:val="TableContents"/>
              <w:bidi w:val="0"/>
              <w:spacing w:before="0" w:after="283"/>
              <w:jc w:val="left"/>
              <w:rPr/>
            </w:pPr>
            <w:r>
              <w:rPr/>
              <w:t> </w:t>
            </w:r>
          </w:p>
        </w:tc>
      </w:tr>
      <w:tr>
        <w:trPr/>
        <w:tc>
          <w:tcPr>
            <w:tcW w:w="735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in cash and cash equivalents and restricted cash</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192,102</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217,270</w:t>
            </w:r>
          </w:p>
        </w:tc>
        <w:tc>
          <w:tcPr>
            <w:tcW w:w="159" w:type="dxa"/>
            <w:tcBorders/>
            <w:shd w:fill="CCEEFF" w:val="clear"/>
            <w:vAlign w:val="bottom"/>
          </w:tcPr>
          <w:p>
            <w:pPr>
              <w:pStyle w:val="TableContents"/>
              <w:bidi w:val="0"/>
              <w:spacing w:before="0" w:after="283"/>
              <w:jc w:val="left"/>
              <w:rPr/>
            </w:pPr>
            <w:r>
              <w:rPr/>
              <w:t> </w:t>
            </w:r>
          </w:p>
        </w:tc>
      </w:tr>
      <w:tr>
        <w:trPr/>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at beginning of year</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192,102</w:t>
            </w:r>
          </w:p>
        </w:tc>
        <w:tc>
          <w:tcPr>
            <w:tcW w:w="159" w:type="dxa"/>
            <w:tcBorders/>
            <w:vAlign w:val="bottom"/>
          </w:tcPr>
          <w:p>
            <w:pPr>
              <w:pStyle w:val="TableContents"/>
              <w:bidi w:val="0"/>
              <w:spacing w:before="0" w:after="283"/>
              <w:jc w:val="left"/>
              <w:rPr/>
            </w:pPr>
            <w:r>
              <w:rPr/>
              <w:t> </w:t>
            </w:r>
          </w:p>
        </w:tc>
      </w:tr>
      <w:tr>
        <w:trPr/>
        <w:tc>
          <w:tcPr>
            <w:tcW w:w="735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at end of year</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192,102</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409,372</w:t>
            </w:r>
          </w:p>
        </w:tc>
        <w:tc>
          <w:tcPr>
            <w:tcW w:w="159" w:type="dxa"/>
            <w:tcBorders/>
            <w:shd w:fill="CCEEFF" w:val="clear"/>
            <w:vAlign w:val="bottom"/>
          </w:tcPr>
          <w:p>
            <w:pPr>
              <w:pStyle w:val="TableContents"/>
              <w:bidi w:val="0"/>
              <w:spacing w:before="0" w:after="283"/>
              <w:jc w:val="left"/>
              <w:rPr/>
            </w:pPr>
            <w:r>
              <w:rPr/>
              <w:t> </w:t>
            </w:r>
          </w:p>
        </w:tc>
      </w:tr>
      <w:tr>
        <w:trPr/>
        <w:tc>
          <w:tcPr>
            <w:tcW w:w="735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5"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5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50" w:type="dxa"/>
            <w:tcBorders/>
          </w:tcPr>
          <w:p>
            <w:pPr>
              <w:pStyle w:val="TableContents"/>
              <w:bidi w:val="0"/>
              <w:spacing w:before="0" w:after="0"/>
              <w:jc w:val="left"/>
              <w:rPr>
                <w:rFonts w:ascii="Times New Roman" w:hAnsi="Times New Roman"/>
                <w:b/>
                <w:sz w:val="20"/>
              </w:rPr>
            </w:pPr>
            <w:r>
              <w:rPr>
                <w:rFonts w:ascii="Times New Roman" w:hAnsi="Times New Roman"/>
                <w:b/>
                <w:sz w:val="20"/>
              </w:rPr>
              <w:t>Components of cash and restricted cash:</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6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191,977</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409,247</w:t>
            </w:r>
          </w:p>
        </w:tc>
        <w:tc>
          <w:tcPr>
            <w:tcW w:w="159" w:type="dxa"/>
            <w:tcBorders/>
            <w:shd w:fill="CCEEFF" w:val="clear"/>
            <w:vAlign w:val="bottom"/>
          </w:tcPr>
          <w:p>
            <w:pPr>
              <w:pStyle w:val="TableContents"/>
              <w:bidi w:val="0"/>
              <w:spacing w:before="0" w:after="283"/>
              <w:jc w:val="left"/>
              <w:rPr/>
            </w:pPr>
            <w:r>
              <w:rPr/>
              <w:t> </w:t>
            </w:r>
          </w:p>
        </w:tc>
      </w:tr>
      <w:tr>
        <w:trPr/>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125</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125</w:t>
            </w:r>
          </w:p>
        </w:tc>
        <w:tc>
          <w:tcPr>
            <w:tcW w:w="159" w:type="dxa"/>
            <w:tcBorders/>
            <w:vAlign w:val="bottom"/>
          </w:tcPr>
          <w:p>
            <w:pPr>
              <w:pStyle w:val="TableContents"/>
              <w:bidi w:val="0"/>
              <w:spacing w:before="0" w:after="283"/>
              <w:jc w:val="left"/>
              <w:rPr/>
            </w:pPr>
            <w:r>
              <w:rPr/>
              <w:t> </w:t>
            </w:r>
          </w:p>
        </w:tc>
      </w:tr>
      <w:tr>
        <w:trPr/>
        <w:tc>
          <w:tcPr>
            <w:tcW w:w="735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and cash equivalents and restricted cash</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 </w:t>
            </w:r>
            <w:r>
              <w:rPr/>
              <w:t>192,102</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409,372</w:t>
            </w:r>
          </w:p>
        </w:tc>
        <w:tc>
          <w:tcPr>
            <w:tcW w:w="159" w:type="dxa"/>
            <w:tcBorders/>
            <w:shd w:fill="CCEEFF" w:val="clear"/>
            <w:vAlign w:val="bottom"/>
          </w:tcPr>
          <w:p>
            <w:pPr>
              <w:pStyle w:val="TableContents"/>
              <w:bidi w:val="0"/>
              <w:spacing w:before="0" w:after="283"/>
              <w:jc w:val="left"/>
              <w:rPr/>
            </w:pPr>
            <w:r>
              <w:rPr/>
              <w:t> </w:t>
            </w:r>
          </w:p>
        </w:tc>
      </w:tr>
      <w:tr>
        <w:trPr/>
        <w:tc>
          <w:tcPr>
            <w:tcW w:w="735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5"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5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00"/>
        <w:gridCol w:w="229"/>
        <w:gridCol w:w="140"/>
        <w:gridCol w:w="801"/>
        <w:gridCol w:w="60"/>
        <w:gridCol w:w="229"/>
        <w:gridCol w:w="140"/>
        <w:gridCol w:w="943"/>
        <w:gridCol w:w="63"/>
      </w:tblGrid>
      <w:tr>
        <w:trPr/>
        <w:tc>
          <w:tcPr>
            <w:tcW w:w="760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60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3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760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3" w:type="dxa"/>
            <w:tcBorders/>
            <w:vAlign w:val="bottom"/>
          </w:tcPr>
          <w:p>
            <w:pPr>
              <w:pStyle w:val="TableContents"/>
              <w:bidi w:val="0"/>
              <w:spacing w:before="0" w:after="283"/>
              <w:jc w:val="left"/>
              <w:rPr/>
            </w:pPr>
            <w:r>
              <w:rPr/>
              <w:t> </w:t>
            </w:r>
          </w:p>
        </w:tc>
      </w:tr>
      <w:tr>
        <w:trPr/>
        <w:tc>
          <w:tcPr>
            <w:tcW w:w="76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activities: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4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60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arising from obtaining right-of-use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2,991</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43" w:type="dxa"/>
            <w:tcBorders/>
            <w:vAlign w:val="bottom"/>
          </w:tcPr>
          <w:p>
            <w:pPr>
              <w:pStyle w:val="TableContents"/>
              <w:bidi w:val="0"/>
              <w:spacing w:before="0" w:after="283"/>
              <w:jc w:val="right"/>
              <w:rPr/>
            </w:pPr>
            <w:r>
              <w:rPr/>
              <w:t>1,039</w:t>
            </w:r>
          </w:p>
        </w:tc>
        <w:tc>
          <w:tcPr>
            <w:tcW w:w="63" w:type="dxa"/>
            <w:tcBorders/>
            <w:vAlign w:val="bottom"/>
          </w:tcPr>
          <w:p>
            <w:pPr>
              <w:pStyle w:val="TableContents"/>
              <w:bidi w:val="0"/>
              <w:spacing w:before="0" w:after="283"/>
              <w:jc w:val="left"/>
              <w:rPr/>
            </w:pPr>
            <w:r>
              <w:rPr/>
              <w:t> </w:t>
            </w:r>
          </w:p>
        </w:tc>
      </w:tr>
      <w:tr>
        <w:trPr/>
        <w:tc>
          <w:tcPr>
            <w:tcW w:w="760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6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investing and financing activities: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4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600"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convertible preferred stock as noncash consideration for acquisitions of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51,493</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43" w:type="dxa"/>
            <w:tcBorders/>
            <w:vAlign w:val="bottom"/>
          </w:tcPr>
          <w:p>
            <w:pPr>
              <w:pStyle w:val="TableContents"/>
              <w:bidi w:val="0"/>
              <w:spacing w:before="0" w:after="283"/>
              <w:jc w:val="right"/>
              <w:rPr/>
            </w:pPr>
            <w:r>
              <w:rPr/>
              <w:t>  </w:t>
            </w:r>
            <w:r>
              <w:rPr/>
              <w:t>157,000</w:t>
            </w:r>
          </w:p>
        </w:tc>
        <w:tc>
          <w:tcPr>
            <w:tcW w:w="63" w:type="dxa"/>
            <w:tcBorders/>
            <w:vAlign w:val="bottom"/>
          </w:tcPr>
          <w:p>
            <w:pPr>
              <w:pStyle w:val="TableContents"/>
              <w:bidi w:val="0"/>
              <w:spacing w:before="0" w:after="283"/>
              <w:jc w:val="left"/>
              <w:rPr/>
            </w:pPr>
            <w:r>
              <w:rPr/>
              <w:t> </w:t>
            </w:r>
          </w:p>
        </w:tc>
      </w:tr>
      <w:tr>
        <w:trPr/>
        <w:tc>
          <w:tcPr>
            <w:tcW w:w="760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6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of convertible promissory notes with shares of Series A-2 convertible preferred stock</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  </w:t>
            </w:r>
            <w:r>
              <w:rPr/>
              <w:t>59,180</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4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60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600" w:type="dxa"/>
            <w:tcBorders/>
          </w:tcPr>
          <w:p>
            <w:pPr>
              <w:pStyle w:val="TableContents"/>
              <w:bidi w:val="0"/>
              <w:spacing w:before="0" w:after="0"/>
              <w:jc w:val="left"/>
              <w:rPr>
                <w:rFonts w:ascii="Times New Roman" w:hAnsi="Times New Roman"/>
                <w:sz w:val="20"/>
              </w:rPr>
            </w:pPr>
            <w:r>
              <w:rPr>
                <w:rFonts w:ascii="Times New Roman" w:hAnsi="Times New Roman"/>
                <w:sz w:val="20"/>
              </w:rPr>
              <w:t>Settlement of promissory notes receivable in connection with acquisitions of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12,750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43"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760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6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liabilities assumed in connection with acquisitions of assets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4,867</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4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60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600"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convertible preferred stock warrants as noncash consideration for an acquisition of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742</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43"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760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6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 included in accounts payable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162</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4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60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600" w:type="dxa"/>
            <w:tcBorders/>
          </w:tcPr>
          <w:p>
            <w:pPr>
              <w:pStyle w:val="TableContents"/>
              <w:bidi w:val="0"/>
              <w:spacing w:before="0" w:after="0"/>
              <w:jc w:val="left"/>
              <w:rPr>
                <w:rFonts w:ascii="Times New Roman" w:hAnsi="Times New Roman"/>
                <w:sz w:val="20"/>
              </w:rPr>
            </w:pPr>
            <w:r>
              <w:rPr>
                <w:rFonts w:ascii="Times New Roman" w:hAnsi="Times New Roman"/>
                <w:sz w:val="20"/>
              </w:rPr>
              <w:t>Deferred offering costs related to initial public offering included in accrued liabilities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43" w:type="dxa"/>
            <w:tcBorders/>
            <w:vAlign w:val="bottom"/>
          </w:tcPr>
          <w:p>
            <w:pPr>
              <w:pStyle w:val="TableContents"/>
              <w:bidi w:val="0"/>
              <w:spacing w:before="0" w:after="283"/>
              <w:jc w:val="right"/>
              <w:rPr/>
            </w:pPr>
            <w:r>
              <w:rPr/>
              <w:t>688</w:t>
            </w:r>
          </w:p>
        </w:tc>
        <w:tc>
          <w:tcPr>
            <w:tcW w:w="63" w:type="dxa"/>
            <w:tcBorders/>
            <w:vAlign w:val="bottom"/>
          </w:tcPr>
          <w:p>
            <w:pPr>
              <w:pStyle w:val="TableContents"/>
              <w:bidi w:val="0"/>
              <w:spacing w:before="0" w:after="283"/>
              <w:jc w:val="left"/>
              <w:rPr/>
            </w:pPr>
            <w:r>
              <w:rPr/>
              <w:t> </w:t>
            </w:r>
          </w:p>
        </w:tc>
      </w:tr>
      <w:tr>
        <w:trPr/>
        <w:tc>
          <w:tcPr>
            <w:tcW w:w="760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4" w:name="fin241143_6"/>
      <w:bookmarkEnd w:id="34"/>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Liquidity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Description of Business </w:t>
      </w:r>
    </w:p>
    <w:p>
      <w:pPr>
        <w:pStyle w:val="TextBody"/>
        <w:bidi w:val="0"/>
        <w:spacing w:before="240" w:after="0"/>
        <w:jc w:val="left"/>
        <w:rPr>
          <w:rFonts w:ascii="Times New Roman" w:hAnsi="Times New Roman"/>
          <w:sz w:val="20"/>
        </w:rPr>
      </w:pPr>
      <w:r>
        <w:rPr>
          <w:rFonts w:ascii="Times New Roman" w:hAnsi="Times New Roman"/>
          <w:sz w:val="20"/>
        </w:rPr>
        <w:t xml:space="preserve">Neumora Therapeutics, Inc. (the Company), formerly known as RBNC Therapeutics, Inc., was originally incorporated in the State of Delaware in November 2019, and is headquartered in Watertown, Massachusetts and also has operations in South San Francisco, California.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 clinical-stage biotechnology company pioneering a precision medicine approach for brain diseases through the integration of data science and translational neuroscience. The Company is focused on redefining neuroscience research and development by leveraging a proprietary artificial intelligence and machine learning-enabled approach to patient enrichment, which the Company integrates with advanced translational neuroscience approaches to develop novel precision medicines.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2021, the Company has devoted substantially all of its efforts to building its organization, acquiring technologies and companies, developing its precision neuroscience platform, identifying and developing potential product candidates, executing clinical and preclinical studies, organizing and staffing the Company, business planning, establishing its intellectual property portfolio, raising capital and providing general and administrative support for these operations. The Company has not generated revenue from the sale of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incurred net losses and negative cash flows from operations since inception and, as of December 31, 2021, had an accumulated deficit of $336.6 million. The Company incurred a net loss of $99.3 million and $237.3 million during the years ended December 31, 2020 and 2021, respectively. As of December 31, 2021, the Company had cash and cash equivalents of $409.2 million, which is available to fund future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to incur additional losses in the future as it continues its research and development efforts, advances its product candidates through preclinical and clinical development, enhances its precision neuroscience platform and programs, expands its product pipeline, seeks regulatory approval, prepares for commercialization, as well as hires additional personnel, protects its intellectual property and grows its business. The Company will need to raise additional capital to support its continuing operations and pursue its long-term business plan, including to complete the development and commercialization of its product candidates, if approved. Such activities are subject to significant risks and uncertainties, including clinical failure which can impact the Companys ability to secure additional funding. The Company has historically financed its operations primarily with the proceeds from the issuance of its convertible preferred stock, borrowings pursuant to convertible promissory notes and cash acquired in its acquisitions of assets. The Company may raise additional capital through public or private equity offerings or debt financings or other capital sources, which may include strategic collaborations or other arrangements with third parties, or other sources of financing. However, there is no guarantee that any of these financing or opportunities will be executed or realized on favorable terms, if at all, and some could be dilutive to existing stockholders. The Companys ability to raise additional capital through either the issuance of equity or debt is dependent on a number of factors including, but not limited to, Company prospects, which itself is subject to a number of development and business risks and uncertainties, as well as uncertainty about whether the Company would be able to raise such additional capital at a price or on terms that are favorable.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believes that its existing cash and cash equivalents as of December 31, 2021 will be sufficient to support operations for at least the next 12 months from the date these consolidated financial statements were available to be 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and Basis of Presentation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Basis of Presentation and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in accordance with U.S. generally accepted accounting principles (U.S. GAAP) and applicable rules and regulations of the Securities and Exchange Commission (SEC) regarding annual financial reporting. The consolidated financial statements include all accounts of the Company and its wholly-owned subsidiaries. All intercompany transactions and balances have been eliminated in consolidation. </w:t>
      </w:r>
    </w:p>
    <w:p>
      <w:pPr>
        <w:pStyle w:val="TextBody"/>
        <w:bidi w:val="0"/>
        <w:spacing w:before="360" w:after="0"/>
        <w:jc w:val="left"/>
        <w:rPr>
          <w:rFonts w:ascii="Times New Roman" w:hAnsi="Times New Roman"/>
          <w:b/>
          <w:sz w:val="20"/>
        </w:rPr>
      </w:pPr>
      <w:r>
        <w:rPr>
          <w:rFonts w:ascii="Times New Roman" w:hAnsi="Times New Roman"/>
          <w:b/>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U.S. GAAP requires management to make estimates and assumptions that affect the reported amounts in the consolidated financial statements and accompanying notes. These estimates form the basis for judgments the Company makes about the carrying values of assets and liabilities that are not readily apparent from other sources. The Company bases its estimates and judgments on historical experience and on various other assumptions that the Company believes are reasonable under the circumstances. These estimates are based on managements knowledge about current events and expectations about actions the Company may undertake in the future. These judgments, estimates and assumptions are used for, but not limited to, accrued research and development expenses, accounting for acquisitions of assets, fair value of certain assets and liabilities, the fair value of the Companys convertible preferred stock, the fair value of the Companys convertible preferred stock warrant liability, the fair value of the Companys common stock, stock-based compensation, and uncertain tax positions and the valuation allowance for net deferred tax assets. Actual results may differ from the Companys estimates. </w:t>
      </w:r>
    </w:p>
    <w:p>
      <w:pPr>
        <w:pStyle w:val="TextBody"/>
        <w:bidi w:val="0"/>
        <w:spacing w:before="360" w:after="0"/>
        <w:jc w:val="left"/>
        <w:rPr>
          <w:rFonts w:ascii="Times New Roman" w:hAnsi="Times New Roman"/>
          <w:b/>
          <w:sz w:val="20"/>
        </w:rPr>
      </w:pPr>
      <w:r>
        <w:rPr>
          <w:rFonts w:ascii="Times New Roman" w:hAnsi="Times New Roman"/>
          <w:b/>
          <w:sz w:val="20"/>
        </w:rPr>
        <w:t xml:space="preserve">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Operating segments are identified as components of an enterprise about which separate discrete financial information is available for evaluation by the chief operating decision maker (CODM), or decision-making group, in making decisions on how to allocate resources and assess performance. The Companys Chief Executive Officer and Chief Operating Officer collectively serve as the CODM. The Company views its operations and manages its business in one operating segment.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certain risks and uncertainties, including, but not limited to, changes in any of the following areas that the Company believes could have a material adverse effect on future financial position or results of operations: successfully develop, manufacture, and market any approved products; obtain regulatory approval from the U.S. Food and Drug Administration or foreign regulatory agencies prior to commercial sales; new technological innovations; dependence on key personnel, protection of intellectual property; compliance with governmental regulations; uncertainty of market acceptance of any approved products; product liability; and the need to obtain additional financing. </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Company is actively monitoring the impact of the COVID-19 pandemic on its business, the extent of the impact of the pandemic on the Companys business, operations, and clinical development timelines and plans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remains uncertain. To date, the COVID-19 pandemic has delayed patient enrollment in the Companys ongoing clinical trials and may further delay the Companys initiation of preclinical studies and clinical trials, interrupt its supply chain, disrupt regulatory activities, or have other adverse effects on its business and operations. The extent of the impact of the COVID-19 pandemic on the Companys preclinical studies or clinical trials will depend on future developments, which are highly uncertain and cannot be predicted with confidence, such as the duration or severity of the pandemic or the effectiveness of containment actions or treatments. In response to the COVID-19 pandemic the Company has taken temporary precautionary measures intended to help minimize its risk of exposure to the virus for its employees, including implementing policies that allow its employees to work remotely and suspending most non-essential travel for its employees, none of which had an adverse impact on the Companys business. Certain third-party service providers have also experienced shutdowns or other business disruptions. However, the Company cannot at this time predict the specific extent, duration, or full impact that the COVID-19 pandemic will have on its consolidated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All highly liquid investments, including money market funds, with original maturities of three months or less at the time of purchase are considered to be cash equivalents. All of the Companys cash equivalents have liquid markets and high credit ratings. The Company maintains its cash in bank deposits and other accounts. </w:t>
      </w:r>
    </w:p>
    <w:p>
      <w:pPr>
        <w:pStyle w:val="TextBody"/>
        <w:bidi w:val="0"/>
        <w:spacing w:before="360" w:after="0"/>
        <w:jc w:val="left"/>
        <w:rPr>
          <w:rFonts w:ascii="Times New Roman" w:hAnsi="Times New Roman"/>
          <w:b/>
          <w:sz w:val="20"/>
        </w:rPr>
      </w:pPr>
      <w:r>
        <w:rPr>
          <w:rFonts w:ascii="Times New Roman" w:hAnsi="Times New Roman"/>
          <w:b/>
          <w:sz w:val="20"/>
        </w:rPr>
        <w:t xml:space="preserve">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Restricted cash primarily consists of credit card accounts and facility lease agreements collateralized by money market accounts pursuant to certain banking agreements. Restricted cash, which is unavailable for a period longer than one year from the consolidated balance sheet date, is classified as a noncurrent asset. Otherwise, restricted cash is included in other current assets in the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Concentrations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significant concentrations of credit risk consist primarily of cash and cash equivalents deposited in accounts at several financial institutions that may exceed the Federal Deposit Insurance Corporations insurance limit. The Company is exposed to credit risk in the event of a default by the financial institutions holding its cash and cash equivalents to the extent recorded in the consolidated balance sheets. The Company believes it is not exposed to significant credit risk due to the financial position of the financial institutions in which those deposits are held.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Fair value is defined as the price that would be received to sell an asset or paid to transfer a liability (an exit price) in the principal or most advantageous market for the asset or liability in an orderly transaction between market participants at the measurement date. The Company measures fair value by maximizing the use of observable inputs, where available, and minimizing the use of unobservable inputs when measuring fair value. Financial assets and liabilities recorded at fair value in the consolidated balance sheets are categorized in the fair value hierarchy based upon the lowest level of input that is significant to the fair value as follows: </w:t>
      </w:r>
    </w:p>
    <w:p>
      <w:pPr>
        <w:pStyle w:val="TextBody"/>
        <w:bidi w:val="0"/>
        <w:spacing w:before="120" w:after="0"/>
        <w:jc w:val="left"/>
        <w:rPr>
          <w:rFonts w:ascii="Times New Roman" w:hAnsi="Times New Roman"/>
          <w:sz w:val="20"/>
        </w:rPr>
      </w:pPr>
      <w:r>
        <w:rPr>
          <w:rFonts w:ascii="Times New Roman" w:hAnsi="Times New Roman"/>
          <w:sz w:val="20"/>
        </w:rPr>
        <w:t xml:space="preserve">Level 1Observable inputs such as unadjusted, quoted prices in active markets for identical assets or liabilities at the measurement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Level 2Inputs (other than quoted prices included in Level 1) are either directly or indirectly observable inputs for similar assets or liabilities. These include quoted prices for identical or similar assets or liabilities in active markets and quoted prices for identical or similar assets of liabilities in markets that are not active. </w:t>
      </w:r>
    </w:p>
    <w:p>
      <w:pPr>
        <w:pStyle w:val="TextBody"/>
        <w:bidi w:val="0"/>
        <w:spacing w:before="120" w:after="0"/>
        <w:jc w:val="left"/>
        <w:rPr>
          <w:rFonts w:ascii="Times New Roman" w:hAnsi="Times New Roman"/>
          <w:sz w:val="20"/>
        </w:rPr>
      </w:pPr>
      <w:r>
        <w:rPr>
          <w:rFonts w:ascii="Times New Roman" w:hAnsi="Times New Roman"/>
          <w:sz w:val="20"/>
        </w:rPr>
        <w:t xml:space="preserve">Level 3Unobservable inputs that are supported by little or no market activity and that are significant to the fair value of the assets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(see Note 3). A financial instruments level within the fair value hierarchy is based on the lowest level of any input that is significant to the fair value of the instrument.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Option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elected the fair value option to account for its convertible promissory notes that were issued and settled during 2020 (the 2020 Bridge Notes or Notes). The Company concluded that it was appropriate to apply the fair value option to the Notes because there were no non-contingent beneficial conversion options such that no component of the Notes was required to be recognized as a component of stockholders deficit. The Company recorded these Notes at their estimated fair value with changes in estimated fair value recorded as a component of other income (expense) in the consolidated statement of operations and comprehensive loss unless the change was a result of a change in credit risk of the Notes, in which case such change in estimated fair value is recorded within other comprehensive income (loss). As the Notes were issued and settled during the year ended December 31, 2020, any estimated fair value changes related to the credit risk of the Notes were recognized as part of other income (expense) upon settlement of the Notes. No material changes to the credit risk of the Notes occurred during the period the Notes were outstanding. As a result of applying the fair value option, an insignificant amount of direct costs and fees related to the Notes were expensed as incurred. </w:t>
      </w:r>
    </w:p>
    <w:p>
      <w:pPr>
        <w:pStyle w:val="TextBody"/>
        <w:bidi w:val="0"/>
        <w:spacing w:before="360" w:after="0"/>
        <w:jc w:val="left"/>
        <w:rPr>
          <w:rFonts w:ascii="Times New Roman" w:hAnsi="Times New Roman"/>
          <w:b/>
          <w:sz w:val="20"/>
        </w:rPr>
      </w:pPr>
      <w:r>
        <w:rPr>
          <w:rFonts w:ascii="Times New Roman" w:hAnsi="Times New Roman"/>
          <w:b/>
          <w:sz w:val="20"/>
        </w:rPr>
        <w:t xml:space="preserve">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is stated at cost less accumulated depreciation. Depreciation of property and equipment is computed using the straight-line method over the estimated useful lives of the assets, which is three to seven years. Leasehold improvements are amortized using the straight-line method over the lesser of the estimated useful lives of the assets or the remaining term of the lease. Construction in progress is stated at cost and not depreciated until the asset is placed into service. Upon sale or retirement of the assets, the cost and related accumulated depreciation are removed from the consolidated balance sheets and the resulting gain or loss is recognized in the consolidated statements of operations and comprehensive loss. Expenditures for maintenance and repairs are expensed as incurred. </w:t>
      </w:r>
    </w:p>
    <w:p>
      <w:pPr>
        <w:pStyle w:val="TextBody"/>
        <w:bidi w:val="0"/>
        <w:spacing w:before="360" w:after="0"/>
        <w:jc w:val="left"/>
        <w:rPr>
          <w:rFonts w:ascii="Times New Roman" w:hAnsi="Times New Roman"/>
          <w:b/>
          <w:sz w:val="20"/>
        </w:rPr>
      </w:pPr>
      <w:r>
        <w:rPr>
          <w:rFonts w:ascii="Times New Roman" w:hAnsi="Times New Roman"/>
          <w:b/>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reviews the carrying amount of its long-lived assets, including property and equipment and right-of-use assets, for impairment whenever events or changes in business circumstances indicate that the carrying amount of the assets may not be fully recoverable. If indicators of impairment exist, an impairment loss is recognized when the estimated undiscounted future cash flows expected to result from the use of the asset and its eventual disposition are less than its carrying amount. The impairment charge is determined based upon the excess of the carrying value of the asset over its estimated fair value, with estimated fair value determined based upon an estimate of discounted future cash flows or other appropriate measures of estimated fair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Estimating discounted cash flows requires the Company to make significant judgements and assumptions. Actual results may vary from the Companys estimates as of the date of impairment testing and adjustments may occur in future periods. The Company believes that no impairment of long-lived assets is required as of and for the years ended December 31, 2020 and 2021, except as disclosed in Note 8. </w:t>
      </w:r>
    </w:p>
    <w:p>
      <w:pPr>
        <w:pStyle w:val="TextBody"/>
        <w:bidi w:val="0"/>
        <w:spacing w:before="360" w:after="0"/>
        <w:jc w:val="left"/>
        <w:rPr>
          <w:rFonts w:ascii="Times New Roman" w:hAnsi="Times New Roman"/>
          <w:b/>
          <w:sz w:val="20"/>
        </w:rPr>
      </w:pPr>
      <w:r>
        <w:rPr>
          <w:rFonts w:ascii="Times New Roman" w:hAnsi="Times New Roman"/>
          <w:b/>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determines if an arrangement is or contains a lease at inception by assessing whether it conveys the right to control the use of an identified asset in exchange for consideration. If a lease is identified, classification is determined at lease commencement. To date, all of the Companys leases have been determined to be operating leases.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estimated interest rate that the Company would have to pay to borrow on a collateralized basis an amount equal to the lease payments in a similar economic environment over a similar term. Operating lease right-of-use (ROU) assets are determined based on the corresponding lease liability adjusted for any lease payments made at or before commencement, initial direct costs, and lease incentives. The operating lease ROU asset also includes impairment charges if the Company determines the ROU asset is impaired. The Company considers a lease term to be the noncancelable period that it has the right to use the underlying asset, including any periods where it is reasonably assured the Company will exercise the option to extend the contract. Periods covered by an option to extend are included in the lease term if the lessor controls the exercise of that option. Operating lease expenses are recognized, and the ROU assets are amortized on a straight-line basis over the lease term. The Company has elected to not separate lease and non-lease components for its leased assets and accounts for all lease and non-lease components of its agreements as a single lease component. The Company has elected not to recognize on the consolidated balance sheets leases with terms of one year or less. </w:t>
      </w:r>
    </w:p>
    <w:p>
      <w:pPr>
        <w:pStyle w:val="TextBody"/>
        <w:bidi w:val="0"/>
        <w:spacing w:before="360" w:after="0"/>
        <w:jc w:val="left"/>
        <w:rPr>
          <w:rFonts w:ascii="Times New Roman" w:hAnsi="Times New Roman"/>
          <w:b/>
          <w:sz w:val="20"/>
        </w:rPr>
      </w:pPr>
      <w:r>
        <w:rPr>
          <w:rFonts w:ascii="Times New Roman" w:hAnsi="Times New Roman"/>
          <w:b/>
          <w:sz w:val="20"/>
        </w:rPr>
        <w:t xml:space="preserve">Acquisitions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mergers, acquisitions and other similar transactions to assess whether or not the transaction should be accounted for as a business combination or an acquisition of assets. The Company first identifies who is the acquiring entity by determining if the target is a legal entity or a group of assets or liabilities. If control over a legal entity is being evaluated, the Company also evaluates if the target is a variable interest or voting interest entity. For acquisitions of voting interest entities, the Company applies a screen test to determine if substantially all of the fair value of the gross assets acquired is concentrated in a single identifiable asset or group of similar identifiable assets. If the screen test is met, the transaction is accounted for as an acquisition of assets. If the screen is not met, further determination is required as to whether or not the Company has acquired inputs and processes that have the ability to create outputs which would meet the definition of a business. Significant judgment is required in the application of the screen test to determine whether an acquisition is a business combination or an acquisition of assets. </w:t>
      </w:r>
    </w:p>
    <w:p>
      <w:pPr>
        <w:pStyle w:val="TextBody"/>
        <w:bidi w:val="0"/>
        <w:spacing w:before="240" w:after="0"/>
        <w:jc w:val="left"/>
        <w:rPr>
          <w:rFonts w:ascii="Times New Roman" w:hAnsi="Times New Roman"/>
          <w:sz w:val="20"/>
        </w:rPr>
      </w:pPr>
      <w:r>
        <w:rPr>
          <w:rFonts w:ascii="Times New Roman" w:hAnsi="Times New Roman"/>
          <w:sz w:val="20"/>
        </w:rPr>
        <w:t xml:space="preserve">For an acquisition of assets, a cost accumulation model is used to determine the cost of the acquisition. Common stock and convertible preferred stock issued as consideration in an acquisition of assets are generally measured based on the acquisition date fair value of the equity interests issued. Direct transaction costs are recognized as part of the cost of an acquisition of assets. The Company also evaluates which elements of a transaction should be accounted for as a part of an acquisition of assets and which should be accounted for separately. </w:t>
      </w:r>
    </w:p>
    <w:p>
      <w:pPr>
        <w:pStyle w:val="TextBody"/>
        <w:bidi w:val="0"/>
        <w:spacing w:before="240" w:after="0"/>
        <w:jc w:val="left"/>
        <w:rPr>
          <w:rFonts w:ascii="Times New Roman" w:hAnsi="Times New Roman"/>
          <w:sz w:val="20"/>
        </w:rPr>
      </w:pPr>
      <w:r>
        <w:rPr>
          <w:rFonts w:ascii="Times New Roman" w:hAnsi="Times New Roman"/>
          <w:sz w:val="20"/>
        </w:rPr>
        <w:t xml:space="preserve">The cost of an acquisition of assets, including transaction costs, are allocated to identifiable assets acquired and liabilities assumed based on a relative fair value basis. Goodwill is not recognized in an acquisition of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Any difference between the cost of an acquisition of assets and the fair value of the net assets acquired is allocated to the non-monetary identifiable assets based on their relative fair values. Assets acquired as part of an acquisition of assets that are considered to be in-process research and development intangible assets (IPR&amp;D) are immediately expensed and recorded as a component of acquired in-process research and development expense in the consolidated statements of operations and comprehensive loss unless there is an alternative future use in other research and development projects.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upfront consideration, the Companys acquisitions of assets may also include contingent consideration payments to be made for future milestone events or royalties on net sales of future products. The Company assesses whether such contingent consideration is subject to liability classification and fair value measurement or meets the definition of a derivative. Contingent consideration payments in an acquisition of assets not required to be classified as a liability at fair value, or are accounted for as derivatives that qualify for a scope exception from derivative accounting, are recognized when the contingency is resolved, and the consideration is paid or becomes payable. Contingent consideration payments required to be classified as a liability, or are accounted for as derivatives and do not qualify for a scope exception from derivative accounting, are recorded at fair value on the date of the acquisition and are subsequently remeasured to fair value at each reporting date. Contingent consideration payments made prior to regulatory approval are expensed as incurred. Any future payments that are contingent upon continued services to the Company are treated as compensation and recognized when it is probable such amounts will become payable. </w:t>
      </w:r>
    </w:p>
    <w:p>
      <w:pPr>
        <w:pStyle w:val="TextBody"/>
        <w:bidi w:val="0"/>
        <w:spacing w:before="240" w:after="0"/>
        <w:jc w:val="left"/>
        <w:rPr>
          <w:rFonts w:ascii="Times New Roman" w:hAnsi="Times New Roman"/>
          <w:sz w:val="20"/>
        </w:rPr>
      </w:pPr>
      <w:r>
        <w:rPr>
          <w:rFonts w:ascii="Times New Roman" w:hAnsi="Times New Roman"/>
          <w:sz w:val="20"/>
        </w:rPr>
        <w:t xml:space="preserve">If the target legal entity is determined to be a variable interest entity (VIE) and not a business, all tangible and intangible assets acquired, including any IPR&amp;D assets but excluding goodwill, and liabilities assumed, including contingent consideration, are recorded at their fair values. If the acquisition is determined to be a business combination, all tangible and intangible assets acquired, including any IPR&amp;D assets, and liabilities assumed, including contingent consideration, are recorded at their fair values. Goodwill is recognized for any difference between the consideration transferred and fair value determination. In addition, direct transaction costs in connection with business combinations are expensed as incurred, rather than capitalized. </w:t>
      </w:r>
    </w:p>
    <w:p>
      <w:pPr>
        <w:pStyle w:val="TextBody"/>
        <w:bidi w:val="0"/>
        <w:spacing w:before="240" w:after="0"/>
        <w:jc w:val="left"/>
        <w:rPr>
          <w:rFonts w:ascii="Times New Roman" w:hAnsi="Times New Roman"/>
          <w:sz w:val="20"/>
        </w:rPr>
      </w:pPr>
      <w:r>
        <w:rPr>
          <w:rFonts w:ascii="Times New Roman" w:hAnsi="Times New Roman"/>
          <w:sz w:val="20"/>
        </w:rPr>
        <w:t xml:space="preserve">The tax basis of assets acquired in either a business combination or acquisition of assets are compared to the book basis of such assets resulting in the recognition of deferred tax assets and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Deferred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Deferred offering costs, which consist of direct incremental legal, consulting, banking and accounting fees primarily relating to the Companys contemplated initial public offering (IPO) are capitalized and will be offset against proceeds upon the consummation of the offering within stockholders deficit. In the event an anticipated offering is terminated, deferred IPO offering costs will be expensed. As of December 31, 2020, there were no capitalized deferred offering costs in the consolidated balance sheet. As of December 31, 2021, deferred offering costs included in other assets in the consolidated balance sheet were $1.8 million. </w:t>
      </w:r>
    </w:p>
    <w:p>
      <w:pPr>
        <w:pStyle w:val="TextBody"/>
        <w:bidi w:val="0"/>
        <w:spacing w:before="360" w:after="0"/>
        <w:jc w:val="left"/>
        <w:rPr>
          <w:rFonts w:ascii="Times New Roman" w:hAnsi="Times New Roman"/>
          <w:b/>
          <w:sz w:val="20"/>
        </w:rPr>
      </w:pPr>
      <w:r>
        <w:rPr>
          <w:rFonts w:ascii="Times New Roman" w:hAnsi="Times New Roman"/>
          <w:b/>
          <w:sz w:val="20"/>
        </w:rPr>
        <w:t xml:space="preserve">Convertible Preferred Stock Warrant Liability </w:t>
      </w:r>
    </w:p>
    <w:p>
      <w:pPr>
        <w:pStyle w:val="TextBody"/>
        <w:bidi w:val="0"/>
        <w:spacing w:before="120" w:after="0"/>
        <w:jc w:val="left"/>
        <w:rPr>
          <w:rFonts w:ascii="Times New Roman" w:hAnsi="Times New Roman"/>
          <w:sz w:val="20"/>
        </w:rPr>
      </w:pPr>
      <w:r>
        <w:rPr>
          <w:rFonts w:ascii="Times New Roman" w:hAnsi="Times New Roman"/>
          <w:sz w:val="20"/>
        </w:rPr>
        <w:t xml:space="preserve">Warrants to purchase shares of the Companys convertible preferred stock (the Preferred Stock Warrants) are freestanding financial instruments classified as a liability in the Companys consolidated balance sheets as the underlying securities are contingently redeemable upon the occurrence of events that are outside of the control of the Company, which precludes equity classification. The Preferred Stock Warrants are recorded at their estimated fair value upon issuance and are subject to remeasurement at the end of each reporting period, with changes in estimated fair value recognized as a component of other income (expense) in the consolidated statements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operations and comprehensive loss, until the exercise or expiration of such warrants. The Company estimates the fair value of Preferred Stock Warrants at each reporting period using the Black-Scholes option pricing model, which requires inputs based on certain subjective assumptions, including the expected stock price, volatility, the expected term of the option, the risk-free interest rate for a period that approximates the expected term of the option, and the expected dividend yield. Actual results may differ from the Companys estimates. </w:t>
      </w:r>
    </w:p>
    <w:p>
      <w:pPr>
        <w:pStyle w:val="TextBody"/>
        <w:bidi w:val="0"/>
        <w:spacing w:before="360" w:after="0"/>
        <w:jc w:val="left"/>
        <w:rPr>
          <w:rFonts w:ascii="Times New Roman" w:hAnsi="Times New Roman"/>
          <w:b/>
          <w:sz w:val="20"/>
        </w:rPr>
      </w:pPr>
      <w:r>
        <w:rPr>
          <w:rFonts w:ascii="Times New Roman" w:hAnsi="Times New Roman"/>
          <w:b/>
          <w:sz w:val="20"/>
        </w:rPr>
        <w:t xml:space="preserve">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classified convertible preferred stock, which is contingently redeemable, as temporary equity in the consolidated balance sheets due to terms that allow for the effective redemption of such shares in cash at the option of the holders upon certain liquidation events that are not solely within the Companys control. </w:t>
      </w:r>
    </w:p>
    <w:p>
      <w:pPr>
        <w:pStyle w:val="TextBody"/>
        <w:bidi w:val="0"/>
        <w:spacing w:before="240" w:after="0"/>
        <w:jc w:val="left"/>
        <w:rPr>
          <w:rFonts w:ascii="Times New Roman" w:hAnsi="Times New Roman"/>
          <w:sz w:val="20"/>
        </w:rPr>
      </w:pPr>
      <w:r>
        <w:rPr>
          <w:rFonts w:ascii="Times New Roman" w:hAnsi="Times New Roman"/>
          <w:sz w:val="20"/>
        </w:rPr>
        <w:t xml:space="preserve">The carrying values of the convertible preferred stock are adjusted to their liquidation preferences if and when it becomes probable that such a liquidation event will occur. The Company did not accrete the value of the convertible preferred stock to its redemption value since a liquidation event was not considered probable as of December 31, 2020 and 2021. Subsequent adjustments to the carrying values of the convertible preferred stock will be made only when it becomes probable that such liquidation events will occur, causing the shares to become redeemable.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evaluates the features of its convertible preferred stock to determine if the features require bifurcation from the underlying shares by evaluating whether they are clearly and closely related to the underlying shares and whether they meet the definition of a derivative.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if an extinguishment or modification of changes to mezzanine equity-classified preferred stock has occurred, the Company has elected a policy to evaluate if changes add, delete or significantly change a substantive contractual term (e.g., one that is at least reasonably possible of being exercised), or fundamentally change the nature of the convertible preferred stock. This evaluation includes the consideration of both the expected economics as well as the business purpose for the amendment. </w:t>
      </w:r>
    </w:p>
    <w:p>
      <w:pPr>
        <w:pStyle w:val="TextBody"/>
        <w:bidi w:val="0"/>
        <w:spacing w:before="360" w:after="0"/>
        <w:jc w:val="left"/>
        <w:rPr>
          <w:rFonts w:ascii="Times New Roman" w:hAnsi="Times New Roman"/>
          <w:b/>
          <w:sz w:val="20"/>
        </w:rPr>
      </w:pPr>
      <w:r>
        <w:rPr>
          <w:rFonts w:ascii="Times New Roman" w:hAnsi="Times New Roman"/>
          <w:b/>
          <w:sz w:val="20"/>
        </w:rPr>
        <w:t xml:space="preserve">Research and Development Expenses and Related Prepaid Assets and Accrued Liabilities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costs are expensed as incurred. Research and development expenses primarily consist of internal research and development expense, including personnel-related expenses (such as salaries, benefits and noncash stock-based compensation) and other expenses, including laboratory supplies and other non-capital equipment utilized for in-house research, research and consulting expenses, software development costs, license fees and allocated expenses, including facilities costs and depreciation and amortization; external research and development expenses incurred under arrangements with vendors conducting research and development services on its behalf, such as contract research organizations (CROs), preclinical testing organizations and contract manufacturing organizations (CMOs). Costs to develop the Companys platform information technologies are recorded as research and development expense unless the criteria to be capitalized as internal-use software costs is met. Payments made prior to the receipt of goods or services to be used in research and development are capitalized, evaluated for current or long-term classification, and included in prepaid expenses and other current assets or other assets in the consolidated balance sheets based on when the goods are received or the services are expected to be received or consumed, and recognized in research and development expenses when they are realized.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required to estimate expenses resulting from its obligations under contracts with vendors, service providers and clinical site agreements in connection with conducting clinical trials. The financial terms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these contracts are subject to negotiations which vary from contract to contract and may result in cash flows that do not match the periods over which materials or services are provided. The Company estimates and records accrued expenses for the related research and development activities based on the level of services performed but not yet invoiced pursuant to agreements established with its service providers, according to the progress of preclinical studies, clinical trials or related activities, and discussions with applicable personnel and service providers as to the progress or state of consummation of goods and services. </w:t>
      </w:r>
    </w:p>
    <w:p>
      <w:pPr>
        <w:pStyle w:val="TextBody"/>
        <w:bidi w:val="0"/>
        <w:spacing w:before="240" w:after="0"/>
        <w:jc w:val="left"/>
        <w:rPr>
          <w:rFonts w:ascii="Times New Roman" w:hAnsi="Times New Roman"/>
          <w:sz w:val="20"/>
        </w:rPr>
      </w:pPr>
      <w:r>
        <w:rPr>
          <w:rFonts w:ascii="Times New Roman" w:hAnsi="Times New Roman"/>
          <w:sz w:val="20"/>
        </w:rPr>
        <w:t xml:space="preserve">During the course of a clinical trial, the rate of expense recognition is adjusted if actual results differ from the Companys estimates. The Company makes judgments and estimates of accrued expenses as of each balance sheet date in its consolidated financial statements based on the facts and circumstances known at that time. The clinical trial accrual is dependent in part upon the timely and accurate reporting of CROs, CMOs and other third- party vendors. Although the Company does not expect its estimates to be materially different from amounts actually incurred, its estimate may vary from the actual results. To date, the Company has not experienced material differences between its accrued expenses and actual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equity incentive plans (the Plans) as a long-term incentive for employees, directors, and non-employee service providers. The Company accounts for all stock-based awards based on their fair value on the date of the grant. For stock-based awards with service only vesting conditions, the Company recognizes expense on a straight-line basis over the requisite service period, which is generally the vesting period of the respective award. For awards with performance vesting conditions, the Company evaluates the probability of achieving the performance vesting condition at each reporting date. The Company begins to recognize expense for awards with performance based vesting conditions using an accelerated attribution method when it is deemed probable that the performance condition will be met. For awards with both market and service vesting conditions, the Company recognizes expense using the accelerated attribution method over the derived requisite service period. Stock-based compensation is classified in the consolidated statements of operations and comprehensive loss based on the function to which the related services are provided. Forfeitures are accounted for as they occur.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stock option awards with service only vesting conditions and performance conditions is estimated on the date of grant using the Black-Scholes option pricing model, which requires inputs based on certain subjective assumptions, including the expected stock price volatility, the expected term of the option, the risk-free interest rate for a period that approximates the expected term of the option, and the expected dividend yield. The fair value of stock options awards with market conditions is estimated on the grant date using the Monte Carlo simulation model, which utilizes subjective assumptions, including volatility and the derived service periods, that determine the probability of satisfying the market condition stipulated in the award to estimate the fair value of the award. The fair value of restricted stock awards is based on the estimated fair value of the Companys common stock on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Companys common stock is determined by the Companys board of directors with the assistance of management. The fair value of common stock is determined using valuation methodologies which utilize certain assumptions including probability weighting of events, volatility, time to an exit event, a risk-free interest rate and an assumption for a discount for lack of marketability. In determining the fair value of common stock, the methodologies used to estimate the enterprise value of the Company were performed using methodologies, approaches, and assumptions consistent with the American Institute of Certified Public Accountants Accounting and Valuation Guide, </w:t>
      </w:r>
      <w:r>
        <w:rPr>
          <w:rFonts w:ascii="Times New Roman" w:hAnsi="Times New Roman"/>
          <w:i/>
          <w:sz w:val="20"/>
        </w:rPr>
        <w:t>Valuation of Privately-Held-Company Equity Securities Issued as Compensation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under the asset and liability method. Under this method, deferred tax assets and liabilities are recognized for the expected future tax consequences of events that have been included in the Companys consolidated financial statements and tax returns. Deferred tax assets and liabilities are determined based upon the differences between the financial statement carrying amounts and the tax bases of existing assets and liabilities and for loss and credit carryforwards, using enacted tax rates expected to be in effect in the year in which the differences are expected to reverse. Deferred tax assets are reduced by a valuation allowance if it is more likely-than-not that these assets may not be realized. The ultimate realization of deferred tax assets is dependent upon the generation of future taxable income during the periods in which the temporary differences representing net future deductible amounts become deductible.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and measures uncertain tax positions using a two-step approach. The Company determines whether it is more likely than not that a tax position will be sustained upon examination. If it is not more likely-than-not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Judgment is required to evaluate uncertain tax positions. The Company evaluates uncertain tax positions on a regular basis. The evaluations are based on a number of factors, including changes in facts and circumstances, changes in tax law, correspondence with tax authorities during the course of the audit, and effective settlement of audit issues.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policy is to include penalties and interest expense related to income taxes as a component of its provision for income taxes. The Company has not reported any interest or penalties associated with income tax for any period presented. </w:t>
      </w:r>
    </w:p>
    <w:p>
      <w:pPr>
        <w:pStyle w:val="TextBody"/>
        <w:bidi w:val="0"/>
        <w:spacing w:before="240" w:after="0"/>
        <w:jc w:val="left"/>
        <w:rPr>
          <w:rFonts w:ascii="Times New Roman" w:hAnsi="Times New Roman"/>
          <w:sz w:val="20"/>
        </w:rPr>
      </w:pPr>
      <w:r>
        <w:rPr>
          <w:rFonts w:ascii="Times New Roman" w:hAnsi="Times New Roman"/>
          <w:sz w:val="20"/>
        </w:rPr>
        <w:t xml:space="preserve">In March 2020, the Families First Coronavirus Response Act (FFCR Act) and the Coronavirus Aid, Relief, and Economic Security Act (CARES Act) were each enacted in response to the COVID-19 pandemic. The FFCR Act and the CARES Act contain numerous income tax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w:t>
      </w:r>
    </w:p>
    <w:p>
      <w:pPr>
        <w:pStyle w:val="TextBody"/>
        <w:bidi w:val="0"/>
        <w:spacing w:before="240" w:after="0"/>
        <w:jc w:val="left"/>
        <w:rPr>
          <w:rFonts w:ascii="Times New Roman" w:hAnsi="Times New Roman"/>
          <w:sz w:val="20"/>
        </w:rPr>
      </w:pPr>
      <w:r>
        <w:rPr>
          <w:rFonts w:ascii="Times New Roman" w:hAnsi="Times New Roman"/>
          <w:sz w:val="20"/>
        </w:rPr>
        <w:t xml:space="preserve">In June 2020, Assembly Bill 85 (A.B. 85) was signed into California law. A.B. 85 provides for a three-year suspension of the use of net operating losses for medium and large businesses and a three-year cap on the use of business incentive tax credits to offset no more than $5.0 million of tax per year. A.B. 85 suspends the use of net operating losses for taxable years 2020, 2021 and 2022 for certain taxpayers with taxable income of $1.0 million or more. The carryover period for any net operating losses that are suspended under this provision will be extended. A.B. 85 also requires that business incentive tax credits including carryovers may not reduce the applicable tax by more than $5.0 million for taxable years 2020, 2021 and 2022.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2020, the Consolidated Appropriations Act, 2021 (CAA) was signed into law. The CAA included additional funding through tax credits as part of its economic package for 2021. </w:t>
      </w:r>
    </w:p>
    <w:p>
      <w:pPr>
        <w:pStyle w:val="TextBody"/>
        <w:bidi w:val="0"/>
        <w:spacing w:before="240" w:after="0"/>
        <w:jc w:val="left"/>
        <w:rPr>
          <w:rFonts w:ascii="Times New Roman" w:hAnsi="Times New Roman"/>
          <w:sz w:val="20"/>
        </w:rPr>
      </w:pPr>
      <w:r>
        <w:rPr>
          <w:rFonts w:ascii="Times New Roman" w:hAnsi="Times New Roman"/>
          <w:sz w:val="20"/>
        </w:rPr>
        <w:t xml:space="preserve">In March 2021, the American Rescue Plan (H.R. 1319) was signed into law. This legislation extends and enhances a number of current-law tax incentives for businesses, but also expands the definition of a covered employee as defined by Section 162(m)(1) of the Internal Revenue Code. </w:t>
      </w:r>
    </w:p>
    <w:p>
      <w:pPr>
        <w:pStyle w:val="TextBody"/>
        <w:bidi w:val="0"/>
        <w:spacing w:before="240" w:after="0"/>
        <w:jc w:val="left"/>
        <w:rPr>
          <w:rFonts w:ascii="Times New Roman" w:hAnsi="Times New Roman"/>
          <w:sz w:val="20"/>
        </w:rPr>
      </w:pPr>
      <w:r>
        <w:rPr>
          <w:rFonts w:ascii="Times New Roman" w:hAnsi="Times New Roman"/>
          <w:sz w:val="20"/>
        </w:rPr>
        <w:t xml:space="preserve">The FFCR Act, CARES Act, A.B. 85, CAA and H.R. 1319 did not have a material impact on the Companys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net loss per share is calculated by dividing net loss by the weighted-average number of shares of common stock outstanding during the period, without consideration for common stock equivalents. Diluted net loss per share is the same as basic net loss per share, since the effects of potentially dilutive securities are antidilutive given the net loss for each period 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Comprehensive loss represents the change in the Companys stockholders deficit from all sources other than investments by or distributions to stockholders. The Company has no items of other comprehensive loss, and as such, net loss is the same as comprehensive loss. </w:t>
      </w:r>
    </w:p>
    <w:p>
      <w:pPr>
        <w:pStyle w:val="TextBody"/>
        <w:bidi w:val="0"/>
        <w:spacing w:before="360" w:after="0"/>
        <w:jc w:val="left"/>
        <w:rPr>
          <w:rFonts w:ascii="Times New Roman" w:hAnsi="Times New Roman"/>
          <w:b/>
          <w:sz w:val="20"/>
        </w:rPr>
      </w:pPr>
      <w:r>
        <w:rPr>
          <w:rFonts w:ascii="Times New Roman" w:hAnsi="Times New Roman"/>
          <w:b/>
          <w:sz w:val="20"/>
        </w:rPr>
        <w:t xml:space="preserve">Restructuring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restructuring charges related to reorganization plans that have been committed to by management and when liabilities have been incurred. In connection with these activities, the Company records restructuring charges at fair value for (i) contractual employee termination benefits when obligations are associated to services already rendered, rights to such benefits have vested, and payment of benefits is probable and can be reasonably estimated, and (ii) one-time employee termination benefits when management has committed to a plan of termination, the plan identifies the employees and their expected termination dates, the details of termination benefits are complete, it is unlikely changes to the plan will be made or the plan will be withdrawn and communication to such employees has occurred. </w:t>
      </w:r>
    </w:p>
    <w:p>
      <w:pPr>
        <w:pStyle w:val="TextBody"/>
        <w:bidi w:val="0"/>
        <w:spacing w:before="240" w:after="0"/>
        <w:jc w:val="left"/>
        <w:rPr>
          <w:rFonts w:ascii="Times New Roman" w:hAnsi="Times New Roman"/>
          <w:sz w:val="20"/>
        </w:rPr>
      </w:pPr>
      <w:r>
        <w:rPr>
          <w:rFonts w:ascii="Times New Roman" w:hAnsi="Times New Roman"/>
          <w:sz w:val="20"/>
        </w:rPr>
        <w:t xml:space="preserve">One-time employee termination benefits are recognized in their entirety when communication has occurred, and future services are not required. Contract termination costs to be incurred over the remaining contract term without economic benefit are recorded in their entirety when the contract is canceled. </w:t>
      </w:r>
    </w:p>
    <w:p>
      <w:pPr>
        <w:pStyle w:val="TextBody"/>
        <w:bidi w:val="0"/>
        <w:spacing w:before="240" w:after="0"/>
        <w:jc w:val="left"/>
        <w:rPr>
          <w:rFonts w:ascii="Times New Roman" w:hAnsi="Times New Roman"/>
          <w:sz w:val="20"/>
        </w:rPr>
      </w:pPr>
      <w:r>
        <w:rPr>
          <w:rFonts w:ascii="Times New Roman" w:hAnsi="Times New Roman"/>
          <w:sz w:val="20"/>
        </w:rPr>
        <w:t xml:space="preserve">The recognition of restructuring charges requires the Company to make certain judgments and estimates regarding the nature, timing and amount of costs associated with the planned reorganization plan. At the end of each reporting period, the Company evaluates the remaining accrued restructuring balances to ensure that no excess accrued liabilities are retained, and the utilization of the provisions are for their intended purpose in accordance with developed restructuring plans.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May 2021, the Financial Accounting Standards Board (FASB) issued Accounting Standards Update (ASU) 2021-04, </w:t>
      </w:r>
      <w:r>
        <w:rPr>
          <w:rFonts w:ascii="Times New Roman" w:hAnsi="Times New Roman"/>
          <w:i/>
          <w:sz w:val="20"/>
        </w:rPr>
        <w:t>Issuers Accounting for Certain Modifications or Exchanges of Freestanding Equity-Classified Written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i/>
          <w:sz w:val="20"/>
        </w:rPr>
        <w:t>Call Options</w:t>
      </w:r>
      <w:r>
        <w:rPr>
          <w:rFonts w:ascii="Times New Roman" w:hAnsi="Times New Roman"/>
          <w:sz w:val="20"/>
        </w:rPr>
        <w:t xml:space="preserve"> (ASU 2021-04), which requires issuers to account for a modification or exchange of freestanding equity-classified written call options that remain equity classified after the modification or exchange based on the economic substance of the modification or exchange. ASU 2021-04 is effective for the Company as of January 1, 2022, with early adoption permitted. The Company does not expect this ASU to have a material impact on its consolidated financial statements and related disclosures.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carrying amounts of the Companys financial instruments, including prepaid expenses and other current assets, accounts payable, accrued liabilities and operating lease liabilities approximate fair value due to the short-term nature of those instruments.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Companys financial assets and liabilities measured at fair value on a recurring basis by level within the fair value hierarchy: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84"/>
        <w:gridCol w:w="313"/>
        <w:gridCol w:w="157"/>
        <w:gridCol w:w="1063"/>
        <w:gridCol w:w="60"/>
        <w:gridCol w:w="313"/>
        <w:gridCol w:w="203"/>
        <w:gridCol w:w="626"/>
        <w:gridCol w:w="60"/>
        <w:gridCol w:w="313"/>
        <w:gridCol w:w="157"/>
        <w:gridCol w:w="675"/>
        <w:gridCol w:w="60"/>
        <w:gridCol w:w="313"/>
        <w:gridCol w:w="157"/>
        <w:gridCol w:w="1063"/>
        <w:gridCol w:w="71"/>
      </w:tblGrid>
      <w:tr>
        <w:trPr/>
        <w:tc>
          <w:tcPr>
            <w:tcW w:w="3784"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3784"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522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2020</w:t>
            </w:r>
          </w:p>
        </w:tc>
        <w:tc>
          <w:tcPr>
            <w:tcW w:w="71" w:type="dxa"/>
            <w:tcBorders/>
            <w:vAlign w:val="bottom"/>
          </w:tcPr>
          <w:p>
            <w:pPr>
              <w:pStyle w:val="TableContents"/>
              <w:bidi w:val="0"/>
              <w:spacing w:before="0" w:after="283"/>
              <w:jc w:val="left"/>
              <w:rPr/>
            </w:pPr>
            <w:r>
              <w:rPr/>
              <w:t> </w:t>
            </w:r>
          </w:p>
        </w:tc>
      </w:tr>
      <w:tr>
        <w:trPr/>
        <w:tc>
          <w:tcPr>
            <w:tcW w:w="3784"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1" w:type="dxa"/>
            <w:tcBorders/>
            <w:vAlign w:val="bottom"/>
          </w:tcPr>
          <w:p>
            <w:pPr>
              <w:pStyle w:val="TableContents"/>
              <w:bidi w:val="0"/>
              <w:spacing w:before="0" w:after="283"/>
              <w:jc w:val="left"/>
              <w:rPr/>
            </w:pPr>
            <w:r>
              <w:rPr/>
              <w:t> </w:t>
            </w:r>
          </w:p>
        </w:tc>
      </w:tr>
      <w:tr>
        <w:trPr/>
        <w:tc>
          <w:tcPr>
            <w:tcW w:w="3784"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5220" w:type="dxa"/>
            <w:gridSpan w:val="14"/>
            <w:tcBorders/>
            <w:vAlign w:val="bottom"/>
          </w:tcPr>
          <w:p>
            <w:pPr>
              <w:pStyle w:val="TableContents"/>
              <w:bidi w:val="0"/>
              <w:spacing w:before="0" w:after="283"/>
              <w:jc w:val="center"/>
              <w:rPr>
                <w:b/>
              </w:rPr>
            </w:pPr>
            <w:r>
              <w:rPr>
                <w:b/>
              </w:rPr>
              <w:t>(in thousands)</w:t>
            </w:r>
          </w:p>
        </w:tc>
        <w:tc>
          <w:tcPr>
            <w:tcW w:w="71" w:type="dxa"/>
            <w:tcBorders/>
            <w:vAlign w:val="bottom"/>
          </w:tcPr>
          <w:p>
            <w:pPr>
              <w:pStyle w:val="TableContents"/>
              <w:bidi w:val="0"/>
              <w:spacing w:before="0" w:after="283"/>
              <w:jc w:val="left"/>
              <w:rPr/>
            </w:pPr>
            <w:r>
              <w:rPr/>
              <w:t> </w:t>
            </w:r>
          </w:p>
        </w:tc>
      </w:tr>
      <w:tr>
        <w:trPr/>
        <w:tc>
          <w:tcPr>
            <w:tcW w:w="37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31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3"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3784"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preferred stock warrant liability</w:t>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10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6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675" w:type="dxa"/>
            <w:tcBorders/>
            <w:vAlign w:val="bottom"/>
          </w:tcPr>
          <w:p>
            <w:pPr>
              <w:pStyle w:val="TableContents"/>
              <w:bidi w:val="0"/>
              <w:spacing w:before="0" w:after="283"/>
              <w:jc w:val="right"/>
              <w:rPr/>
            </w:pPr>
            <w:r>
              <w:rPr/>
              <w:t>612</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1063" w:type="dxa"/>
            <w:tcBorders/>
            <w:vAlign w:val="bottom"/>
          </w:tcPr>
          <w:p>
            <w:pPr>
              <w:pStyle w:val="TableContents"/>
              <w:bidi w:val="0"/>
              <w:spacing w:before="0" w:after="283"/>
              <w:jc w:val="right"/>
              <w:rPr/>
            </w:pPr>
            <w:r>
              <w:rPr/>
              <w:t>612</w:t>
            </w:r>
          </w:p>
        </w:tc>
        <w:tc>
          <w:tcPr>
            <w:tcW w:w="71" w:type="dxa"/>
            <w:tcBorders/>
            <w:vAlign w:val="bottom"/>
          </w:tcPr>
          <w:p>
            <w:pPr>
              <w:pStyle w:val="TableContents"/>
              <w:bidi w:val="0"/>
              <w:spacing w:before="0" w:after="283"/>
              <w:jc w:val="left"/>
              <w:rPr/>
            </w:pPr>
            <w:r>
              <w:rPr/>
              <w:t> </w:t>
            </w:r>
          </w:p>
        </w:tc>
      </w:tr>
      <w:tr>
        <w:trPr/>
        <w:tc>
          <w:tcPr>
            <w:tcW w:w="378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6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1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    </w:t>
            </w: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    </w:t>
            </w: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675" w:type="dxa"/>
            <w:tcBorders/>
            <w:shd w:fill="CCEEFF" w:val="clear"/>
            <w:vAlign w:val="bottom"/>
          </w:tcPr>
          <w:p>
            <w:pPr>
              <w:pStyle w:val="TableContents"/>
              <w:bidi w:val="0"/>
              <w:spacing w:before="0" w:after="283"/>
              <w:jc w:val="right"/>
              <w:rPr/>
            </w:pPr>
            <w:r>
              <w:rPr/>
              <w:t>    </w:t>
            </w:r>
            <w:r>
              <w:rPr/>
              <w:t>612</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    </w:t>
            </w:r>
            <w:r>
              <w:rPr/>
              <w:t>612</w:t>
            </w:r>
          </w:p>
        </w:tc>
        <w:tc>
          <w:tcPr>
            <w:tcW w:w="71" w:type="dxa"/>
            <w:tcBorders/>
            <w:shd w:fill="CCEEFF" w:val="clear"/>
            <w:vAlign w:val="bottom"/>
          </w:tcPr>
          <w:p>
            <w:pPr>
              <w:pStyle w:val="TableContents"/>
              <w:bidi w:val="0"/>
              <w:spacing w:before="0" w:after="283"/>
              <w:jc w:val="left"/>
              <w:rPr/>
            </w:pPr>
            <w:r>
              <w:rPr/>
              <w:t> </w:t>
            </w:r>
          </w:p>
        </w:tc>
      </w:tr>
      <w:tr>
        <w:trPr/>
        <w:tc>
          <w:tcPr>
            <w:tcW w:w="378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6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6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rHeight w:val="240" w:hRule="atLeast"/>
        </w:trPr>
        <w:tc>
          <w:tcPr>
            <w:tcW w:w="3784" w:type="dxa"/>
            <w:tcBorders/>
            <w:vAlign w:val="center"/>
          </w:tcPr>
          <w:p>
            <w:pPr>
              <w:pStyle w:val="TableContents"/>
              <w:bidi w:val="0"/>
              <w:spacing w:before="0" w:after="283"/>
              <w:jc w:val="left"/>
              <w:rPr>
                <w:sz w:val="4"/>
                <w:szCs w:val="4"/>
              </w:rPr>
            </w:pPr>
            <w:r>
              <w:rPr>
                <w:sz w:val="4"/>
                <w:szCs w:val="4"/>
              </w:rPr>
            </w:r>
          </w:p>
        </w:tc>
        <w:tc>
          <w:tcPr>
            <w:tcW w:w="5604" w:type="dxa"/>
            <w:gridSpan w:val="16"/>
            <w:tcBorders/>
            <w:vAlign w:val="center"/>
          </w:tcPr>
          <w:p>
            <w:pPr>
              <w:pStyle w:val="TableContents"/>
              <w:bidi w:val="0"/>
              <w:spacing w:before="0" w:after="283"/>
              <w:jc w:val="left"/>
              <w:rPr>
                <w:sz w:val="4"/>
                <w:szCs w:val="4"/>
              </w:rPr>
            </w:pPr>
            <w:r>
              <w:rPr>
                <w:sz w:val="4"/>
                <w:szCs w:val="4"/>
              </w:rPr>
            </w:r>
          </w:p>
        </w:tc>
      </w:tr>
      <w:tr>
        <w:trPr/>
        <w:tc>
          <w:tcPr>
            <w:tcW w:w="3784"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522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2021</w:t>
            </w:r>
          </w:p>
        </w:tc>
        <w:tc>
          <w:tcPr>
            <w:tcW w:w="71" w:type="dxa"/>
            <w:tcBorders/>
            <w:vAlign w:val="bottom"/>
          </w:tcPr>
          <w:p>
            <w:pPr>
              <w:pStyle w:val="TableContents"/>
              <w:bidi w:val="0"/>
              <w:spacing w:before="0" w:after="283"/>
              <w:jc w:val="left"/>
              <w:rPr/>
            </w:pPr>
            <w:r>
              <w:rPr/>
              <w:t> </w:t>
            </w:r>
          </w:p>
        </w:tc>
      </w:tr>
      <w:tr>
        <w:trPr/>
        <w:tc>
          <w:tcPr>
            <w:tcW w:w="3784"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1" w:type="dxa"/>
            <w:tcBorders/>
            <w:vAlign w:val="bottom"/>
          </w:tcPr>
          <w:p>
            <w:pPr>
              <w:pStyle w:val="TableContents"/>
              <w:bidi w:val="0"/>
              <w:spacing w:before="0" w:after="283"/>
              <w:jc w:val="left"/>
              <w:rPr/>
            </w:pPr>
            <w:r>
              <w:rPr/>
              <w:t> </w:t>
            </w:r>
          </w:p>
        </w:tc>
      </w:tr>
      <w:tr>
        <w:trPr/>
        <w:tc>
          <w:tcPr>
            <w:tcW w:w="3784"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5220" w:type="dxa"/>
            <w:gridSpan w:val="14"/>
            <w:tcBorders/>
            <w:vAlign w:val="bottom"/>
          </w:tcPr>
          <w:p>
            <w:pPr>
              <w:pStyle w:val="TableContents"/>
              <w:bidi w:val="0"/>
              <w:spacing w:before="0" w:after="283"/>
              <w:jc w:val="center"/>
              <w:rPr>
                <w:b/>
              </w:rPr>
            </w:pPr>
            <w:r>
              <w:rPr>
                <w:b/>
              </w:rPr>
              <w:t>(in thousands)</w:t>
            </w:r>
          </w:p>
        </w:tc>
        <w:tc>
          <w:tcPr>
            <w:tcW w:w="71" w:type="dxa"/>
            <w:tcBorders/>
            <w:vAlign w:val="bottom"/>
          </w:tcPr>
          <w:p>
            <w:pPr>
              <w:pStyle w:val="TableContents"/>
              <w:bidi w:val="0"/>
              <w:spacing w:before="0" w:after="283"/>
              <w:jc w:val="left"/>
              <w:rPr/>
            </w:pPr>
            <w:r>
              <w:rPr/>
              <w:t> </w:t>
            </w:r>
          </w:p>
        </w:tc>
      </w:tr>
      <w:tr>
        <w:trPr/>
        <w:tc>
          <w:tcPr>
            <w:tcW w:w="37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1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5063" w:type="dxa"/>
            <w:gridSpan w:val="13"/>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3784"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1063" w:type="dxa"/>
            <w:tcBorders/>
            <w:vAlign w:val="bottom"/>
          </w:tcPr>
          <w:p>
            <w:pPr>
              <w:pStyle w:val="TableContents"/>
              <w:bidi w:val="0"/>
              <w:spacing w:before="0" w:after="283"/>
              <w:jc w:val="right"/>
              <w:rPr/>
            </w:pPr>
            <w:r>
              <w:rPr/>
              <w:t>  </w:t>
            </w:r>
            <w:r>
              <w:rPr/>
              <w:t>330,216</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6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6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1063" w:type="dxa"/>
            <w:tcBorders/>
            <w:vAlign w:val="bottom"/>
          </w:tcPr>
          <w:p>
            <w:pPr>
              <w:pStyle w:val="TableContents"/>
              <w:bidi w:val="0"/>
              <w:spacing w:before="0" w:after="283"/>
              <w:jc w:val="right"/>
              <w:rPr/>
            </w:pPr>
            <w:r>
              <w:rPr/>
              <w:t>  </w:t>
            </w:r>
            <w:r>
              <w:rPr/>
              <w:t>330,216</w:t>
            </w:r>
          </w:p>
        </w:tc>
        <w:tc>
          <w:tcPr>
            <w:tcW w:w="71" w:type="dxa"/>
            <w:tcBorders/>
            <w:vAlign w:val="bottom"/>
          </w:tcPr>
          <w:p>
            <w:pPr>
              <w:pStyle w:val="TableContents"/>
              <w:bidi w:val="0"/>
              <w:spacing w:before="0" w:after="283"/>
              <w:jc w:val="left"/>
              <w:rPr/>
            </w:pPr>
            <w:r>
              <w:rPr/>
              <w:t> </w:t>
            </w:r>
          </w:p>
        </w:tc>
      </w:tr>
      <w:tr>
        <w:trPr/>
        <w:tc>
          <w:tcPr>
            <w:tcW w:w="378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6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1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330,216</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6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330,216</w:t>
            </w:r>
          </w:p>
        </w:tc>
        <w:tc>
          <w:tcPr>
            <w:tcW w:w="71" w:type="dxa"/>
            <w:tcBorders/>
            <w:shd w:fill="CCEEFF" w:val="clear"/>
            <w:vAlign w:val="bottom"/>
          </w:tcPr>
          <w:p>
            <w:pPr>
              <w:pStyle w:val="TableContents"/>
              <w:bidi w:val="0"/>
              <w:spacing w:before="0" w:after="283"/>
              <w:jc w:val="left"/>
              <w:rPr/>
            </w:pPr>
            <w:r>
              <w:rPr/>
              <w:t> </w:t>
            </w:r>
          </w:p>
        </w:tc>
      </w:tr>
      <w:tr>
        <w:trPr/>
        <w:tc>
          <w:tcPr>
            <w:tcW w:w="378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6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6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784"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3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 warrant liability</w:t>
            </w:r>
          </w:p>
        </w:tc>
        <w:tc>
          <w:tcPr>
            <w:tcW w:w="31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675" w:type="dxa"/>
            <w:tcBorders/>
            <w:shd w:fill="CCEEFF" w:val="clear"/>
            <w:vAlign w:val="bottom"/>
          </w:tcPr>
          <w:p>
            <w:pPr>
              <w:pStyle w:val="TableContents"/>
              <w:bidi w:val="0"/>
              <w:spacing w:before="0" w:after="283"/>
              <w:jc w:val="right"/>
              <w:rPr/>
            </w:pPr>
            <w:r>
              <w:rPr/>
              <w:t>559</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559</w:t>
            </w:r>
          </w:p>
        </w:tc>
        <w:tc>
          <w:tcPr>
            <w:tcW w:w="71" w:type="dxa"/>
            <w:tcBorders/>
            <w:shd w:fill="CCEEFF" w:val="clear"/>
            <w:vAlign w:val="bottom"/>
          </w:tcPr>
          <w:p>
            <w:pPr>
              <w:pStyle w:val="TableContents"/>
              <w:bidi w:val="0"/>
              <w:spacing w:before="0" w:after="283"/>
              <w:jc w:val="left"/>
              <w:rPr/>
            </w:pPr>
            <w:r>
              <w:rPr/>
              <w:t> </w:t>
            </w:r>
          </w:p>
        </w:tc>
      </w:tr>
      <w:tr>
        <w:trPr/>
        <w:tc>
          <w:tcPr>
            <w:tcW w:w="378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6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784"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1063" w:type="dxa"/>
            <w:tcBorders/>
            <w:vAlign w:val="bottom"/>
          </w:tcPr>
          <w:p>
            <w:pPr>
              <w:pStyle w:val="TableContents"/>
              <w:bidi w:val="0"/>
              <w:spacing w:before="0" w:after="283"/>
              <w:jc w:val="right"/>
              <w:rPr/>
            </w:pPr>
            <w:r>
              <w:rPr/>
              <w:t>    </w:t>
            </w: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626" w:type="dxa"/>
            <w:tcBorders/>
            <w:vAlign w:val="bottom"/>
          </w:tcPr>
          <w:p>
            <w:pPr>
              <w:pStyle w:val="TableContents"/>
              <w:bidi w:val="0"/>
              <w:spacing w:before="0" w:after="283"/>
              <w:jc w:val="right"/>
              <w:rPr/>
            </w:pPr>
            <w:r>
              <w:rPr/>
              <w:t>    </w:t>
            </w: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675" w:type="dxa"/>
            <w:tcBorders/>
            <w:vAlign w:val="bottom"/>
          </w:tcPr>
          <w:p>
            <w:pPr>
              <w:pStyle w:val="TableContents"/>
              <w:bidi w:val="0"/>
              <w:spacing w:before="0" w:after="283"/>
              <w:jc w:val="right"/>
              <w:rPr/>
            </w:pPr>
            <w:r>
              <w:rPr/>
              <w:t>    </w:t>
            </w:r>
            <w:r>
              <w:rPr/>
              <w:t>559</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1063" w:type="dxa"/>
            <w:tcBorders/>
            <w:vAlign w:val="bottom"/>
          </w:tcPr>
          <w:p>
            <w:pPr>
              <w:pStyle w:val="TableContents"/>
              <w:bidi w:val="0"/>
              <w:spacing w:before="0" w:after="283"/>
              <w:jc w:val="right"/>
              <w:rPr/>
            </w:pPr>
            <w:r>
              <w:rPr/>
              <w:t>559</w:t>
            </w:r>
          </w:p>
        </w:tc>
        <w:tc>
          <w:tcPr>
            <w:tcW w:w="71" w:type="dxa"/>
            <w:tcBorders/>
            <w:vAlign w:val="bottom"/>
          </w:tcPr>
          <w:p>
            <w:pPr>
              <w:pStyle w:val="TableContents"/>
              <w:bidi w:val="0"/>
              <w:spacing w:before="0" w:after="283"/>
              <w:jc w:val="left"/>
              <w:rPr/>
            </w:pPr>
            <w:r>
              <w:rPr/>
              <w:t> </w:t>
            </w:r>
          </w:p>
        </w:tc>
      </w:tr>
      <w:tr>
        <w:trPr/>
        <w:tc>
          <w:tcPr>
            <w:tcW w:w="378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6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6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Money market funds are highly liquid and actively traded marketable securities that generally transact at a stable $1.00 net asset value representing its estimated fair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Preferred Stock Warrant Liability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2020, the Company issued Preferred Stock Warrants to purchase shares of its Series A-1 convertible preferred stock (see Note 12), which do not meet the criteria for equity classification. The estimated fair value of the convertible preferred stock warrant liability was determined based on significant inputs not observable in the market, which represents a Level 3 measurement within the fair value hierarchy.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significant unobservable inputs used in the fair value measurement of the convertible preferred stock warrant liability during the years ended December 31, 2020 and 2021: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54"/>
        <w:gridCol w:w="203"/>
        <w:gridCol w:w="2348"/>
        <w:gridCol w:w="203"/>
        <w:gridCol w:w="2348"/>
        <w:gridCol w:w="203"/>
        <w:gridCol w:w="2246"/>
      </w:tblGrid>
      <w:tr>
        <w:trPr/>
        <w:tc>
          <w:tcPr>
            <w:tcW w:w="265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Year Ended December 31, 2020</w:t>
            </w:r>
          </w:p>
        </w:tc>
      </w:tr>
      <w:tr>
        <w:trPr/>
        <w:tc>
          <w:tcPr>
            <w:tcW w:w="265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Fair Value</w:t>
              <w:br/>
              <w:t>Range</w:t>
              <w:br/>
              <w:t>(in millions)</w:t>
            </w:r>
          </w:p>
        </w:tc>
        <w:tc>
          <w:tcPr>
            <w:tcW w:w="203" w:type="dxa"/>
            <w:tcBorders/>
            <w:vAlign w:val="bottom"/>
          </w:tcPr>
          <w:p>
            <w:pPr>
              <w:pStyle w:val="TableContents"/>
              <w:bidi w:val="0"/>
              <w:spacing w:before="0" w:after="283"/>
              <w:jc w:val="left"/>
              <w:rPr/>
            </w:pPr>
            <w:r>
              <w:rPr/>
              <w:t>  </w:t>
            </w:r>
          </w:p>
        </w:tc>
        <w:tc>
          <w:tcPr>
            <w:tcW w:w="234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Valuation Technique</w:t>
            </w:r>
          </w:p>
        </w:tc>
        <w:tc>
          <w:tcPr>
            <w:tcW w:w="203" w:type="dxa"/>
            <w:tcBorders/>
            <w:vAlign w:val="bottom"/>
          </w:tcPr>
          <w:p>
            <w:pPr>
              <w:pStyle w:val="TableContents"/>
              <w:bidi w:val="0"/>
              <w:spacing w:before="0" w:after="283"/>
              <w:jc w:val="left"/>
              <w:rPr/>
            </w:pPr>
            <w:r>
              <w:rPr/>
              <w:t>  </w:t>
            </w:r>
          </w:p>
        </w:tc>
        <w:tc>
          <w:tcPr>
            <w:tcW w:w="234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Unobservable Input</w:t>
            </w:r>
          </w:p>
        </w:tc>
        <w:tc>
          <w:tcPr>
            <w:tcW w:w="203" w:type="dxa"/>
            <w:tcBorders/>
            <w:vAlign w:val="bottom"/>
          </w:tcPr>
          <w:p>
            <w:pPr>
              <w:pStyle w:val="TableContents"/>
              <w:bidi w:val="0"/>
              <w:spacing w:before="0" w:after="283"/>
              <w:jc w:val="left"/>
              <w:rPr/>
            </w:pPr>
            <w:r>
              <w:rPr/>
              <w:t>  </w:t>
            </w:r>
          </w:p>
        </w:tc>
        <w:tc>
          <w:tcPr>
            <w:tcW w:w="22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Input Range</w:t>
            </w:r>
          </w:p>
        </w:tc>
      </w:tr>
      <w:tr>
        <w:trPr/>
        <w:tc>
          <w:tcPr>
            <w:tcW w:w="2654" w:type="dxa"/>
            <w:vMerge w:val="restart"/>
            <w:tcBorders/>
            <w:vAlign w:val="bottom"/>
          </w:tcPr>
          <w:p>
            <w:pPr>
              <w:pStyle w:val="TableContents"/>
              <w:bidi w:val="0"/>
              <w:spacing w:before="0" w:after="283"/>
              <w:jc w:val="center"/>
              <w:rPr/>
            </w:pPr>
            <w:r>
              <w:rPr/>
              <w:t>$0.6 - $0.7  </w:t>
            </w:r>
          </w:p>
        </w:tc>
        <w:tc>
          <w:tcPr>
            <w:tcW w:w="203" w:type="dxa"/>
            <w:vMerge w:val="restart"/>
            <w:tcBorders/>
            <w:vAlign w:val="bottom"/>
          </w:tcPr>
          <w:p>
            <w:pPr>
              <w:pStyle w:val="TableContents"/>
              <w:bidi w:val="0"/>
              <w:spacing w:before="0" w:after="283"/>
              <w:jc w:val="left"/>
              <w:rPr/>
            </w:pPr>
            <w:r>
              <w:rPr/>
              <w:t>  </w:t>
            </w:r>
          </w:p>
        </w:tc>
        <w:tc>
          <w:tcPr>
            <w:tcW w:w="2348" w:type="dxa"/>
            <w:vMerge w:val="restart"/>
            <w:tcBorders/>
            <w:vAlign w:val="bottom"/>
          </w:tcPr>
          <w:p>
            <w:pPr>
              <w:pStyle w:val="TableContents"/>
              <w:bidi w:val="0"/>
              <w:spacing w:before="0" w:after="283"/>
              <w:jc w:val="center"/>
              <w:rPr/>
            </w:pPr>
            <w:r>
              <w:rPr/>
              <w:t>Black-Scholes Option Pricing Model</w:t>
            </w:r>
          </w:p>
        </w:tc>
        <w:tc>
          <w:tcPr>
            <w:tcW w:w="203"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283"/>
              <w:jc w:val="center"/>
              <w:rPr/>
            </w:pPr>
            <w:r>
              <w:rPr/>
              <w:t>Fair value of Series A-1 convertible preferred stock (per share)</w:t>
            </w:r>
          </w:p>
        </w:tc>
        <w:tc>
          <w:tcPr>
            <w:tcW w:w="203" w:type="dxa"/>
            <w:tcBorders/>
            <w:vAlign w:val="bottom"/>
          </w:tcPr>
          <w:p>
            <w:pPr>
              <w:pStyle w:val="TableContents"/>
              <w:bidi w:val="0"/>
              <w:spacing w:before="0" w:after="283"/>
              <w:jc w:val="left"/>
              <w:rPr/>
            </w:pPr>
            <w:r>
              <w:rPr/>
              <w:t>  </w:t>
            </w:r>
          </w:p>
        </w:tc>
        <w:tc>
          <w:tcPr>
            <w:tcW w:w="2246" w:type="dxa"/>
            <w:tcBorders/>
            <w:vAlign w:val="bottom"/>
          </w:tcPr>
          <w:p>
            <w:pPr>
              <w:pStyle w:val="TableContents"/>
              <w:bidi w:val="0"/>
              <w:spacing w:before="0" w:after="283"/>
              <w:jc w:val="center"/>
              <w:rPr/>
            </w:pPr>
            <w:r>
              <w:rPr/>
              <w:t>$0.81  $0.81</w:t>
            </w:r>
          </w:p>
        </w:tc>
      </w:tr>
      <w:tr>
        <w:trPr/>
        <w:tc>
          <w:tcPr>
            <w:tcW w:w="2654" w:type="dxa"/>
            <w:vMerge w:val="continue"/>
            <w:tcBorders/>
            <w:vAlign w:val="bottom"/>
          </w:tcPr>
          <w:p>
            <w:pPr>
              <w:pStyle w:val="Normal"/>
              <w:bidi w:val="0"/>
              <w:jc w:val="left"/>
              <w:rPr/>
            </w:pPr>
            <w:r>
              <w:rPr/>
            </w:r>
          </w:p>
        </w:tc>
        <w:tc>
          <w:tcPr>
            <w:tcW w:w="203" w:type="dxa"/>
            <w:vMerge w:val="continue"/>
            <w:tcBorders/>
            <w:vAlign w:val="bottom"/>
          </w:tcPr>
          <w:p>
            <w:pPr>
              <w:pStyle w:val="Normal"/>
              <w:bidi w:val="0"/>
              <w:jc w:val="left"/>
              <w:rPr/>
            </w:pPr>
            <w:r>
              <w:rPr/>
            </w:r>
          </w:p>
        </w:tc>
        <w:tc>
          <w:tcPr>
            <w:tcW w:w="2348" w:type="dxa"/>
            <w:vMerge w:val="continue"/>
            <w:tcBorders/>
            <w:vAlign w:val="bottom"/>
          </w:tcPr>
          <w:p>
            <w:pPr>
              <w:pStyle w:val="Normal"/>
              <w:bidi w:val="0"/>
              <w:jc w:val="left"/>
              <w:rPr/>
            </w:pPr>
            <w:r>
              <w:rPr/>
            </w:r>
          </w:p>
        </w:tc>
        <w:tc>
          <w:tcPr>
            <w:tcW w:w="203"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283"/>
              <w:jc w:val="center"/>
              <w:rPr/>
            </w:pPr>
            <w:r>
              <w:rPr/>
              <w:t>Expected volatility</w:t>
            </w:r>
          </w:p>
        </w:tc>
        <w:tc>
          <w:tcPr>
            <w:tcW w:w="203" w:type="dxa"/>
            <w:tcBorders/>
            <w:vAlign w:val="bottom"/>
          </w:tcPr>
          <w:p>
            <w:pPr>
              <w:pStyle w:val="TableContents"/>
              <w:bidi w:val="0"/>
              <w:spacing w:before="0" w:after="283"/>
              <w:jc w:val="left"/>
              <w:rPr/>
            </w:pPr>
            <w:r>
              <w:rPr/>
              <w:t>  </w:t>
            </w:r>
          </w:p>
        </w:tc>
        <w:tc>
          <w:tcPr>
            <w:tcW w:w="2246" w:type="dxa"/>
            <w:tcBorders/>
            <w:vAlign w:val="bottom"/>
          </w:tcPr>
          <w:p>
            <w:pPr>
              <w:pStyle w:val="TableContents"/>
              <w:bidi w:val="0"/>
              <w:spacing w:before="0" w:after="283"/>
              <w:jc w:val="center"/>
              <w:rPr/>
            </w:pPr>
            <w:r>
              <w:rPr/>
              <w:t>123.4%  123.4%</w:t>
            </w:r>
          </w:p>
        </w:tc>
      </w:tr>
      <w:tr>
        <w:trPr/>
        <w:tc>
          <w:tcPr>
            <w:tcW w:w="2654" w:type="dxa"/>
            <w:vMerge w:val="continue"/>
            <w:tcBorders/>
            <w:vAlign w:val="bottom"/>
          </w:tcPr>
          <w:p>
            <w:pPr>
              <w:pStyle w:val="Normal"/>
              <w:bidi w:val="0"/>
              <w:jc w:val="left"/>
              <w:rPr/>
            </w:pPr>
            <w:r>
              <w:rPr/>
            </w:r>
          </w:p>
        </w:tc>
        <w:tc>
          <w:tcPr>
            <w:tcW w:w="203" w:type="dxa"/>
            <w:vMerge w:val="continue"/>
            <w:tcBorders/>
            <w:vAlign w:val="bottom"/>
          </w:tcPr>
          <w:p>
            <w:pPr>
              <w:pStyle w:val="Normal"/>
              <w:bidi w:val="0"/>
              <w:jc w:val="left"/>
              <w:rPr/>
            </w:pPr>
            <w:r>
              <w:rPr/>
            </w:r>
          </w:p>
        </w:tc>
        <w:tc>
          <w:tcPr>
            <w:tcW w:w="2348" w:type="dxa"/>
            <w:vMerge w:val="continue"/>
            <w:tcBorders/>
            <w:vAlign w:val="bottom"/>
          </w:tcPr>
          <w:p>
            <w:pPr>
              <w:pStyle w:val="Normal"/>
              <w:bidi w:val="0"/>
              <w:jc w:val="left"/>
              <w:rPr/>
            </w:pPr>
            <w:r>
              <w:rPr/>
            </w:r>
          </w:p>
        </w:tc>
        <w:tc>
          <w:tcPr>
            <w:tcW w:w="203"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283"/>
              <w:jc w:val="center"/>
              <w:rPr/>
            </w:pPr>
            <w:r>
              <w:rPr/>
              <w:t>Expected term (years)</w:t>
            </w:r>
          </w:p>
        </w:tc>
        <w:tc>
          <w:tcPr>
            <w:tcW w:w="203" w:type="dxa"/>
            <w:tcBorders/>
            <w:vAlign w:val="bottom"/>
          </w:tcPr>
          <w:p>
            <w:pPr>
              <w:pStyle w:val="TableContents"/>
              <w:bidi w:val="0"/>
              <w:spacing w:before="0" w:after="283"/>
              <w:jc w:val="left"/>
              <w:rPr/>
            </w:pPr>
            <w:r>
              <w:rPr/>
              <w:t>  </w:t>
            </w:r>
          </w:p>
        </w:tc>
        <w:tc>
          <w:tcPr>
            <w:tcW w:w="2246" w:type="dxa"/>
            <w:tcBorders/>
            <w:vAlign w:val="bottom"/>
          </w:tcPr>
          <w:p>
            <w:pPr>
              <w:pStyle w:val="TableContents"/>
              <w:bidi w:val="0"/>
              <w:spacing w:before="0" w:after="283"/>
              <w:jc w:val="center"/>
              <w:rPr/>
            </w:pPr>
            <w:r>
              <w:rPr/>
              <w:t>1.0  1.3</w:t>
            </w:r>
          </w:p>
        </w:tc>
      </w:tr>
      <w:tr>
        <w:trPr/>
        <w:tc>
          <w:tcPr>
            <w:tcW w:w="2654" w:type="dxa"/>
            <w:vMerge w:val="continue"/>
            <w:tcBorders/>
            <w:vAlign w:val="bottom"/>
          </w:tcPr>
          <w:p>
            <w:pPr>
              <w:pStyle w:val="Normal"/>
              <w:bidi w:val="0"/>
              <w:jc w:val="left"/>
              <w:rPr/>
            </w:pPr>
            <w:r>
              <w:rPr/>
            </w:r>
          </w:p>
        </w:tc>
        <w:tc>
          <w:tcPr>
            <w:tcW w:w="203" w:type="dxa"/>
            <w:vMerge w:val="continue"/>
            <w:tcBorders/>
            <w:vAlign w:val="bottom"/>
          </w:tcPr>
          <w:p>
            <w:pPr>
              <w:pStyle w:val="Normal"/>
              <w:bidi w:val="0"/>
              <w:jc w:val="left"/>
              <w:rPr/>
            </w:pPr>
            <w:r>
              <w:rPr/>
            </w:r>
          </w:p>
        </w:tc>
        <w:tc>
          <w:tcPr>
            <w:tcW w:w="2348" w:type="dxa"/>
            <w:vMerge w:val="continue"/>
            <w:tcBorders/>
            <w:vAlign w:val="bottom"/>
          </w:tcPr>
          <w:p>
            <w:pPr>
              <w:pStyle w:val="Normal"/>
              <w:bidi w:val="0"/>
              <w:jc w:val="left"/>
              <w:rPr/>
            </w:pPr>
            <w:r>
              <w:rPr/>
            </w:r>
          </w:p>
        </w:tc>
        <w:tc>
          <w:tcPr>
            <w:tcW w:w="203"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283"/>
              <w:jc w:val="center"/>
              <w:rPr/>
            </w:pPr>
            <w:r>
              <w:rPr/>
              <w:t>Expected dividend yield</w:t>
            </w:r>
          </w:p>
        </w:tc>
        <w:tc>
          <w:tcPr>
            <w:tcW w:w="203" w:type="dxa"/>
            <w:tcBorders/>
            <w:vAlign w:val="bottom"/>
          </w:tcPr>
          <w:p>
            <w:pPr>
              <w:pStyle w:val="TableContents"/>
              <w:bidi w:val="0"/>
              <w:spacing w:before="0" w:after="283"/>
              <w:jc w:val="left"/>
              <w:rPr/>
            </w:pPr>
            <w:r>
              <w:rPr/>
              <w:t>  </w:t>
            </w:r>
          </w:p>
        </w:tc>
        <w:tc>
          <w:tcPr>
            <w:tcW w:w="2246" w:type="dxa"/>
            <w:tcBorders/>
            <w:vAlign w:val="bottom"/>
          </w:tcPr>
          <w:p>
            <w:pPr>
              <w:pStyle w:val="TableContents"/>
              <w:bidi w:val="0"/>
              <w:spacing w:before="0" w:after="283"/>
              <w:jc w:val="center"/>
              <w:rPr/>
            </w:pPr>
            <w:r>
              <w:rPr/>
              <w:t>0.0%  0.0%</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54"/>
        <w:gridCol w:w="203"/>
        <w:gridCol w:w="2347"/>
        <w:gridCol w:w="204"/>
        <w:gridCol w:w="2347"/>
        <w:gridCol w:w="204"/>
        <w:gridCol w:w="2246"/>
      </w:tblGrid>
      <w:tr>
        <w:trPr/>
        <w:tc>
          <w:tcPr>
            <w:tcW w:w="265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Year Ended December 31, 2021</w:t>
            </w:r>
          </w:p>
        </w:tc>
      </w:tr>
      <w:tr>
        <w:trPr/>
        <w:tc>
          <w:tcPr>
            <w:tcW w:w="265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Fair Value</w:t>
              <w:br/>
              <w:t>Range</w:t>
              <w:br/>
              <w:t>(in millions)</w:t>
            </w:r>
          </w:p>
        </w:tc>
        <w:tc>
          <w:tcPr>
            <w:tcW w:w="203" w:type="dxa"/>
            <w:tcBorders/>
            <w:vAlign w:val="bottom"/>
          </w:tcPr>
          <w:p>
            <w:pPr>
              <w:pStyle w:val="TableContents"/>
              <w:bidi w:val="0"/>
              <w:spacing w:before="0" w:after="283"/>
              <w:jc w:val="left"/>
              <w:rPr/>
            </w:pPr>
            <w:r>
              <w:rPr/>
              <w:t>  </w:t>
            </w:r>
          </w:p>
        </w:tc>
        <w:tc>
          <w:tcPr>
            <w:tcW w:w="234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Valuation Technique</w:t>
            </w:r>
          </w:p>
        </w:tc>
        <w:tc>
          <w:tcPr>
            <w:tcW w:w="204" w:type="dxa"/>
            <w:tcBorders/>
            <w:vAlign w:val="bottom"/>
          </w:tcPr>
          <w:p>
            <w:pPr>
              <w:pStyle w:val="TableContents"/>
              <w:bidi w:val="0"/>
              <w:spacing w:before="0" w:after="283"/>
              <w:jc w:val="left"/>
              <w:rPr/>
            </w:pPr>
            <w:r>
              <w:rPr/>
              <w:t>  </w:t>
            </w:r>
          </w:p>
        </w:tc>
        <w:tc>
          <w:tcPr>
            <w:tcW w:w="234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Unobservable Input</w:t>
            </w:r>
          </w:p>
        </w:tc>
        <w:tc>
          <w:tcPr>
            <w:tcW w:w="204" w:type="dxa"/>
            <w:tcBorders/>
            <w:vAlign w:val="bottom"/>
          </w:tcPr>
          <w:p>
            <w:pPr>
              <w:pStyle w:val="TableContents"/>
              <w:bidi w:val="0"/>
              <w:spacing w:before="0" w:after="283"/>
              <w:jc w:val="left"/>
              <w:rPr/>
            </w:pPr>
            <w:r>
              <w:rPr/>
              <w:t>  </w:t>
            </w:r>
          </w:p>
        </w:tc>
        <w:tc>
          <w:tcPr>
            <w:tcW w:w="22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Input Range</w:t>
            </w:r>
          </w:p>
        </w:tc>
      </w:tr>
      <w:tr>
        <w:trPr/>
        <w:tc>
          <w:tcPr>
            <w:tcW w:w="2654" w:type="dxa"/>
            <w:vMerge w:val="restart"/>
            <w:tcBorders/>
            <w:vAlign w:val="bottom"/>
          </w:tcPr>
          <w:p>
            <w:pPr>
              <w:pStyle w:val="TableContents"/>
              <w:bidi w:val="0"/>
              <w:spacing w:before="0" w:after="283"/>
              <w:jc w:val="center"/>
              <w:rPr/>
            </w:pPr>
            <w:r>
              <w:rPr/>
              <w:t>$0.1 - $0.6  </w:t>
            </w:r>
          </w:p>
        </w:tc>
        <w:tc>
          <w:tcPr>
            <w:tcW w:w="203" w:type="dxa"/>
            <w:vMerge w:val="restart"/>
            <w:tcBorders/>
            <w:vAlign w:val="bottom"/>
          </w:tcPr>
          <w:p>
            <w:pPr>
              <w:pStyle w:val="TableContents"/>
              <w:bidi w:val="0"/>
              <w:spacing w:before="0" w:after="283"/>
              <w:jc w:val="left"/>
              <w:rPr/>
            </w:pPr>
            <w:r>
              <w:rPr/>
              <w:t>  </w:t>
            </w:r>
          </w:p>
        </w:tc>
        <w:tc>
          <w:tcPr>
            <w:tcW w:w="2347" w:type="dxa"/>
            <w:vMerge w:val="restart"/>
            <w:tcBorders/>
            <w:vAlign w:val="bottom"/>
          </w:tcPr>
          <w:p>
            <w:pPr>
              <w:pStyle w:val="TableContents"/>
              <w:bidi w:val="0"/>
              <w:spacing w:before="0" w:after="283"/>
              <w:jc w:val="center"/>
              <w:rPr/>
            </w:pPr>
            <w:r>
              <w:rPr/>
              <w:t>Black-Scholes Option Pricing Model</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283"/>
              <w:jc w:val="center"/>
              <w:rPr/>
            </w:pPr>
            <w:r>
              <w:rPr/>
              <w:t>Fair value of Series A-1 convertible preferred stock (per share)</w:t>
            </w:r>
          </w:p>
        </w:tc>
        <w:tc>
          <w:tcPr>
            <w:tcW w:w="204" w:type="dxa"/>
            <w:tcBorders/>
            <w:vAlign w:val="bottom"/>
          </w:tcPr>
          <w:p>
            <w:pPr>
              <w:pStyle w:val="TableContents"/>
              <w:bidi w:val="0"/>
              <w:spacing w:before="0" w:after="283"/>
              <w:jc w:val="left"/>
              <w:rPr/>
            </w:pPr>
            <w:r>
              <w:rPr/>
              <w:t>  </w:t>
            </w:r>
          </w:p>
        </w:tc>
        <w:tc>
          <w:tcPr>
            <w:tcW w:w="2246" w:type="dxa"/>
            <w:tcBorders/>
            <w:vAlign w:val="bottom"/>
          </w:tcPr>
          <w:p>
            <w:pPr>
              <w:pStyle w:val="TableContents"/>
              <w:bidi w:val="0"/>
              <w:spacing w:before="0" w:after="283"/>
              <w:jc w:val="center"/>
              <w:rPr/>
            </w:pPr>
            <w:r>
              <w:rPr/>
              <w:t>$0.81  $0.83</w:t>
            </w:r>
          </w:p>
        </w:tc>
      </w:tr>
      <w:tr>
        <w:trPr/>
        <w:tc>
          <w:tcPr>
            <w:tcW w:w="2654" w:type="dxa"/>
            <w:vMerge w:val="continue"/>
            <w:tcBorders/>
            <w:vAlign w:val="bottom"/>
          </w:tcPr>
          <w:p>
            <w:pPr>
              <w:pStyle w:val="Normal"/>
              <w:bidi w:val="0"/>
              <w:jc w:val="left"/>
              <w:rPr/>
            </w:pPr>
            <w:r>
              <w:rPr/>
            </w:r>
          </w:p>
        </w:tc>
        <w:tc>
          <w:tcPr>
            <w:tcW w:w="203" w:type="dxa"/>
            <w:vMerge w:val="continue"/>
            <w:tcBorders/>
            <w:vAlign w:val="bottom"/>
          </w:tcPr>
          <w:p>
            <w:pPr>
              <w:pStyle w:val="Normal"/>
              <w:bidi w:val="0"/>
              <w:jc w:val="left"/>
              <w:rPr/>
            </w:pPr>
            <w:r>
              <w:rPr/>
            </w:r>
          </w:p>
        </w:tc>
        <w:tc>
          <w:tcPr>
            <w:tcW w:w="2347" w:type="dxa"/>
            <w:vMerge w:val="continue"/>
            <w:tcBorders/>
            <w:vAlign w:val="bottom"/>
          </w:tcPr>
          <w:p>
            <w:pPr>
              <w:pStyle w:val="Normal"/>
              <w:bidi w:val="0"/>
              <w:jc w:val="left"/>
              <w:rPr/>
            </w:pPr>
            <w:r>
              <w:rPr/>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283"/>
              <w:jc w:val="center"/>
              <w:rPr/>
            </w:pPr>
            <w:r>
              <w:rPr/>
              <w:t>Expected volatility</w:t>
            </w:r>
          </w:p>
        </w:tc>
        <w:tc>
          <w:tcPr>
            <w:tcW w:w="204" w:type="dxa"/>
            <w:tcBorders/>
            <w:vAlign w:val="bottom"/>
          </w:tcPr>
          <w:p>
            <w:pPr>
              <w:pStyle w:val="TableContents"/>
              <w:bidi w:val="0"/>
              <w:spacing w:before="0" w:after="283"/>
              <w:jc w:val="left"/>
              <w:rPr/>
            </w:pPr>
            <w:r>
              <w:rPr/>
              <w:t>  </w:t>
            </w:r>
          </w:p>
        </w:tc>
        <w:tc>
          <w:tcPr>
            <w:tcW w:w="2246" w:type="dxa"/>
            <w:tcBorders/>
            <w:vAlign w:val="bottom"/>
          </w:tcPr>
          <w:p>
            <w:pPr>
              <w:pStyle w:val="TableContents"/>
              <w:bidi w:val="0"/>
              <w:spacing w:before="0" w:after="283"/>
              <w:jc w:val="center"/>
              <w:rPr/>
            </w:pPr>
            <w:r>
              <w:rPr/>
              <w:t>112.8%  123.4%</w:t>
            </w:r>
          </w:p>
        </w:tc>
      </w:tr>
      <w:tr>
        <w:trPr/>
        <w:tc>
          <w:tcPr>
            <w:tcW w:w="2654" w:type="dxa"/>
            <w:vMerge w:val="continue"/>
            <w:tcBorders/>
            <w:vAlign w:val="bottom"/>
          </w:tcPr>
          <w:p>
            <w:pPr>
              <w:pStyle w:val="Normal"/>
              <w:bidi w:val="0"/>
              <w:jc w:val="left"/>
              <w:rPr/>
            </w:pPr>
            <w:r>
              <w:rPr/>
            </w:r>
          </w:p>
        </w:tc>
        <w:tc>
          <w:tcPr>
            <w:tcW w:w="203" w:type="dxa"/>
            <w:vMerge w:val="continue"/>
            <w:tcBorders/>
            <w:vAlign w:val="bottom"/>
          </w:tcPr>
          <w:p>
            <w:pPr>
              <w:pStyle w:val="Normal"/>
              <w:bidi w:val="0"/>
              <w:jc w:val="left"/>
              <w:rPr/>
            </w:pPr>
            <w:r>
              <w:rPr/>
            </w:r>
          </w:p>
        </w:tc>
        <w:tc>
          <w:tcPr>
            <w:tcW w:w="2347" w:type="dxa"/>
            <w:vMerge w:val="continue"/>
            <w:tcBorders/>
            <w:vAlign w:val="bottom"/>
          </w:tcPr>
          <w:p>
            <w:pPr>
              <w:pStyle w:val="Normal"/>
              <w:bidi w:val="0"/>
              <w:jc w:val="left"/>
              <w:rPr/>
            </w:pPr>
            <w:r>
              <w:rPr/>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283"/>
              <w:jc w:val="center"/>
              <w:rPr/>
            </w:pPr>
            <w:r>
              <w:rPr/>
              <w:t>Expected term (years)</w:t>
            </w:r>
          </w:p>
        </w:tc>
        <w:tc>
          <w:tcPr>
            <w:tcW w:w="204" w:type="dxa"/>
            <w:tcBorders/>
            <w:vAlign w:val="bottom"/>
          </w:tcPr>
          <w:p>
            <w:pPr>
              <w:pStyle w:val="TableContents"/>
              <w:bidi w:val="0"/>
              <w:spacing w:before="0" w:after="283"/>
              <w:jc w:val="left"/>
              <w:rPr/>
            </w:pPr>
            <w:r>
              <w:rPr/>
              <w:t>  </w:t>
            </w:r>
          </w:p>
        </w:tc>
        <w:tc>
          <w:tcPr>
            <w:tcW w:w="2246" w:type="dxa"/>
            <w:tcBorders/>
            <w:vAlign w:val="bottom"/>
          </w:tcPr>
          <w:p>
            <w:pPr>
              <w:pStyle w:val="TableContents"/>
              <w:bidi w:val="0"/>
              <w:spacing w:before="0" w:after="283"/>
              <w:jc w:val="center"/>
              <w:rPr/>
            </w:pPr>
            <w:r>
              <w:rPr/>
              <w:t>0.3  1.0</w:t>
            </w:r>
          </w:p>
        </w:tc>
      </w:tr>
      <w:tr>
        <w:trPr/>
        <w:tc>
          <w:tcPr>
            <w:tcW w:w="2654" w:type="dxa"/>
            <w:vMerge w:val="continue"/>
            <w:tcBorders/>
            <w:vAlign w:val="bottom"/>
          </w:tcPr>
          <w:p>
            <w:pPr>
              <w:pStyle w:val="Normal"/>
              <w:bidi w:val="0"/>
              <w:jc w:val="left"/>
              <w:rPr/>
            </w:pPr>
            <w:r>
              <w:rPr/>
            </w:r>
          </w:p>
        </w:tc>
        <w:tc>
          <w:tcPr>
            <w:tcW w:w="203" w:type="dxa"/>
            <w:vMerge w:val="continue"/>
            <w:tcBorders/>
            <w:vAlign w:val="bottom"/>
          </w:tcPr>
          <w:p>
            <w:pPr>
              <w:pStyle w:val="Normal"/>
              <w:bidi w:val="0"/>
              <w:jc w:val="left"/>
              <w:rPr/>
            </w:pPr>
            <w:r>
              <w:rPr/>
            </w:r>
          </w:p>
        </w:tc>
        <w:tc>
          <w:tcPr>
            <w:tcW w:w="2347" w:type="dxa"/>
            <w:vMerge w:val="continue"/>
            <w:tcBorders/>
            <w:vAlign w:val="bottom"/>
          </w:tcPr>
          <w:p>
            <w:pPr>
              <w:pStyle w:val="Normal"/>
              <w:bidi w:val="0"/>
              <w:jc w:val="left"/>
              <w:rPr/>
            </w:pPr>
            <w:r>
              <w:rPr/>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283"/>
              <w:jc w:val="center"/>
              <w:rPr/>
            </w:pPr>
            <w:r>
              <w:rPr/>
              <w:t>Expected dividend yield</w:t>
            </w:r>
          </w:p>
        </w:tc>
        <w:tc>
          <w:tcPr>
            <w:tcW w:w="204" w:type="dxa"/>
            <w:tcBorders/>
            <w:vAlign w:val="bottom"/>
          </w:tcPr>
          <w:p>
            <w:pPr>
              <w:pStyle w:val="TableContents"/>
              <w:bidi w:val="0"/>
              <w:spacing w:before="0" w:after="283"/>
              <w:jc w:val="left"/>
              <w:rPr/>
            </w:pPr>
            <w:r>
              <w:rPr/>
              <w:t>  </w:t>
            </w:r>
          </w:p>
        </w:tc>
        <w:tc>
          <w:tcPr>
            <w:tcW w:w="2246" w:type="dxa"/>
            <w:tcBorders/>
            <w:vAlign w:val="bottom"/>
          </w:tcPr>
          <w:p>
            <w:pPr>
              <w:pStyle w:val="TableContents"/>
              <w:bidi w:val="0"/>
              <w:spacing w:before="0" w:after="283"/>
              <w:jc w:val="center"/>
              <w:rPr/>
            </w:pPr>
            <w:r>
              <w:rPr/>
              <w:t>0.0%  0.0%</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2020 Bridge Notes </w:t>
      </w:r>
    </w:p>
    <w:p>
      <w:pPr>
        <w:pStyle w:val="TextBody"/>
        <w:bidi w:val="0"/>
        <w:spacing w:before="120" w:after="0"/>
        <w:jc w:val="left"/>
        <w:rPr>
          <w:rFonts w:ascii="Times New Roman" w:hAnsi="Times New Roman"/>
          <w:sz w:val="20"/>
        </w:rPr>
      </w:pPr>
      <w:r>
        <w:rPr>
          <w:rFonts w:ascii="Times New Roman" w:hAnsi="Times New Roman"/>
          <w:sz w:val="20"/>
        </w:rPr>
        <w:t xml:space="preserve">During 2020, the Company issued $55.9 million in convertible promissory notes (the 2020 Bridge Notes or Notes) and in September 2020, the Notes were settled with shares of the Companys Series A-2 convertible preferred stock (see Note 7). The Company elected the fair value option to account for its Notes issued in 2020. </w:t>
      </w:r>
    </w:p>
    <w:p>
      <w:pPr>
        <w:pStyle w:val="TextBody"/>
        <w:bidi w:val="0"/>
        <w:spacing w:before="240" w:after="0"/>
        <w:jc w:val="left"/>
        <w:rPr>
          <w:rFonts w:ascii="Times New Roman" w:hAnsi="Times New Roman"/>
          <w:sz w:val="20"/>
        </w:rPr>
      </w:pPr>
      <w:r>
        <w:rPr>
          <w:rFonts w:ascii="Times New Roman" w:hAnsi="Times New Roman"/>
          <w:sz w:val="20"/>
        </w:rPr>
        <w:t xml:space="preserve">The Notes were valued using a scenario-based analysis. Two primary scenarios were considered: the qualified financing scenario and the default scenario. The value of the Notes under each scenario were probability weighted to arrive at the estimated fair value for the Notes. The qualified financing scenario considers the value impact of conversion at the stated discount to the issue price if the Company completes a qualifying financing event by raising $50.0 million in an equity financing before the maturity date. The default scenario assumes the qualified financing event does not occur and the Company is in distress, resulting in a partial or no recovery of the Notes. A recovery rate on the Notes in the default scenario considers the Companys net asset value relative to the size of the Note. As of the issuance date of the Notes, the probability of default was calculated such that the probability-weighted value of the Notes was equal to the principal investment amount. The implied probability of default of previously issued Notes is carried forward and used as the probability of default for subsequent valuation dates. It was assumed that the probability of the Notes reaching contractual maturity was not material as of the valuation dates, given the proximity to the qualified financing and the Companys financing needs.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significant unobservable inputs used in the fair value measurement of the Notes during the year ended December 31, 2020, prior to settlement in September 2020: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13"/>
        <w:gridCol w:w="191"/>
        <w:gridCol w:w="2248"/>
        <w:gridCol w:w="191"/>
        <w:gridCol w:w="3198"/>
        <w:gridCol w:w="191"/>
        <w:gridCol w:w="2073"/>
      </w:tblGrid>
      <w:tr>
        <w:trPr/>
        <w:tc>
          <w:tcPr>
            <w:tcW w:w="2113"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3198"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Year Ended December 31, 2020</w:t>
            </w:r>
          </w:p>
        </w:tc>
      </w:tr>
      <w:tr>
        <w:trPr/>
        <w:tc>
          <w:tcPr>
            <w:tcW w:w="211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Fair Value</w:t>
              <w:br/>
              <w:t>Range</w:t>
              <w:br/>
              <w:t>(in millions)</w:t>
            </w:r>
          </w:p>
        </w:tc>
        <w:tc>
          <w:tcPr>
            <w:tcW w:w="191" w:type="dxa"/>
            <w:tcBorders/>
            <w:vAlign w:val="bottom"/>
          </w:tcPr>
          <w:p>
            <w:pPr>
              <w:pStyle w:val="TableContents"/>
              <w:bidi w:val="0"/>
              <w:spacing w:before="0" w:after="283"/>
              <w:jc w:val="left"/>
              <w:rPr/>
            </w:pPr>
            <w:r>
              <w:rPr/>
              <w:t>  </w:t>
            </w:r>
          </w:p>
        </w:tc>
        <w:tc>
          <w:tcPr>
            <w:tcW w:w="224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Valuation Technique</w:t>
            </w:r>
          </w:p>
        </w:tc>
        <w:tc>
          <w:tcPr>
            <w:tcW w:w="191" w:type="dxa"/>
            <w:tcBorders/>
            <w:vAlign w:val="bottom"/>
          </w:tcPr>
          <w:p>
            <w:pPr>
              <w:pStyle w:val="TableContents"/>
              <w:bidi w:val="0"/>
              <w:spacing w:before="0" w:after="283"/>
              <w:jc w:val="left"/>
              <w:rPr/>
            </w:pPr>
            <w:r>
              <w:rPr/>
              <w:t>  </w:t>
            </w:r>
          </w:p>
        </w:tc>
        <w:tc>
          <w:tcPr>
            <w:tcW w:w="31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Unobservable Input</w:t>
            </w:r>
          </w:p>
        </w:tc>
        <w:tc>
          <w:tcPr>
            <w:tcW w:w="191" w:type="dxa"/>
            <w:tcBorders/>
            <w:vAlign w:val="bottom"/>
          </w:tcPr>
          <w:p>
            <w:pPr>
              <w:pStyle w:val="TableContents"/>
              <w:bidi w:val="0"/>
              <w:spacing w:before="0" w:after="283"/>
              <w:jc w:val="left"/>
              <w:rPr/>
            </w:pPr>
            <w:r>
              <w:rPr/>
              <w:t>  </w:t>
            </w:r>
          </w:p>
        </w:tc>
        <w:tc>
          <w:tcPr>
            <w:tcW w:w="20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Input Range</w:t>
            </w:r>
          </w:p>
        </w:tc>
      </w:tr>
      <w:tr>
        <w:trPr/>
        <w:tc>
          <w:tcPr>
            <w:tcW w:w="2113" w:type="dxa"/>
            <w:vMerge w:val="restart"/>
            <w:tcBorders/>
            <w:vAlign w:val="bottom"/>
          </w:tcPr>
          <w:p>
            <w:pPr>
              <w:pStyle w:val="TableContents"/>
              <w:bidi w:val="0"/>
              <w:spacing w:before="0" w:after="283"/>
              <w:jc w:val="center"/>
              <w:rPr/>
            </w:pPr>
            <w:r>
              <w:rPr/>
              <w:t>$55.9 - $58.8  </w:t>
            </w:r>
          </w:p>
        </w:tc>
        <w:tc>
          <w:tcPr>
            <w:tcW w:w="191" w:type="dxa"/>
            <w:vMerge w:val="restart"/>
            <w:tcBorders/>
            <w:vAlign w:val="bottom"/>
          </w:tcPr>
          <w:p>
            <w:pPr>
              <w:pStyle w:val="TableContents"/>
              <w:bidi w:val="0"/>
              <w:spacing w:before="0" w:after="283"/>
              <w:jc w:val="left"/>
              <w:rPr/>
            </w:pPr>
            <w:r>
              <w:rPr/>
              <w:t>  </w:t>
            </w:r>
          </w:p>
        </w:tc>
        <w:tc>
          <w:tcPr>
            <w:tcW w:w="2248" w:type="dxa"/>
            <w:vMerge w:val="restart"/>
            <w:tcBorders/>
            <w:vAlign w:val="bottom"/>
          </w:tcPr>
          <w:p>
            <w:pPr>
              <w:pStyle w:val="TableContents"/>
              <w:bidi w:val="0"/>
              <w:spacing w:before="0" w:after="283"/>
              <w:jc w:val="center"/>
              <w:rPr/>
            </w:pPr>
            <w:r>
              <w:rPr/>
              <w:t>Scenario-based analysis</w:t>
            </w:r>
          </w:p>
        </w:tc>
        <w:tc>
          <w:tcPr>
            <w:tcW w:w="191" w:type="dxa"/>
            <w:tcBorders/>
            <w:vAlign w:val="bottom"/>
          </w:tcPr>
          <w:p>
            <w:pPr>
              <w:pStyle w:val="TableContents"/>
              <w:bidi w:val="0"/>
              <w:spacing w:before="0" w:after="283"/>
              <w:jc w:val="left"/>
              <w:rPr/>
            </w:pPr>
            <w:r>
              <w:rPr/>
              <w:t>  </w:t>
            </w:r>
          </w:p>
        </w:tc>
        <w:tc>
          <w:tcPr>
            <w:tcW w:w="3198" w:type="dxa"/>
            <w:tcBorders/>
            <w:vAlign w:val="bottom"/>
          </w:tcPr>
          <w:p>
            <w:pPr>
              <w:pStyle w:val="TableContents"/>
              <w:bidi w:val="0"/>
              <w:spacing w:before="0" w:after="283"/>
              <w:jc w:val="center"/>
              <w:rPr/>
            </w:pPr>
            <w:r>
              <w:rPr/>
              <w:t>Discount rate</w:t>
            </w:r>
          </w:p>
        </w:tc>
        <w:tc>
          <w:tcPr>
            <w:tcW w:w="191" w:type="dxa"/>
            <w:tcBorders/>
            <w:vAlign w:val="bottom"/>
          </w:tcPr>
          <w:p>
            <w:pPr>
              <w:pStyle w:val="TableContents"/>
              <w:bidi w:val="0"/>
              <w:spacing w:before="0" w:after="283"/>
              <w:jc w:val="left"/>
              <w:rPr/>
            </w:pPr>
            <w:r>
              <w:rPr/>
              <w:t>  </w:t>
            </w:r>
          </w:p>
        </w:tc>
        <w:tc>
          <w:tcPr>
            <w:tcW w:w="2073" w:type="dxa"/>
            <w:tcBorders/>
            <w:vAlign w:val="bottom"/>
          </w:tcPr>
          <w:p>
            <w:pPr>
              <w:pStyle w:val="TableContents"/>
              <w:bidi w:val="0"/>
              <w:spacing w:before="0" w:after="283"/>
              <w:jc w:val="center"/>
              <w:rPr/>
            </w:pPr>
            <w:r>
              <w:rPr/>
              <w:t>11.9%  13.3%</w:t>
            </w:r>
          </w:p>
        </w:tc>
      </w:tr>
      <w:tr>
        <w:trPr/>
        <w:tc>
          <w:tcPr>
            <w:tcW w:w="2113" w:type="dxa"/>
            <w:vMerge w:val="continue"/>
            <w:tcBorders/>
            <w:vAlign w:val="bottom"/>
          </w:tcPr>
          <w:p>
            <w:pPr>
              <w:pStyle w:val="Normal"/>
              <w:bidi w:val="0"/>
              <w:jc w:val="left"/>
              <w:rPr/>
            </w:pPr>
            <w:r>
              <w:rPr/>
            </w:r>
          </w:p>
        </w:tc>
        <w:tc>
          <w:tcPr>
            <w:tcW w:w="191" w:type="dxa"/>
            <w:vMerge w:val="continue"/>
            <w:tcBorders/>
            <w:vAlign w:val="bottom"/>
          </w:tcPr>
          <w:p>
            <w:pPr>
              <w:pStyle w:val="Normal"/>
              <w:bidi w:val="0"/>
              <w:jc w:val="left"/>
              <w:rPr/>
            </w:pPr>
            <w:r>
              <w:rPr/>
            </w:r>
          </w:p>
        </w:tc>
        <w:tc>
          <w:tcPr>
            <w:tcW w:w="2248" w:type="dxa"/>
            <w:vMerge w:val="continue"/>
            <w:tcBorders/>
            <w:vAlign w:val="bottom"/>
          </w:tcPr>
          <w:p>
            <w:pPr>
              <w:pStyle w:val="Normal"/>
              <w:bidi w:val="0"/>
              <w:jc w:val="left"/>
              <w:rPr/>
            </w:pPr>
            <w:r>
              <w:rPr/>
            </w:r>
          </w:p>
        </w:tc>
        <w:tc>
          <w:tcPr>
            <w:tcW w:w="191" w:type="dxa"/>
            <w:tcBorders/>
            <w:vAlign w:val="bottom"/>
          </w:tcPr>
          <w:p>
            <w:pPr>
              <w:pStyle w:val="TableContents"/>
              <w:bidi w:val="0"/>
              <w:spacing w:before="0" w:after="283"/>
              <w:jc w:val="left"/>
              <w:rPr/>
            </w:pPr>
            <w:r>
              <w:rPr/>
              <w:t>  </w:t>
            </w:r>
          </w:p>
        </w:tc>
        <w:tc>
          <w:tcPr>
            <w:tcW w:w="3198" w:type="dxa"/>
            <w:tcBorders/>
            <w:vAlign w:val="bottom"/>
          </w:tcPr>
          <w:p>
            <w:pPr>
              <w:pStyle w:val="TableContents"/>
              <w:bidi w:val="0"/>
              <w:spacing w:before="0" w:after="283"/>
              <w:jc w:val="center"/>
              <w:rPr/>
            </w:pPr>
            <w:r>
              <w:rPr/>
              <w:t>Timing of the scenarios</w:t>
            </w:r>
          </w:p>
        </w:tc>
        <w:tc>
          <w:tcPr>
            <w:tcW w:w="191" w:type="dxa"/>
            <w:tcBorders/>
            <w:vAlign w:val="bottom"/>
          </w:tcPr>
          <w:p>
            <w:pPr>
              <w:pStyle w:val="TableContents"/>
              <w:bidi w:val="0"/>
              <w:spacing w:before="0" w:after="283"/>
              <w:jc w:val="left"/>
              <w:rPr/>
            </w:pPr>
            <w:r>
              <w:rPr/>
              <w:t>  </w:t>
            </w:r>
          </w:p>
        </w:tc>
        <w:tc>
          <w:tcPr>
            <w:tcW w:w="2073" w:type="dxa"/>
            <w:tcBorders/>
            <w:vAlign w:val="bottom"/>
          </w:tcPr>
          <w:p>
            <w:pPr>
              <w:pStyle w:val="TableContents"/>
              <w:bidi w:val="0"/>
              <w:spacing w:before="0" w:after="283"/>
              <w:jc w:val="center"/>
              <w:rPr/>
            </w:pPr>
            <w:r>
              <w:rPr/>
              <w:t>0.0  1.0 years</w:t>
            </w:r>
          </w:p>
        </w:tc>
      </w:tr>
      <w:tr>
        <w:trPr/>
        <w:tc>
          <w:tcPr>
            <w:tcW w:w="2113" w:type="dxa"/>
            <w:vMerge w:val="continue"/>
            <w:tcBorders/>
            <w:vAlign w:val="bottom"/>
          </w:tcPr>
          <w:p>
            <w:pPr>
              <w:pStyle w:val="Normal"/>
              <w:bidi w:val="0"/>
              <w:jc w:val="left"/>
              <w:rPr/>
            </w:pPr>
            <w:r>
              <w:rPr/>
            </w:r>
          </w:p>
        </w:tc>
        <w:tc>
          <w:tcPr>
            <w:tcW w:w="191" w:type="dxa"/>
            <w:vMerge w:val="continue"/>
            <w:tcBorders/>
            <w:vAlign w:val="bottom"/>
          </w:tcPr>
          <w:p>
            <w:pPr>
              <w:pStyle w:val="Normal"/>
              <w:bidi w:val="0"/>
              <w:jc w:val="left"/>
              <w:rPr/>
            </w:pPr>
            <w:r>
              <w:rPr/>
            </w:r>
          </w:p>
        </w:tc>
        <w:tc>
          <w:tcPr>
            <w:tcW w:w="2248" w:type="dxa"/>
            <w:vMerge w:val="continue"/>
            <w:tcBorders/>
            <w:vAlign w:val="bottom"/>
          </w:tcPr>
          <w:p>
            <w:pPr>
              <w:pStyle w:val="Normal"/>
              <w:bidi w:val="0"/>
              <w:jc w:val="left"/>
              <w:rPr/>
            </w:pPr>
            <w:r>
              <w:rPr/>
            </w:r>
          </w:p>
        </w:tc>
        <w:tc>
          <w:tcPr>
            <w:tcW w:w="191" w:type="dxa"/>
            <w:tcBorders/>
            <w:vAlign w:val="bottom"/>
          </w:tcPr>
          <w:p>
            <w:pPr>
              <w:pStyle w:val="TableContents"/>
              <w:bidi w:val="0"/>
              <w:spacing w:before="0" w:after="283"/>
              <w:jc w:val="left"/>
              <w:rPr/>
            </w:pPr>
            <w:r>
              <w:rPr/>
              <w:t>  </w:t>
            </w:r>
          </w:p>
        </w:tc>
        <w:tc>
          <w:tcPr>
            <w:tcW w:w="3198" w:type="dxa"/>
            <w:tcBorders/>
            <w:vAlign w:val="bottom"/>
          </w:tcPr>
          <w:p>
            <w:pPr>
              <w:pStyle w:val="TableContents"/>
              <w:bidi w:val="0"/>
              <w:spacing w:before="0" w:after="283"/>
              <w:jc w:val="center"/>
              <w:rPr/>
            </w:pPr>
            <w:r>
              <w:rPr/>
              <w:t>Probability of qualified financing</w:t>
            </w:r>
          </w:p>
        </w:tc>
        <w:tc>
          <w:tcPr>
            <w:tcW w:w="191" w:type="dxa"/>
            <w:tcBorders/>
            <w:vAlign w:val="bottom"/>
          </w:tcPr>
          <w:p>
            <w:pPr>
              <w:pStyle w:val="TableContents"/>
              <w:bidi w:val="0"/>
              <w:spacing w:before="0" w:after="283"/>
              <w:jc w:val="left"/>
              <w:rPr/>
            </w:pPr>
            <w:r>
              <w:rPr/>
              <w:t>  </w:t>
            </w:r>
          </w:p>
        </w:tc>
        <w:tc>
          <w:tcPr>
            <w:tcW w:w="2073" w:type="dxa"/>
            <w:tcBorders/>
            <w:vAlign w:val="bottom"/>
          </w:tcPr>
          <w:p>
            <w:pPr>
              <w:pStyle w:val="TableContents"/>
              <w:bidi w:val="0"/>
              <w:spacing w:before="0" w:after="283"/>
              <w:jc w:val="center"/>
              <w:rPr/>
            </w:pPr>
            <w:r>
              <w:rPr/>
              <w:t>87.4%  100.0%</w:t>
            </w:r>
          </w:p>
        </w:tc>
      </w:tr>
      <w:tr>
        <w:trPr/>
        <w:tc>
          <w:tcPr>
            <w:tcW w:w="2113" w:type="dxa"/>
            <w:vMerge w:val="continue"/>
            <w:tcBorders/>
            <w:vAlign w:val="bottom"/>
          </w:tcPr>
          <w:p>
            <w:pPr>
              <w:pStyle w:val="Normal"/>
              <w:bidi w:val="0"/>
              <w:jc w:val="left"/>
              <w:rPr/>
            </w:pPr>
            <w:r>
              <w:rPr/>
            </w:r>
          </w:p>
        </w:tc>
        <w:tc>
          <w:tcPr>
            <w:tcW w:w="191" w:type="dxa"/>
            <w:vMerge w:val="continue"/>
            <w:tcBorders/>
            <w:vAlign w:val="bottom"/>
          </w:tcPr>
          <w:p>
            <w:pPr>
              <w:pStyle w:val="Normal"/>
              <w:bidi w:val="0"/>
              <w:jc w:val="left"/>
              <w:rPr/>
            </w:pPr>
            <w:r>
              <w:rPr/>
            </w:r>
          </w:p>
        </w:tc>
        <w:tc>
          <w:tcPr>
            <w:tcW w:w="2248" w:type="dxa"/>
            <w:vMerge w:val="continue"/>
            <w:tcBorders/>
            <w:vAlign w:val="bottom"/>
          </w:tcPr>
          <w:p>
            <w:pPr>
              <w:pStyle w:val="Normal"/>
              <w:bidi w:val="0"/>
              <w:jc w:val="left"/>
              <w:rPr/>
            </w:pPr>
            <w:r>
              <w:rPr/>
            </w:r>
          </w:p>
        </w:tc>
        <w:tc>
          <w:tcPr>
            <w:tcW w:w="191" w:type="dxa"/>
            <w:tcBorders/>
            <w:vAlign w:val="bottom"/>
          </w:tcPr>
          <w:p>
            <w:pPr>
              <w:pStyle w:val="TableContents"/>
              <w:bidi w:val="0"/>
              <w:spacing w:before="0" w:after="283"/>
              <w:jc w:val="left"/>
              <w:rPr/>
            </w:pPr>
            <w:r>
              <w:rPr/>
              <w:t>  </w:t>
            </w:r>
          </w:p>
        </w:tc>
        <w:tc>
          <w:tcPr>
            <w:tcW w:w="3198" w:type="dxa"/>
            <w:tcBorders/>
            <w:vAlign w:val="bottom"/>
          </w:tcPr>
          <w:p>
            <w:pPr>
              <w:pStyle w:val="TableContents"/>
              <w:bidi w:val="0"/>
              <w:spacing w:before="0" w:after="283"/>
              <w:jc w:val="center"/>
              <w:rPr/>
            </w:pPr>
            <w:r>
              <w:rPr/>
              <w:t>Probability of default recover rate</w:t>
            </w:r>
          </w:p>
        </w:tc>
        <w:tc>
          <w:tcPr>
            <w:tcW w:w="191" w:type="dxa"/>
            <w:tcBorders/>
            <w:vAlign w:val="bottom"/>
          </w:tcPr>
          <w:p>
            <w:pPr>
              <w:pStyle w:val="TableContents"/>
              <w:bidi w:val="0"/>
              <w:spacing w:before="0" w:after="283"/>
              <w:jc w:val="left"/>
              <w:rPr/>
            </w:pPr>
            <w:r>
              <w:rPr/>
              <w:t>  </w:t>
            </w:r>
          </w:p>
        </w:tc>
        <w:tc>
          <w:tcPr>
            <w:tcW w:w="2073" w:type="dxa"/>
            <w:tcBorders/>
            <w:vAlign w:val="bottom"/>
          </w:tcPr>
          <w:p>
            <w:pPr>
              <w:pStyle w:val="TableContents"/>
              <w:bidi w:val="0"/>
              <w:spacing w:before="0" w:after="283"/>
              <w:jc w:val="center"/>
              <w:rPr/>
            </w:pPr>
            <w:r>
              <w:rPr/>
              <w:t>12.6%  0.0%</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a summary of the changes in the fair value of the Companys liabilities measured using Level 3 inputs: </w:t>
      </w:r>
    </w:p>
    <w:p>
      <w:pPr>
        <w:pStyle w:val="TextBody"/>
        <w:bidi w:val="0"/>
        <w:spacing w:before="0" w:after="0"/>
        <w:jc w:val="left"/>
        <w:rPr/>
      </w:pPr>
      <w:r>
        <w:rPr/>
        <w:t> </w:t>
      </w:r>
    </w:p>
    <w:tbl>
      <w:tblPr>
        <w:tblW w:w="4400" w:type="pct"/>
        <w:jc w:val="right"/>
        <w:tblInd w:w="0" w:type="dxa"/>
        <w:tblLayout w:type="fixed"/>
        <w:tblCellMar>
          <w:top w:w="0" w:type="dxa"/>
          <w:left w:w="0" w:type="dxa"/>
          <w:bottom w:w="0" w:type="dxa"/>
          <w:right w:w="0" w:type="dxa"/>
        </w:tblCellMar>
      </w:tblPr>
      <w:tblGrid>
        <w:gridCol w:w="5994"/>
        <w:gridCol w:w="563"/>
        <w:gridCol w:w="140"/>
        <w:gridCol w:w="761"/>
        <w:gridCol w:w="155"/>
        <w:gridCol w:w="563"/>
        <w:gridCol w:w="140"/>
        <w:gridCol w:w="505"/>
        <w:gridCol w:w="159"/>
      </w:tblGrid>
      <w:tr>
        <w:trPr/>
        <w:tc>
          <w:tcPr>
            <w:tcW w:w="5994" w:type="dxa"/>
            <w:tcBorders/>
            <w:vAlign w:val="center"/>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94"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226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5994"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9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5"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6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9" w:type="dxa"/>
            <w:tcBorders/>
            <w:vAlign w:val="bottom"/>
          </w:tcPr>
          <w:p>
            <w:pPr>
              <w:pStyle w:val="TableContents"/>
              <w:bidi w:val="0"/>
              <w:spacing w:before="0" w:after="283"/>
              <w:jc w:val="left"/>
              <w:rPr/>
            </w:pPr>
            <w:r>
              <w:rPr/>
              <w:t> </w:t>
            </w:r>
          </w:p>
        </w:tc>
      </w:tr>
      <w:tr>
        <w:trPr/>
        <w:tc>
          <w:tcPr>
            <w:tcW w:w="5994"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2264" w:type="dxa"/>
            <w:gridSpan w:val="6"/>
            <w:tcBorders/>
            <w:vAlign w:val="bottom"/>
          </w:tcPr>
          <w:p>
            <w:pPr>
              <w:pStyle w:val="TableContents"/>
              <w:bidi w:val="0"/>
              <w:spacing w:before="0" w:after="283"/>
              <w:jc w:val="center"/>
              <w:rPr>
                <w:b/>
              </w:rPr>
            </w:pPr>
            <w:r>
              <w:rPr>
                <w:b/>
              </w:rPr>
              <w:t>(in thousands)</w:t>
            </w:r>
          </w:p>
        </w:tc>
        <w:tc>
          <w:tcPr>
            <w:tcW w:w="159" w:type="dxa"/>
            <w:tcBorders/>
            <w:vAlign w:val="bottom"/>
          </w:tcPr>
          <w:p>
            <w:pPr>
              <w:pStyle w:val="TableContents"/>
              <w:bidi w:val="0"/>
              <w:spacing w:before="0" w:after="283"/>
              <w:jc w:val="left"/>
              <w:rPr/>
            </w:pPr>
            <w:r>
              <w:rPr/>
              <w:t> </w:t>
            </w:r>
          </w:p>
        </w:tc>
      </w:tr>
      <w:tr>
        <w:trPr/>
        <w:tc>
          <w:tcPr>
            <w:tcW w:w="59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beginning of period</w:t>
            </w:r>
          </w:p>
        </w:tc>
        <w:tc>
          <w:tcPr>
            <w:tcW w:w="5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05" w:type="dxa"/>
            <w:tcBorders/>
            <w:shd w:fill="CCEEFF" w:val="clear"/>
            <w:vAlign w:val="bottom"/>
          </w:tcPr>
          <w:p>
            <w:pPr>
              <w:pStyle w:val="TableContents"/>
              <w:bidi w:val="0"/>
              <w:spacing w:before="0" w:after="283"/>
              <w:jc w:val="right"/>
              <w:rPr/>
            </w:pPr>
            <w:r>
              <w:rPr/>
              <w:t>  </w:t>
            </w:r>
            <w:r>
              <w:rPr/>
              <w:t>612</w:t>
            </w:r>
          </w:p>
        </w:tc>
        <w:tc>
          <w:tcPr>
            <w:tcW w:w="159" w:type="dxa"/>
            <w:tcBorders/>
            <w:shd w:fill="CCEEFF" w:val="clear"/>
            <w:vAlign w:val="bottom"/>
          </w:tcPr>
          <w:p>
            <w:pPr>
              <w:pStyle w:val="TableContents"/>
              <w:bidi w:val="0"/>
              <w:spacing w:before="0" w:after="283"/>
              <w:jc w:val="left"/>
              <w:rPr/>
            </w:pPr>
            <w:r>
              <w:rPr/>
              <w:t> </w:t>
            </w:r>
          </w:p>
        </w:tc>
      </w:tr>
      <w:tr>
        <w:trPr/>
        <w:tc>
          <w:tcPr>
            <w:tcW w:w="5994"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Preferred Stock Warrants</w:t>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742</w:t>
            </w:r>
          </w:p>
        </w:tc>
        <w:tc>
          <w:tcPr>
            <w:tcW w:w="155"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9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Notes</w:t>
            </w:r>
          </w:p>
        </w:tc>
        <w:tc>
          <w:tcPr>
            <w:tcW w:w="5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55,905</w:t>
            </w:r>
          </w:p>
        </w:tc>
        <w:tc>
          <w:tcPr>
            <w:tcW w:w="155"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994"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Warrants</w:t>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(130</w:t>
            </w:r>
          </w:p>
        </w:tc>
        <w:tc>
          <w:tcPr>
            <w:tcW w:w="155"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right"/>
              <w:rPr/>
            </w:pPr>
            <w:r>
              <w:rPr/>
              <w:t>(53</w:t>
            </w:r>
          </w:p>
        </w:tc>
        <w:tc>
          <w:tcPr>
            <w:tcW w:w="159" w:type="dxa"/>
            <w:tcBorders/>
            <w:vAlign w:val="bottom"/>
          </w:tcPr>
          <w:p>
            <w:pPr>
              <w:pStyle w:val="TableContents"/>
              <w:bidi w:val="0"/>
              <w:spacing w:before="0" w:after="283"/>
              <w:jc w:val="left"/>
              <w:rPr/>
            </w:pPr>
            <w:r>
              <w:rPr/>
              <w:t>) </w:t>
            </w:r>
          </w:p>
        </w:tc>
      </w:tr>
      <w:tr>
        <w:trPr/>
        <w:tc>
          <w:tcPr>
            <w:tcW w:w="59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Notes immediately prior to settlement</w:t>
            </w:r>
          </w:p>
        </w:tc>
        <w:tc>
          <w:tcPr>
            <w:tcW w:w="5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2,864</w:t>
            </w:r>
          </w:p>
        </w:tc>
        <w:tc>
          <w:tcPr>
            <w:tcW w:w="155"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994" w:type="dxa"/>
            <w:tcBorders/>
          </w:tcPr>
          <w:p>
            <w:pPr>
              <w:pStyle w:val="TableContents"/>
              <w:bidi w:val="0"/>
              <w:spacing w:before="0" w:after="0"/>
              <w:jc w:val="left"/>
              <w:rPr>
                <w:rFonts w:ascii="Times New Roman" w:hAnsi="Times New Roman"/>
                <w:sz w:val="20"/>
              </w:rPr>
            </w:pPr>
            <w:r>
              <w:rPr>
                <w:rFonts w:ascii="Times New Roman" w:hAnsi="Times New Roman"/>
                <w:sz w:val="20"/>
              </w:rPr>
              <w:t>Settlement of Notes</w:t>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(58,769</w:t>
            </w:r>
          </w:p>
        </w:tc>
        <w:tc>
          <w:tcPr>
            <w:tcW w:w="155"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994"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Balance at end of period</w:t>
            </w:r>
          </w:p>
        </w:tc>
        <w:tc>
          <w:tcPr>
            <w:tcW w:w="5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612</w:t>
            </w:r>
          </w:p>
        </w:tc>
        <w:tc>
          <w:tcPr>
            <w:tcW w:w="155"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05" w:type="dxa"/>
            <w:tcBorders/>
            <w:shd w:fill="CCEEFF" w:val="clear"/>
            <w:vAlign w:val="bottom"/>
          </w:tcPr>
          <w:p>
            <w:pPr>
              <w:pStyle w:val="TableContents"/>
              <w:bidi w:val="0"/>
              <w:spacing w:before="0" w:after="283"/>
              <w:jc w:val="right"/>
              <w:rPr/>
            </w:pPr>
            <w:r>
              <w:rPr/>
              <w:t>559</w:t>
            </w:r>
          </w:p>
        </w:tc>
        <w:tc>
          <w:tcPr>
            <w:tcW w:w="159" w:type="dxa"/>
            <w:tcBorders/>
            <w:shd w:fill="CCEEFF" w:val="clear"/>
            <w:vAlign w:val="bottom"/>
          </w:tcPr>
          <w:p>
            <w:pPr>
              <w:pStyle w:val="TableContents"/>
              <w:bidi w:val="0"/>
              <w:spacing w:before="0" w:after="283"/>
              <w:jc w:val="left"/>
              <w:rPr/>
            </w:pPr>
            <w:r>
              <w:rPr/>
              <w:t> </w:t>
            </w:r>
          </w:p>
        </w:tc>
      </w:tr>
      <w:tr>
        <w:trPr/>
        <w:tc>
          <w:tcPr>
            <w:tcW w:w="5994"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4.</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and Equipment,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consisted of the following: </w:t>
      </w:r>
    </w:p>
    <w:p>
      <w:pPr>
        <w:pStyle w:val="TextBody"/>
        <w:bidi w:val="0"/>
        <w:spacing w:before="0" w:after="0"/>
        <w:jc w:val="left"/>
        <w:rPr/>
      </w:pPr>
      <w:r>
        <w:rPr/>
        <w:t> </w:t>
      </w:r>
    </w:p>
    <w:tbl>
      <w:tblPr>
        <w:tblW w:w="4400" w:type="pct"/>
        <w:jc w:val="right"/>
        <w:tblInd w:w="0" w:type="dxa"/>
        <w:tblLayout w:type="fixed"/>
        <w:tblCellMar>
          <w:top w:w="0" w:type="dxa"/>
          <w:left w:w="0" w:type="dxa"/>
          <w:bottom w:w="0" w:type="dxa"/>
          <w:right w:w="0" w:type="dxa"/>
        </w:tblCellMar>
      </w:tblPr>
      <w:tblGrid>
        <w:gridCol w:w="6105"/>
        <w:gridCol w:w="427"/>
        <w:gridCol w:w="154"/>
        <w:gridCol w:w="691"/>
        <w:gridCol w:w="163"/>
        <w:gridCol w:w="427"/>
        <w:gridCol w:w="154"/>
        <w:gridCol w:w="691"/>
        <w:gridCol w:w="168"/>
      </w:tblGrid>
      <w:tr>
        <w:trPr/>
        <w:tc>
          <w:tcPr>
            <w:tcW w:w="6105"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10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22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8" w:type="dxa"/>
            <w:tcBorders/>
            <w:vAlign w:val="bottom"/>
          </w:tcPr>
          <w:p>
            <w:pPr>
              <w:pStyle w:val="TableContents"/>
              <w:bidi w:val="0"/>
              <w:spacing w:before="0" w:after="283"/>
              <w:jc w:val="left"/>
              <w:rPr/>
            </w:pPr>
            <w:r>
              <w:rPr/>
              <w:t> </w:t>
            </w:r>
          </w:p>
        </w:tc>
      </w:tr>
      <w:tr>
        <w:trPr/>
        <w:tc>
          <w:tcPr>
            <w:tcW w:w="610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63"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8" w:type="dxa"/>
            <w:tcBorders/>
            <w:vAlign w:val="bottom"/>
          </w:tcPr>
          <w:p>
            <w:pPr>
              <w:pStyle w:val="TableContents"/>
              <w:bidi w:val="0"/>
              <w:spacing w:before="0" w:after="283"/>
              <w:jc w:val="left"/>
              <w:rPr/>
            </w:pPr>
            <w:r>
              <w:rPr/>
              <w:t> </w:t>
            </w:r>
          </w:p>
        </w:tc>
      </w:tr>
      <w:tr>
        <w:trPr/>
        <w:tc>
          <w:tcPr>
            <w:tcW w:w="610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2280" w:type="dxa"/>
            <w:gridSpan w:val="6"/>
            <w:tcBorders/>
            <w:vAlign w:val="bottom"/>
          </w:tcPr>
          <w:p>
            <w:pPr>
              <w:pStyle w:val="TableContents"/>
              <w:bidi w:val="0"/>
              <w:spacing w:before="0" w:after="283"/>
              <w:jc w:val="center"/>
              <w:rPr>
                <w:b/>
              </w:rPr>
            </w:pPr>
            <w:r>
              <w:rPr>
                <w:b/>
              </w:rPr>
              <w:t>(in thousands)</w:t>
            </w:r>
          </w:p>
        </w:tc>
        <w:tc>
          <w:tcPr>
            <w:tcW w:w="168" w:type="dxa"/>
            <w:tcBorders/>
            <w:vAlign w:val="bottom"/>
          </w:tcPr>
          <w:p>
            <w:pPr>
              <w:pStyle w:val="TableContents"/>
              <w:bidi w:val="0"/>
              <w:spacing w:before="0" w:after="283"/>
              <w:jc w:val="left"/>
              <w:rPr/>
            </w:pPr>
            <w:r>
              <w:rPr/>
              <w:t> </w:t>
            </w:r>
          </w:p>
        </w:tc>
      </w:tr>
      <w:tr>
        <w:trPr/>
        <w:tc>
          <w:tcPr>
            <w:tcW w:w="6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Laboratory equipment</w:t>
            </w:r>
          </w:p>
        </w:tc>
        <w:tc>
          <w:tcPr>
            <w:tcW w:w="42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  </w:t>
            </w:r>
            <w:r>
              <w:rPr/>
              <w:t>1,531</w:t>
            </w:r>
          </w:p>
        </w:tc>
        <w:tc>
          <w:tcPr>
            <w:tcW w:w="163"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  </w:t>
            </w:r>
            <w:r>
              <w:rPr/>
              <w:t>1,925</w:t>
            </w:r>
          </w:p>
        </w:tc>
        <w:tc>
          <w:tcPr>
            <w:tcW w:w="168" w:type="dxa"/>
            <w:tcBorders/>
            <w:shd w:fill="CCEEFF" w:val="clear"/>
            <w:vAlign w:val="bottom"/>
          </w:tcPr>
          <w:p>
            <w:pPr>
              <w:pStyle w:val="TableContents"/>
              <w:bidi w:val="0"/>
              <w:spacing w:before="0" w:after="283"/>
              <w:jc w:val="left"/>
              <w:rPr/>
            </w:pPr>
            <w:r>
              <w:rPr/>
              <w:t> </w:t>
            </w:r>
          </w:p>
        </w:tc>
      </w:tr>
      <w:tr>
        <w:trPr/>
        <w:tc>
          <w:tcPr>
            <w:tcW w:w="6105" w:type="dxa"/>
            <w:tcBorders/>
          </w:tcPr>
          <w:p>
            <w:pPr>
              <w:pStyle w:val="TableContents"/>
              <w:bidi w:val="0"/>
              <w:spacing w:before="0" w:after="0"/>
              <w:jc w:val="left"/>
              <w:rPr>
                <w:rFonts w:ascii="Times New Roman" w:hAnsi="Times New Roman"/>
                <w:sz w:val="20"/>
              </w:rPr>
            </w:pPr>
            <w:r>
              <w:rPr>
                <w:rFonts w:ascii="Times New Roman" w:hAnsi="Times New Roman"/>
                <w:sz w:val="20"/>
              </w:rPr>
              <w:t>Computer and software</w:t>
            </w:r>
          </w:p>
        </w:tc>
        <w:tc>
          <w:tcPr>
            <w:tcW w:w="4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107</w:t>
            </w:r>
          </w:p>
        </w:tc>
        <w:tc>
          <w:tcPr>
            <w:tcW w:w="163"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220</w:t>
            </w:r>
          </w:p>
        </w:tc>
        <w:tc>
          <w:tcPr>
            <w:tcW w:w="168" w:type="dxa"/>
            <w:tcBorders/>
            <w:vAlign w:val="bottom"/>
          </w:tcPr>
          <w:p>
            <w:pPr>
              <w:pStyle w:val="TableContents"/>
              <w:bidi w:val="0"/>
              <w:spacing w:before="0" w:after="283"/>
              <w:jc w:val="left"/>
              <w:rPr/>
            </w:pPr>
            <w:r>
              <w:rPr/>
              <w:t> </w:t>
            </w:r>
          </w:p>
        </w:tc>
      </w:tr>
      <w:tr>
        <w:trPr/>
        <w:tc>
          <w:tcPr>
            <w:tcW w:w="6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42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193</w:t>
            </w:r>
          </w:p>
        </w:tc>
        <w:tc>
          <w:tcPr>
            <w:tcW w:w="163"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151</w:t>
            </w:r>
          </w:p>
        </w:tc>
        <w:tc>
          <w:tcPr>
            <w:tcW w:w="168" w:type="dxa"/>
            <w:tcBorders/>
            <w:shd w:fill="CCEEFF" w:val="clear"/>
            <w:vAlign w:val="bottom"/>
          </w:tcPr>
          <w:p>
            <w:pPr>
              <w:pStyle w:val="TableContents"/>
              <w:bidi w:val="0"/>
              <w:spacing w:before="0" w:after="283"/>
              <w:jc w:val="left"/>
              <w:rPr/>
            </w:pPr>
            <w:r>
              <w:rPr/>
              <w:t> </w:t>
            </w:r>
          </w:p>
        </w:tc>
      </w:tr>
      <w:tr>
        <w:trPr/>
        <w:tc>
          <w:tcPr>
            <w:tcW w:w="6105" w:type="dxa"/>
            <w:tcBorders/>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4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207</w:t>
            </w:r>
          </w:p>
        </w:tc>
        <w:tc>
          <w:tcPr>
            <w:tcW w:w="163"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257</w:t>
            </w:r>
          </w:p>
        </w:tc>
        <w:tc>
          <w:tcPr>
            <w:tcW w:w="168" w:type="dxa"/>
            <w:tcBorders/>
            <w:vAlign w:val="bottom"/>
          </w:tcPr>
          <w:p>
            <w:pPr>
              <w:pStyle w:val="TableContents"/>
              <w:bidi w:val="0"/>
              <w:spacing w:before="0" w:after="283"/>
              <w:jc w:val="left"/>
              <w:rPr/>
            </w:pPr>
            <w:r>
              <w:rPr/>
              <w:t> </w:t>
            </w:r>
          </w:p>
        </w:tc>
      </w:tr>
      <w:tr>
        <w:trPr/>
        <w:tc>
          <w:tcPr>
            <w:tcW w:w="6105"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6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property and equipment</w:t>
            </w:r>
          </w:p>
        </w:tc>
        <w:tc>
          <w:tcPr>
            <w:tcW w:w="42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2,038</w:t>
            </w:r>
          </w:p>
        </w:tc>
        <w:tc>
          <w:tcPr>
            <w:tcW w:w="163"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2,553</w:t>
            </w:r>
          </w:p>
        </w:tc>
        <w:tc>
          <w:tcPr>
            <w:tcW w:w="168" w:type="dxa"/>
            <w:tcBorders/>
            <w:shd w:fill="CCEEFF" w:val="clear"/>
            <w:vAlign w:val="bottom"/>
          </w:tcPr>
          <w:p>
            <w:pPr>
              <w:pStyle w:val="TableContents"/>
              <w:bidi w:val="0"/>
              <w:spacing w:before="0" w:after="283"/>
              <w:jc w:val="left"/>
              <w:rPr/>
            </w:pPr>
            <w:r>
              <w:rPr/>
              <w:t> </w:t>
            </w:r>
          </w:p>
        </w:tc>
      </w:tr>
      <w:tr>
        <w:trPr/>
        <w:tc>
          <w:tcPr>
            <w:tcW w:w="6105"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 and amortization</w:t>
            </w:r>
          </w:p>
        </w:tc>
        <w:tc>
          <w:tcPr>
            <w:tcW w:w="4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(105</w:t>
            </w:r>
          </w:p>
        </w:tc>
        <w:tc>
          <w:tcPr>
            <w:tcW w:w="163"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(598</w:t>
            </w:r>
          </w:p>
        </w:tc>
        <w:tc>
          <w:tcPr>
            <w:tcW w:w="168" w:type="dxa"/>
            <w:tcBorders/>
            <w:vAlign w:val="bottom"/>
          </w:tcPr>
          <w:p>
            <w:pPr>
              <w:pStyle w:val="TableContents"/>
              <w:bidi w:val="0"/>
              <w:spacing w:before="0" w:after="283"/>
              <w:jc w:val="left"/>
              <w:rPr/>
            </w:pPr>
            <w:r>
              <w:rPr/>
              <w:t>) </w:t>
            </w:r>
          </w:p>
        </w:tc>
      </w:tr>
      <w:tr>
        <w:trPr/>
        <w:tc>
          <w:tcPr>
            <w:tcW w:w="6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42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215</w:t>
            </w:r>
          </w:p>
        </w:tc>
        <w:tc>
          <w:tcPr>
            <w:tcW w:w="168" w:type="dxa"/>
            <w:tcBorders/>
            <w:shd w:fill="CCEEFF" w:val="clear"/>
            <w:vAlign w:val="bottom"/>
          </w:tcPr>
          <w:p>
            <w:pPr>
              <w:pStyle w:val="TableContents"/>
              <w:bidi w:val="0"/>
              <w:spacing w:before="0" w:after="283"/>
              <w:jc w:val="left"/>
              <w:rPr/>
            </w:pPr>
            <w:r>
              <w:rPr/>
              <w:t> </w:t>
            </w:r>
          </w:p>
        </w:tc>
      </w:tr>
      <w:tr>
        <w:trPr/>
        <w:tc>
          <w:tcPr>
            <w:tcW w:w="6105"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6105" w:type="dxa"/>
            <w:tcBorders/>
          </w:tcPr>
          <w:p>
            <w:pPr>
              <w:pStyle w:val="TableContents"/>
              <w:bidi w:val="0"/>
              <w:spacing w:before="0" w:after="0"/>
              <w:jc w:val="left"/>
              <w:rPr>
                <w:rFonts w:ascii="Times New Roman" w:hAnsi="Times New Roman"/>
                <w:sz w:val="20"/>
              </w:rPr>
            </w:pPr>
            <w:r>
              <w:rPr>
                <w:rFonts w:ascii="Times New Roman" w:hAnsi="Times New Roman"/>
                <w:sz w:val="20"/>
              </w:rPr>
              <w:t>Total property and equipment, net</w:t>
            </w:r>
          </w:p>
        </w:tc>
        <w:tc>
          <w:tcPr>
            <w:tcW w:w="4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1,933</w:t>
            </w:r>
          </w:p>
        </w:tc>
        <w:tc>
          <w:tcPr>
            <w:tcW w:w="163"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2,170</w:t>
            </w:r>
          </w:p>
        </w:tc>
        <w:tc>
          <w:tcPr>
            <w:tcW w:w="168" w:type="dxa"/>
            <w:tcBorders/>
            <w:vAlign w:val="bottom"/>
          </w:tcPr>
          <w:p>
            <w:pPr>
              <w:pStyle w:val="TableContents"/>
              <w:bidi w:val="0"/>
              <w:spacing w:before="0" w:after="283"/>
              <w:jc w:val="left"/>
              <w:rPr/>
            </w:pPr>
            <w:r>
              <w:rPr/>
              <w:t> </w:t>
            </w:r>
          </w:p>
        </w:tc>
      </w:tr>
      <w:tr>
        <w:trPr/>
        <w:tc>
          <w:tcPr>
            <w:tcW w:w="6105"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and amortization expense was $0.1 million and $0.5 million for the years ended December 31, 2020 and 2021, respectively. As of December 31, 2021, all of the Companys property and equipment was located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Balance Sheet Components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Prepaid Expenses and Other Current Assets </w:t>
      </w:r>
    </w:p>
    <w:p>
      <w:pPr>
        <w:pStyle w:val="TextBody"/>
        <w:bidi w:val="0"/>
        <w:spacing w:before="120" w:after="0"/>
        <w:jc w:val="left"/>
        <w:rPr>
          <w:rFonts w:ascii="Times New Roman" w:hAnsi="Times New Roman"/>
          <w:sz w:val="20"/>
        </w:rPr>
      </w:pPr>
      <w:r>
        <w:rPr>
          <w:rFonts w:ascii="Times New Roman" w:hAnsi="Times New Roman"/>
          <w:sz w:val="20"/>
        </w:rPr>
        <w:t xml:space="preserve">Prepaid expenses and other current assets consisted of the following: </w:t>
      </w:r>
    </w:p>
    <w:p>
      <w:pPr>
        <w:pStyle w:val="TextBody"/>
        <w:bidi w:val="0"/>
        <w:spacing w:before="0" w:after="0"/>
        <w:jc w:val="left"/>
        <w:rPr/>
      </w:pPr>
      <w:r>
        <w:rPr/>
        <w:t> </w:t>
      </w:r>
    </w:p>
    <w:tbl>
      <w:tblPr>
        <w:tblW w:w="4400" w:type="pct"/>
        <w:jc w:val="right"/>
        <w:tblInd w:w="0" w:type="dxa"/>
        <w:tblLayout w:type="fixed"/>
        <w:tblCellMar>
          <w:top w:w="0" w:type="dxa"/>
          <w:left w:w="0" w:type="dxa"/>
          <w:bottom w:w="0" w:type="dxa"/>
          <w:right w:w="0" w:type="dxa"/>
        </w:tblCellMar>
      </w:tblPr>
      <w:tblGrid>
        <w:gridCol w:w="6320"/>
        <w:gridCol w:w="437"/>
        <w:gridCol w:w="140"/>
        <w:gridCol w:w="691"/>
        <w:gridCol w:w="60"/>
        <w:gridCol w:w="437"/>
        <w:gridCol w:w="140"/>
        <w:gridCol w:w="691"/>
        <w:gridCol w:w="64"/>
      </w:tblGrid>
      <w:tr>
        <w:trPr/>
        <w:tc>
          <w:tcPr>
            <w:tcW w:w="6320"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32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1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632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4" w:type="dxa"/>
            <w:tcBorders/>
            <w:vAlign w:val="bottom"/>
          </w:tcPr>
          <w:p>
            <w:pPr>
              <w:pStyle w:val="TableContents"/>
              <w:bidi w:val="0"/>
              <w:spacing w:before="0" w:after="283"/>
              <w:jc w:val="left"/>
              <w:rPr/>
            </w:pPr>
            <w:r>
              <w:rPr/>
              <w:t> </w:t>
            </w:r>
          </w:p>
        </w:tc>
      </w:tr>
      <w:tr>
        <w:trPr/>
        <w:tc>
          <w:tcPr>
            <w:tcW w:w="632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159" w:type="dxa"/>
            <w:gridSpan w:val="6"/>
            <w:tcBorders/>
            <w:vAlign w:val="bottom"/>
          </w:tcPr>
          <w:p>
            <w:pPr>
              <w:pStyle w:val="TableContents"/>
              <w:bidi w:val="0"/>
              <w:spacing w:before="0" w:after="283"/>
              <w:jc w:val="center"/>
              <w:rPr>
                <w:b/>
              </w:rPr>
            </w:pPr>
            <w:r>
              <w:rPr>
                <w:b/>
              </w:rPr>
              <w:t>(in thousands)</w:t>
            </w:r>
          </w:p>
        </w:tc>
        <w:tc>
          <w:tcPr>
            <w:tcW w:w="64" w:type="dxa"/>
            <w:tcBorders/>
            <w:vAlign w:val="bottom"/>
          </w:tcPr>
          <w:p>
            <w:pPr>
              <w:pStyle w:val="TableContents"/>
              <w:bidi w:val="0"/>
              <w:spacing w:before="0" w:after="283"/>
              <w:jc w:val="left"/>
              <w:rPr/>
            </w:pPr>
            <w:r>
              <w:rPr/>
              <w:t> </w:t>
            </w:r>
          </w:p>
        </w:tc>
      </w:tr>
      <w:tr>
        <w:trPr/>
        <w:tc>
          <w:tcPr>
            <w:tcW w:w="63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research and development costs ($4.4 million from related party)</w:t>
            </w:r>
          </w:p>
        </w:tc>
        <w:tc>
          <w:tcPr>
            <w:tcW w:w="4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813</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4,836</w:t>
            </w:r>
          </w:p>
        </w:tc>
        <w:tc>
          <w:tcPr>
            <w:tcW w:w="64" w:type="dxa"/>
            <w:tcBorders/>
            <w:shd w:fill="CCEEFF" w:val="clear"/>
            <w:vAlign w:val="bottom"/>
          </w:tcPr>
          <w:p>
            <w:pPr>
              <w:pStyle w:val="TableContents"/>
              <w:bidi w:val="0"/>
              <w:spacing w:before="0" w:after="283"/>
              <w:jc w:val="left"/>
              <w:rPr/>
            </w:pPr>
            <w:r>
              <w:rPr/>
              <w:t> </w:t>
            </w:r>
          </w:p>
        </w:tc>
      </w:tr>
      <w:tr>
        <w:trPr/>
        <w:tc>
          <w:tcPr>
            <w:tcW w:w="6320" w:type="dxa"/>
            <w:tcBorders/>
          </w:tcPr>
          <w:p>
            <w:pPr>
              <w:pStyle w:val="TableContents"/>
              <w:bidi w:val="0"/>
              <w:spacing w:before="0" w:after="0"/>
              <w:jc w:val="left"/>
              <w:rPr>
                <w:rFonts w:ascii="Times New Roman" w:hAnsi="Times New Roman"/>
                <w:sz w:val="20"/>
              </w:rPr>
            </w:pPr>
            <w:r>
              <w:rPr>
                <w:rFonts w:ascii="Times New Roman" w:hAnsi="Times New Roman"/>
                <w:sz w:val="20"/>
              </w:rPr>
              <w:t>Prepaid other</w:t>
            </w:r>
          </w:p>
        </w:tc>
        <w:tc>
          <w:tcPr>
            <w:tcW w:w="4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778</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1,195</w:t>
            </w:r>
          </w:p>
        </w:tc>
        <w:tc>
          <w:tcPr>
            <w:tcW w:w="64" w:type="dxa"/>
            <w:tcBorders/>
            <w:vAlign w:val="bottom"/>
          </w:tcPr>
          <w:p>
            <w:pPr>
              <w:pStyle w:val="TableContents"/>
              <w:bidi w:val="0"/>
              <w:spacing w:before="0" w:after="283"/>
              <w:jc w:val="left"/>
              <w:rPr/>
            </w:pPr>
            <w:r>
              <w:rPr/>
              <w:t> </w:t>
            </w:r>
          </w:p>
        </w:tc>
      </w:tr>
      <w:tr>
        <w:trPr/>
        <w:tc>
          <w:tcPr>
            <w:tcW w:w="63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4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148</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200</w:t>
            </w:r>
          </w:p>
        </w:tc>
        <w:tc>
          <w:tcPr>
            <w:tcW w:w="64" w:type="dxa"/>
            <w:tcBorders/>
            <w:shd w:fill="CCEEFF" w:val="clear"/>
            <w:vAlign w:val="bottom"/>
          </w:tcPr>
          <w:p>
            <w:pPr>
              <w:pStyle w:val="TableContents"/>
              <w:bidi w:val="0"/>
              <w:spacing w:before="0" w:after="283"/>
              <w:jc w:val="left"/>
              <w:rPr/>
            </w:pPr>
            <w:r>
              <w:rPr/>
              <w:t> </w:t>
            </w:r>
          </w:p>
        </w:tc>
      </w:tr>
      <w:tr>
        <w:trPr/>
        <w:tc>
          <w:tcPr>
            <w:tcW w:w="6320"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320" w:type="dxa"/>
            <w:tcBorders/>
          </w:tcPr>
          <w:p>
            <w:pPr>
              <w:pStyle w:val="TableContents"/>
              <w:bidi w:val="0"/>
              <w:spacing w:before="0" w:after="0"/>
              <w:jc w:val="left"/>
              <w:rPr>
                <w:rFonts w:ascii="Times New Roman" w:hAnsi="Times New Roman"/>
                <w:sz w:val="20"/>
              </w:rPr>
            </w:pPr>
            <w:r>
              <w:rPr>
                <w:rFonts w:ascii="Times New Roman" w:hAnsi="Times New Roman"/>
                <w:sz w:val="20"/>
              </w:rPr>
              <w:t>Total prepaid expenses and other current assets</w:t>
            </w:r>
          </w:p>
        </w:tc>
        <w:tc>
          <w:tcPr>
            <w:tcW w:w="4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  </w:t>
            </w:r>
            <w:r>
              <w:rPr/>
              <w:t>1,739</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  </w:t>
            </w:r>
            <w:r>
              <w:rPr/>
              <w:t>6,231</w:t>
            </w:r>
          </w:p>
        </w:tc>
        <w:tc>
          <w:tcPr>
            <w:tcW w:w="64" w:type="dxa"/>
            <w:tcBorders/>
            <w:vAlign w:val="bottom"/>
          </w:tcPr>
          <w:p>
            <w:pPr>
              <w:pStyle w:val="TableContents"/>
              <w:bidi w:val="0"/>
              <w:spacing w:before="0" w:after="283"/>
              <w:jc w:val="left"/>
              <w:rPr/>
            </w:pPr>
            <w:r>
              <w:rPr/>
              <w:t> </w:t>
            </w:r>
          </w:p>
        </w:tc>
      </w:tr>
      <w:tr>
        <w:trPr/>
        <w:tc>
          <w:tcPr>
            <w:tcW w:w="6320"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 Assets </w:t>
      </w:r>
    </w:p>
    <w:p>
      <w:pPr>
        <w:pStyle w:val="TextBody"/>
        <w:bidi w:val="0"/>
        <w:spacing w:before="120" w:after="0"/>
        <w:jc w:val="left"/>
        <w:rPr>
          <w:rFonts w:ascii="Times New Roman" w:hAnsi="Times New Roman"/>
          <w:sz w:val="20"/>
        </w:rPr>
      </w:pPr>
      <w:r>
        <w:rPr>
          <w:rFonts w:ascii="Times New Roman" w:hAnsi="Times New Roman"/>
          <w:sz w:val="20"/>
        </w:rPr>
        <w:t xml:space="preserve">Other assets consisted of the following: </w:t>
      </w:r>
    </w:p>
    <w:p>
      <w:pPr>
        <w:pStyle w:val="TextBody"/>
        <w:bidi w:val="0"/>
        <w:spacing w:before="0" w:after="0"/>
        <w:jc w:val="left"/>
        <w:rPr/>
      </w:pPr>
      <w:r>
        <w:rPr/>
        <w:t> </w:t>
      </w:r>
    </w:p>
    <w:tbl>
      <w:tblPr>
        <w:tblW w:w="4400" w:type="pct"/>
        <w:jc w:val="right"/>
        <w:tblInd w:w="0" w:type="dxa"/>
        <w:tblLayout w:type="fixed"/>
        <w:tblCellMar>
          <w:top w:w="0" w:type="dxa"/>
          <w:left w:w="0" w:type="dxa"/>
          <w:bottom w:w="0" w:type="dxa"/>
          <w:right w:w="0" w:type="dxa"/>
        </w:tblCellMar>
      </w:tblPr>
      <w:tblGrid>
        <w:gridCol w:w="6264"/>
        <w:gridCol w:w="513"/>
        <w:gridCol w:w="153"/>
        <w:gridCol w:w="505"/>
        <w:gridCol w:w="60"/>
        <w:gridCol w:w="513"/>
        <w:gridCol w:w="153"/>
        <w:gridCol w:w="755"/>
        <w:gridCol w:w="64"/>
      </w:tblGrid>
      <w:tr>
        <w:trPr/>
        <w:tc>
          <w:tcPr>
            <w:tcW w:w="6264"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264"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21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6264"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6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0"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4" w:type="dxa"/>
            <w:tcBorders/>
            <w:vAlign w:val="bottom"/>
          </w:tcPr>
          <w:p>
            <w:pPr>
              <w:pStyle w:val="TableContents"/>
              <w:bidi w:val="0"/>
              <w:spacing w:before="0" w:after="283"/>
              <w:jc w:val="left"/>
              <w:rPr/>
            </w:pPr>
            <w:r>
              <w:rPr/>
              <w:t> </w:t>
            </w:r>
          </w:p>
        </w:tc>
      </w:tr>
      <w:tr>
        <w:trPr/>
        <w:tc>
          <w:tcPr>
            <w:tcW w:w="6264"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2139" w:type="dxa"/>
            <w:gridSpan w:val="6"/>
            <w:tcBorders/>
            <w:vAlign w:val="bottom"/>
          </w:tcPr>
          <w:p>
            <w:pPr>
              <w:pStyle w:val="TableContents"/>
              <w:bidi w:val="0"/>
              <w:spacing w:before="0" w:after="283"/>
              <w:jc w:val="center"/>
              <w:rPr>
                <w:b/>
              </w:rPr>
            </w:pPr>
            <w:r>
              <w:rPr>
                <w:b/>
              </w:rPr>
              <w:t>(in thousands)</w:t>
            </w:r>
          </w:p>
        </w:tc>
        <w:tc>
          <w:tcPr>
            <w:tcW w:w="64" w:type="dxa"/>
            <w:tcBorders/>
            <w:vAlign w:val="bottom"/>
          </w:tcPr>
          <w:p>
            <w:pPr>
              <w:pStyle w:val="TableContents"/>
              <w:bidi w:val="0"/>
              <w:spacing w:before="0" w:after="283"/>
              <w:jc w:val="left"/>
              <w:rPr/>
            </w:pPr>
            <w:r>
              <w:rPr/>
              <w:t> </w:t>
            </w:r>
          </w:p>
        </w:tc>
      </w:tr>
      <w:tr>
        <w:trPr/>
        <w:tc>
          <w:tcPr>
            <w:tcW w:w="6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prepaid research and development costs from related party</w:t>
            </w:r>
          </w:p>
        </w:tc>
        <w:tc>
          <w:tcPr>
            <w:tcW w:w="51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5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7,623</w:t>
            </w:r>
          </w:p>
        </w:tc>
        <w:tc>
          <w:tcPr>
            <w:tcW w:w="64" w:type="dxa"/>
            <w:tcBorders/>
            <w:shd w:fill="CCEEFF" w:val="clear"/>
            <w:vAlign w:val="bottom"/>
          </w:tcPr>
          <w:p>
            <w:pPr>
              <w:pStyle w:val="TableContents"/>
              <w:bidi w:val="0"/>
              <w:spacing w:before="0" w:after="283"/>
              <w:jc w:val="left"/>
              <w:rPr/>
            </w:pPr>
            <w:r>
              <w:rPr/>
              <w:t> </w:t>
            </w:r>
          </w:p>
        </w:tc>
      </w:tr>
      <w:tr>
        <w:trPr/>
        <w:tc>
          <w:tcPr>
            <w:tcW w:w="6264" w:type="dxa"/>
            <w:tcBorders/>
          </w:tcPr>
          <w:p>
            <w:pPr>
              <w:pStyle w:val="TableContents"/>
              <w:bidi w:val="0"/>
              <w:spacing w:before="0" w:after="0"/>
              <w:jc w:val="left"/>
              <w:rPr>
                <w:rFonts w:ascii="Times New Roman" w:hAnsi="Times New Roman"/>
                <w:sz w:val="20"/>
              </w:rPr>
            </w:pPr>
            <w:r>
              <w:rPr>
                <w:rFonts w:ascii="Times New Roman" w:hAnsi="Times New Roman"/>
                <w:sz w:val="20"/>
              </w:rPr>
              <w:t>Deferred offering costs</w:t>
            </w:r>
          </w:p>
        </w:tc>
        <w:tc>
          <w:tcPr>
            <w:tcW w:w="51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1,829</w:t>
            </w:r>
          </w:p>
        </w:tc>
        <w:tc>
          <w:tcPr>
            <w:tcW w:w="64" w:type="dxa"/>
            <w:tcBorders/>
            <w:vAlign w:val="bottom"/>
          </w:tcPr>
          <w:p>
            <w:pPr>
              <w:pStyle w:val="TableContents"/>
              <w:bidi w:val="0"/>
              <w:spacing w:before="0" w:after="283"/>
              <w:jc w:val="left"/>
              <w:rPr/>
            </w:pPr>
            <w:r>
              <w:rPr/>
              <w:t> </w:t>
            </w:r>
          </w:p>
        </w:tc>
      </w:tr>
      <w:tr>
        <w:trPr/>
        <w:tc>
          <w:tcPr>
            <w:tcW w:w="6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51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right"/>
              <w:rPr/>
            </w:pPr>
            <w:r>
              <w:rPr/>
              <w:t>183</w:t>
            </w:r>
          </w:p>
        </w:tc>
        <w:tc>
          <w:tcPr>
            <w:tcW w:w="60"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201</w:t>
            </w:r>
          </w:p>
        </w:tc>
        <w:tc>
          <w:tcPr>
            <w:tcW w:w="64" w:type="dxa"/>
            <w:tcBorders/>
            <w:shd w:fill="CCEEFF" w:val="clear"/>
            <w:vAlign w:val="bottom"/>
          </w:tcPr>
          <w:p>
            <w:pPr>
              <w:pStyle w:val="TableContents"/>
              <w:bidi w:val="0"/>
              <w:spacing w:before="0" w:after="283"/>
              <w:jc w:val="left"/>
              <w:rPr/>
            </w:pPr>
            <w:r>
              <w:rPr/>
              <w:t> </w:t>
            </w:r>
          </w:p>
        </w:tc>
      </w:tr>
      <w:tr>
        <w:trPr/>
        <w:tc>
          <w:tcPr>
            <w:tcW w:w="626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5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264"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assets</w:t>
            </w:r>
          </w:p>
        </w:tc>
        <w:tc>
          <w:tcPr>
            <w:tcW w:w="51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505" w:type="dxa"/>
            <w:tcBorders/>
            <w:vAlign w:val="bottom"/>
          </w:tcPr>
          <w:p>
            <w:pPr>
              <w:pStyle w:val="TableContents"/>
              <w:bidi w:val="0"/>
              <w:spacing w:before="0" w:after="283"/>
              <w:jc w:val="right"/>
              <w:rPr/>
            </w:pPr>
            <w:r>
              <w:rPr/>
              <w:t>  </w:t>
            </w:r>
            <w:r>
              <w:rPr/>
              <w:t>183</w:t>
            </w:r>
          </w:p>
        </w:tc>
        <w:tc>
          <w:tcPr>
            <w:tcW w:w="60"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  </w:t>
            </w:r>
            <w:r>
              <w:rPr/>
              <w:t>9,653</w:t>
            </w:r>
          </w:p>
        </w:tc>
        <w:tc>
          <w:tcPr>
            <w:tcW w:w="64" w:type="dxa"/>
            <w:tcBorders/>
            <w:vAlign w:val="bottom"/>
          </w:tcPr>
          <w:p>
            <w:pPr>
              <w:pStyle w:val="TableContents"/>
              <w:bidi w:val="0"/>
              <w:spacing w:before="0" w:after="283"/>
              <w:jc w:val="left"/>
              <w:rPr/>
            </w:pPr>
            <w:r>
              <w:rPr/>
              <w:t> </w:t>
            </w:r>
          </w:p>
        </w:tc>
      </w:tr>
      <w:tr>
        <w:trPr/>
        <w:tc>
          <w:tcPr>
            <w:tcW w:w="626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5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Accrued Liabilities </w:t>
      </w:r>
    </w:p>
    <w:p>
      <w:pPr>
        <w:pStyle w:val="TextBody"/>
        <w:bidi w:val="0"/>
        <w:spacing w:before="120" w:after="0"/>
        <w:jc w:val="left"/>
        <w:rPr>
          <w:rFonts w:ascii="Times New Roman" w:hAnsi="Times New Roman"/>
          <w:sz w:val="20"/>
        </w:rPr>
      </w:pPr>
      <w:r>
        <w:rPr>
          <w:rFonts w:ascii="Times New Roman" w:hAnsi="Times New Roman"/>
          <w:sz w:val="20"/>
        </w:rPr>
        <w:t xml:space="preserve">Accrued liabilities consisted of the following: </w:t>
      </w:r>
    </w:p>
    <w:p>
      <w:pPr>
        <w:pStyle w:val="TextBody"/>
        <w:bidi w:val="0"/>
        <w:spacing w:before="0" w:after="0"/>
        <w:jc w:val="left"/>
        <w:rPr/>
      </w:pPr>
      <w:r>
        <w:rPr/>
        <w:t> </w:t>
      </w:r>
    </w:p>
    <w:tbl>
      <w:tblPr>
        <w:tblW w:w="4400" w:type="pct"/>
        <w:jc w:val="right"/>
        <w:tblInd w:w="0" w:type="dxa"/>
        <w:tblLayout w:type="fixed"/>
        <w:tblCellMar>
          <w:top w:w="0" w:type="dxa"/>
          <w:left w:w="0" w:type="dxa"/>
          <w:bottom w:w="0" w:type="dxa"/>
          <w:right w:w="0" w:type="dxa"/>
        </w:tblCellMar>
      </w:tblPr>
      <w:tblGrid>
        <w:gridCol w:w="6325"/>
        <w:gridCol w:w="356"/>
        <w:gridCol w:w="142"/>
        <w:gridCol w:w="701"/>
        <w:gridCol w:w="60"/>
        <w:gridCol w:w="356"/>
        <w:gridCol w:w="142"/>
        <w:gridCol w:w="834"/>
        <w:gridCol w:w="64"/>
      </w:tblGrid>
      <w:tr>
        <w:trPr/>
        <w:tc>
          <w:tcPr>
            <w:tcW w:w="6325"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32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632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4" w:type="dxa"/>
            <w:tcBorders/>
            <w:vAlign w:val="bottom"/>
          </w:tcPr>
          <w:p>
            <w:pPr>
              <w:pStyle w:val="TableContents"/>
              <w:bidi w:val="0"/>
              <w:spacing w:before="0" w:after="283"/>
              <w:jc w:val="left"/>
              <w:rPr/>
            </w:pPr>
            <w:r>
              <w:rPr/>
              <w:t> </w:t>
            </w:r>
          </w:p>
        </w:tc>
      </w:tr>
      <w:tr>
        <w:trPr/>
        <w:tc>
          <w:tcPr>
            <w:tcW w:w="632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235" w:type="dxa"/>
            <w:gridSpan w:val="6"/>
            <w:tcBorders/>
            <w:vAlign w:val="bottom"/>
          </w:tcPr>
          <w:p>
            <w:pPr>
              <w:pStyle w:val="TableContents"/>
              <w:bidi w:val="0"/>
              <w:spacing w:before="0" w:after="283"/>
              <w:jc w:val="center"/>
              <w:rPr>
                <w:b/>
              </w:rPr>
            </w:pPr>
            <w:r>
              <w:rPr>
                <w:b/>
              </w:rPr>
              <w:t>(in thousands)</w:t>
            </w:r>
          </w:p>
        </w:tc>
        <w:tc>
          <w:tcPr>
            <w:tcW w:w="64" w:type="dxa"/>
            <w:tcBorders/>
            <w:vAlign w:val="bottom"/>
          </w:tcPr>
          <w:p>
            <w:pPr>
              <w:pStyle w:val="TableContents"/>
              <w:bidi w:val="0"/>
              <w:spacing w:before="0" w:after="283"/>
              <w:jc w:val="left"/>
              <w:rPr/>
            </w:pPr>
            <w:r>
              <w:rPr/>
              <w:t> </w:t>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services due to related party</w:t>
            </w:r>
          </w:p>
        </w:tc>
        <w:tc>
          <w:tcPr>
            <w:tcW w:w="35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34" w:type="dxa"/>
            <w:tcBorders/>
            <w:shd w:fill="CCEEFF" w:val="clear"/>
            <w:vAlign w:val="bottom"/>
          </w:tcPr>
          <w:p>
            <w:pPr>
              <w:pStyle w:val="TableContents"/>
              <w:bidi w:val="0"/>
              <w:spacing w:before="0" w:after="283"/>
              <w:jc w:val="right"/>
              <w:rPr/>
            </w:pPr>
            <w:r>
              <w:rPr/>
              <w:t>6,250</w:t>
            </w:r>
          </w:p>
        </w:tc>
        <w:tc>
          <w:tcPr>
            <w:tcW w:w="64" w:type="dxa"/>
            <w:tcBorders/>
            <w:shd w:fill="CCEEFF" w:val="clear"/>
            <w:vAlign w:val="bottom"/>
          </w:tcPr>
          <w:p>
            <w:pPr>
              <w:pStyle w:val="TableContents"/>
              <w:bidi w:val="0"/>
              <w:spacing w:before="0" w:after="283"/>
              <w:jc w:val="left"/>
              <w:rPr/>
            </w:pPr>
            <w:r>
              <w:rPr/>
              <w:t> </w:t>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and benefits</w:t>
            </w:r>
          </w:p>
        </w:tc>
        <w:tc>
          <w:tcPr>
            <w:tcW w:w="35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3,515</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6,646</w:t>
            </w:r>
          </w:p>
        </w:tc>
        <w:tc>
          <w:tcPr>
            <w:tcW w:w="64" w:type="dxa"/>
            <w:tcBorders/>
            <w:vAlign w:val="bottom"/>
          </w:tcPr>
          <w:p>
            <w:pPr>
              <w:pStyle w:val="TableContents"/>
              <w:bidi w:val="0"/>
              <w:spacing w:before="0" w:after="283"/>
              <w:jc w:val="left"/>
              <w:rPr/>
            </w:pPr>
            <w:r>
              <w:rPr/>
              <w:t> </w:t>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clinical trial and preclinical costs</w:t>
            </w:r>
          </w:p>
        </w:tc>
        <w:tc>
          <w:tcPr>
            <w:tcW w:w="35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1,167</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2,920</w:t>
            </w:r>
          </w:p>
        </w:tc>
        <w:tc>
          <w:tcPr>
            <w:tcW w:w="64" w:type="dxa"/>
            <w:tcBorders/>
            <w:shd w:fill="CCEEFF" w:val="clear"/>
            <w:vAlign w:val="bottom"/>
          </w:tcPr>
          <w:p>
            <w:pPr>
              <w:pStyle w:val="TableContents"/>
              <w:bidi w:val="0"/>
              <w:spacing w:before="0" w:after="283"/>
              <w:jc w:val="left"/>
              <w:rPr/>
            </w:pPr>
            <w:r>
              <w:rPr/>
              <w:t> </w:t>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35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444</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2,523</w:t>
            </w:r>
          </w:p>
        </w:tc>
        <w:tc>
          <w:tcPr>
            <w:tcW w:w="64" w:type="dxa"/>
            <w:tcBorders/>
            <w:vAlign w:val="bottom"/>
          </w:tcPr>
          <w:p>
            <w:pPr>
              <w:pStyle w:val="TableContents"/>
              <w:bidi w:val="0"/>
              <w:spacing w:before="0" w:after="283"/>
              <w:jc w:val="left"/>
              <w:rPr/>
            </w:pPr>
            <w:r>
              <w:rPr/>
              <w:t> </w:t>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5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470</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757</w:t>
            </w:r>
          </w:p>
        </w:tc>
        <w:tc>
          <w:tcPr>
            <w:tcW w:w="64" w:type="dxa"/>
            <w:tcBorders/>
            <w:shd w:fill="CCEEFF" w:val="clear"/>
            <w:vAlign w:val="bottom"/>
          </w:tcPr>
          <w:p>
            <w:pPr>
              <w:pStyle w:val="TableContents"/>
              <w:bidi w:val="0"/>
              <w:spacing w:before="0" w:after="283"/>
              <w:jc w:val="left"/>
              <w:rPr/>
            </w:pPr>
            <w:r>
              <w:rPr/>
              <w:t> </w:t>
            </w:r>
          </w:p>
        </w:tc>
      </w:tr>
      <w:tr>
        <w:trPr/>
        <w:tc>
          <w:tcPr>
            <w:tcW w:w="6325"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liabilities</w:t>
            </w:r>
          </w:p>
        </w:tc>
        <w:tc>
          <w:tcPr>
            <w:tcW w:w="35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01" w:type="dxa"/>
            <w:tcBorders/>
            <w:vAlign w:val="bottom"/>
          </w:tcPr>
          <w:p>
            <w:pPr>
              <w:pStyle w:val="TableContents"/>
              <w:bidi w:val="0"/>
              <w:spacing w:before="0" w:after="283"/>
              <w:jc w:val="right"/>
              <w:rPr/>
            </w:pPr>
            <w:r>
              <w:rPr/>
              <w:t>  </w:t>
            </w:r>
            <w:r>
              <w:rPr/>
              <w:t>5,596</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34" w:type="dxa"/>
            <w:tcBorders/>
            <w:vAlign w:val="bottom"/>
          </w:tcPr>
          <w:p>
            <w:pPr>
              <w:pStyle w:val="TableContents"/>
              <w:bidi w:val="0"/>
              <w:spacing w:before="0" w:after="283"/>
              <w:jc w:val="right"/>
              <w:rPr/>
            </w:pPr>
            <w:r>
              <w:rPr/>
              <w:t>  </w:t>
            </w:r>
            <w:r>
              <w:rPr/>
              <w:t>19,096</w:t>
            </w:r>
          </w:p>
        </w:tc>
        <w:tc>
          <w:tcPr>
            <w:tcW w:w="64" w:type="dxa"/>
            <w:tcBorders/>
            <w:vAlign w:val="bottom"/>
          </w:tcPr>
          <w:p>
            <w:pPr>
              <w:pStyle w:val="TableContents"/>
              <w:bidi w:val="0"/>
              <w:spacing w:before="0" w:after="283"/>
              <w:jc w:val="left"/>
              <w:rPr/>
            </w:pPr>
            <w:r>
              <w:rPr/>
              <w:t> </w:t>
            </w:r>
          </w:p>
        </w:tc>
      </w:tr>
      <w:tr>
        <w:trPr/>
        <w:tc>
          <w:tcPr>
            <w:tcW w:w="6325"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7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83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Acquisitions of Assets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BlackThorn Therapeutics, Inc. </w:t>
      </w:r>
    </w:p>
    <w:p>
      <w:pPr>
        <w:pStyle w:val="TextBody"/>
        <w:bidi w:val="0"/>
        <w:spacing w:before="120" w:after="0"/>
        <w:jc w:val="left"/>
        <w:rPr>
          <w:rFonts w:ascii="Times New Roman" w:hAnsi="Times New Roman"/>
          <w:sz w:val="20"/>
        </w:rPr>
      </w:pPr>
      <w:r>
        <w:rPr>
          <w:rFonts w:ascii="Times New Roman" w:hAnsi="Times New Roman"/>
          <w:sz w:val="20"/>
        </w:rPr>
        <w:t xml:space="preserve">In June 2020, the Company entered into an agreement and plan of merger (BlackThorn Merger Agreement) to acquire all of the equity interests of BlackThorn Therapeutics, Inc. (BlackThorn), a privately held company. The acquisition of BlackThorn allowed the Company to expand its program pipeline by adding two clinical-stage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research and development programs. The first was focused on the treatment of major depressive disorder using an antagonist of the Kappa Opioid Receptor (NMRA-140) and the second was focused on the treatment of anxiety disorders using an antagonist of the Vasopressin 1a Receptor (NMRA-511). Both NMRA-140 and NMRA-511 were exclusively licensed to BlackThorn by The Scripps Research Institute (TSRI). Through the acquisition of BlackThorn, the Company also gained access to a cloud-based computational psychiatry and data platform that was being developed to support drug target identification, patient stratification and objective clinical trial endpoints (the BlackThorn Data Science IPR&amp;D Assets). The BlackThorn Merger Agreement became effective on September 8, 2020, concurrent with the initial closing of the Companys Series A-2 convertible preferred stock financing (the Closing Date). Between April and August 2020, the Company also purchased promissory notes issued by BlackThorn in the amount of $11.0 million. The promissory notes had a maturity date of September 2020 and carried an interest rate of 5.0%. The promissory notes were collateralized by substantially all of BlackThorns assets. </w:t>
      </w:r>
    </w:p>
    <w:p>
      <w:pPr>
        <w:pStyle w:val="TextBody"/>
        <w:bidi w:val="0"/>
        <w:spacing w:before="240" w:after="0"/>
        <w:jc w:val="left"/>
        <w:rPr>
          <w:rFonts w:ascii="Times New Roman" w:hAnsi="Times New Roman"/>
          <w:sz w:val="20"/>
        </w:rPr>
      </w:pPr>
      <w:r>
        <w:rPr>
          <w:rFonts w:ascii="Times New Roman" w:hAnsi="Times New Roman"/>
          <w:sz w:val="20"/>
        </w:rPr>
        <w:t xml:space="preserve">The total upfront consideration transferred to stockholders of BlackThorn consisted of (i) an aggregate of 45,178,495 shares of the Companys Series A-1 convertible preferred stock, with an acquisition date fair value of $36.6 million, (ii) Preferred Stock Warrants to purchase 2,292,672 shares of the Companys Series A-1 convertible preferred stock, with an acquisition date fair value of $0.7 million, and (iii) cash of $0.1 million. The Company also agreed to settle $11.0 million in principal plus accrued interest due from BlackThorn related to the promissory notes. As part of the acquisition, the Company incurred transaction costs of $1.6 million.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Companys Series A-1 convertible preferred stock of $0.81 per share was determined using an option pricing model (OPM) framework and utilized the back-solve method for inferring and allocating the equity value predicated on the Companys Series A-2 convertible preferred stock financing and the price of $1.00 per share paid by third-party investors. The shares of Series A-1 convertible preferred stock issued to the BlackThorn stockholders generally have the same rights, preferences and privileges as the Series A-2 convertible preferred shares issued to the third-party investors, other than they are junior in liquidation preference and have more limited voting rights (see Note 11). The fair value of the Preferred Stock Warrants was estimated based on a Black-Scholes option pricing model (see Note 3). The promissory notes were determined to be at fair value due to the short period of time they were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concluded that BlackThorn was not a VIE and that substantially all of the fair value of the gross assets of BlackThorn that were acquired was concentrated in a single identifiable group of similar IPR&amp;D assets. These IPR&amp;D assets were comprised of the two clinical stage research and development programs involving NMRA-140 and NMRA-511, as well the BlackThorn Data Science IPR&amp;D Assets. Accordingly, the acquired set of assets and activities did not meet the definition of a business and the transaction was accounted for as an acquisition of assets. As a result, the fair value of the upfront consideration transferred, which included the fair value of the settlement of the promissory notes, and transaction costs incurred were allocated to the identifiable tangible and intangible assets acquired and liabilities assumed based on their relative fair values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19"/>
        <w:gridCol w:w="474"/>
        <w:gridCol w:w="141"/>
        <w:gridCol w:w="942"/>
        <w:gridCol w:w="63"/>
      </w:tblGrid>
      <w:tr>
        <w:trPr/>
        <w:tc>
          <w:tcPr>
            <w:tcW w:w="5319" w:type="dxa"/>
            <w:tcBorders/>
            <w:vAlign w:val="center"/>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IPR&amp;D assets</w:t>
            </w:r>
          </w:p>
        </w:tc>
        <w:tc>
          <w:tcPr>
            <w:tcW w:w="47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  </w:t>
            </w:r>
            <w:r>
              <w:rPr/>
              <w:t>48,253</w:t>
            </w:r>
          </w:p>
        </w:tc>
        <w:tc>
          <w:tcPr>
            <w:tcW w:w="63" w:type="dxa"/>
            <w:tcBorders/>
            <w:shd w:fill="CCEEFF" w:val="clear"/>
            <w:vAlign w:val="bottom"/>
          </w:tcPr>
          <w:p>
            <w:pPr>
              <w:pStyle w:val="TableContents"/>
              <w:bidi w:val="0"/>
              <w:spacing w:before="0" w:after="283"/>
              <w:jc w:val="left"/>
              <w:rPr/>
            </w:pPr>
            <w:r>
              <w:rPr/>
              <w:t> </w:t>
            </w:r>
          </w:p>
        </w:tc>
      </w:tr>
      <w:tr>
        <w:trPr/>
        <w:tc>
          <w:tcPr>
            <w:tcW w:w="5319" w:type="dxa"/>
            <w:tcBorders/>
          </w:tcPr>
          <w:p>
            <w:pPr>
              <w:pStyle w:val="TableContents"/>
              <w:bidi w:val="0"/>
              <w:spacing w:before="0" w:after="0"/>
              <w:jc w:val="left"/>
              <w:rPr>
                <w:rFonts w:ascii="Times New Roman" w:hAnsi="Times New Roman"/>
                <w:sz w:val="20"/>
              </w:rPr>
            </w:pPr>
            <w:r>
              <w:rPr>
                <w:rFonts w:ascii="Times New Roman" w:hAnsi="Times New Roman"/>
                <w:sz w:val="20"/>
              </w:rPr>
              <w:t>Assembled workforce</w:t>
            </w:r>
          </w:p>
        </w:tc>
        <w:tc>
          <w:tcPr>
            <w:tcW w:w="47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422</w:t>
            </w:r>
          </w:p>
        </w:tc>
        <w:tc>
          <w:tcPr>
            <w:tcW w:w="63" w:type="dxa"/>
            <w:tcBorders/>
            <w:vAlign w:val="bottom"/>
          </w:tcPr>
          <w:p>
            <w:pPr>
              <w:pStyle w:val="TableContents"/>
              <w:bidi w:val="0"/>
              <w:spacing w:before="0" w:after="283"/>
              <w:jc w:val="left"/>
              <w:rPr/>
            </w:pPr>
            <w:r>
              <w:rPr/>
              <w:t> </w:t>
            </w:r>
          </w:p>
        </w:tc>
      </w:tr>
      <w:tr>
        <w:trPr/>
        <w:tc>
          <w:tcPr>
            <w:tcW w:w="53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47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973</w:t>
            </w:r>
          </w:p>
        </w:tc>
        <w:tc>
          <w:tcPr>
            <w:tcW w:w="63" w:type="dxa"/>
            <w:tcBorders/>
            <w:shd w:fill="CCEEFF" w:val="clear"/>
            <w:vAlign w:val="bottom"/>
          </w:tcPr>
          <w:p>
            <w:pPr>
              <w:pStyle w:val="TableContents"/>
              <w:bidi w:val="0"/>
              <w:spacing w:before="0" w:after="283"/>
              <w:jc w:val="left"/>
              <w:rPr/>
            </w:pPr>
            <w:r>
              <w:rPr/>
              <w:t> </w:t>
            </w:r>
          </w:p>
        </w:tc>
      </w:tr>
      <w:tr>
        <w:trPr/>
        <w:tc>
          <w:tcPr>
            <w:tcW w:w="5319"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 and liabilities, net</w:t>
            </w:r>
          </w:p>
        </w:tc>
        <w:tc>
          <w:tcPr>
            <w:tcW w:w="47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359</w:t>
            </w:r>
          </w:p>
        </w:tc>
        <w:tc>
          <w:tcPr>
            <w:tcW w:w="63" w:type="dxa"/>
            <w:tcBorders/>
            <w:vAlign w:val="bottom"/>
          </w:tcPr>
          <w:p>
            <w:pPr>
              <w:pStyle w:val="TableContents"/>
              <w:bidi w:val="0"/>
              <w:spacing w:before="0" w:after="283"/>
              <w:jc w:val="left"/>
              <w:rPr/>
            </w:pPr>
            <w:r>
              <w:rPr/>
              <w:t> </w:t>
            </w:r>
          </w:p>
        </w:tc>
      </w:tr>
      <w:tr>
        <w:trPr/>
        <w:tc>
          <w:tcPr>
            <w:tcW w:w="5319"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net assets acquired</w:t>
            </w:r>
          </w:p>
        </w:tc>
        <w:tc>
          <w:tcPr>
            <w:tcW w:w="47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  </w:t>
            </w:r>
            <w:r>
              <w:rPr/>
              <w:t>50,007</w:t>
            </w:r>
          </w:p>
        </w:tc>
        <w:tc>
          <w:tcPr>
            <w:tcW w:w="63" w:type="dxa"/>
            <w:tcBorders/>
            <w:shd w:fill="CCEEFF" w:val="clear"/>
            <w:vAlign w:val="bottom"/>
          </w:tcPr>
          <w:p>
            <w:pPr>
              <w:pStyle w:val="TableContents"/>
              <w:bidi w:val="0"/>
              <w:spacing w:before="0" w:after="283"/>
              <w:jc w:val="left"/>
              <w:rPr/>
            </w:pPr>
            <w:r>
              <w:rPr/>
              <w:t> </w:t>
            </w:r>
          </w:p>
        </w:tc>
      </w:tr>
      <w:tr>
        <w:trPr/>
        <w:tc>
          <w:tcPr>
            <w:tcW w:w="5319"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4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estimated fair values of the clinical stage program IPR&amp;D assets were determined using a risk-adjusted discounted cash flow approach, which used the present value of the direct cash flows expected to be generated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these assets during their estimated economic lives, net of returns on contributory assets such as working capital, property and equipment, and the assembled workforce as adjusted for probabilities of success associated with each stage in the clinical development process ranging from 9.6% to 63.2%. The discount rate of 22.3% was based on rates of return available from alternative investments of similar type and quality as of the valuation date (Level 2 and 3 inputs). The estimated fair value of the BlackThorn Data Science IPR&amp;D Assets was based on a cost replacement approach. The estimate of the fair value of the property and equipment was based on a market approach (Level 2 inputs). The estimate of the fair value of the assembled workforce was determined using a replacement cost approach, based on the estimated cost of recruiting and training an equivalent workforce as of the acquisition date (Level 3 inputs). </w:t>
      </w:r>
    </w:p>
    <w:p>
      <w:pPr>
        <w:pStyle w:val="TextBody"/>
        <w:bidi w:val="0"/>
        <w:spacing w:before="240" w:after="0"/>
        <w:jc w:val="left"/>
        <w:rPr>
          <w:rFonts w:ascii="Times New Roman" w:hAnsi="Times New Roman"/>
          <w:sz w:val="20"/>
        </w:rPr>
      </w:pPr>
      <w:r>
        <w:rPr>
          <w:rFonts w:ascii="Times New Roman" w:hAnsi="Times New Roman"/>
          <w:sz w:val="20"/>
        </w:rPr>
        <w:t xml:space="preserve">The cost attributed to the IPR&amp;D assets were immediately recognized as acquired in-process research and development expense in the consolidated statement of operations and comprehensive loss as the IPR&amp;D assets were related to programs associated with and/or predicated on ongoing clinical trials success that had no alternative future use as of the acquisition date. The cost attributable to the assembled workforce was expensed to research and development expense and was not considered material to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BlackThorn Merger Agreement requires the Company to pay the former stockholders of BlackThorn contingent consideration (i) with respect to NMRA-140, in the form of development and regulatory approval milestones of up to an aggregate amount of $365.0 million, including the potential for a milestone payment of $75.0 million upon completion of the Phase 2a clinical trial of NMRA-140 if certain success criteria are achieved, and sales-based milestones of up to an aggregate amount of $450.0 million and (ii) with respect to NMRA-511, in the form of development and regulatory approval milestones of up to an aggregate amount of $100.0 million, and sales-based milestones of up to an aggregate amount of $100.0 million (the BlackThorn Milestones). At the Companys sole discretion, the BlackThorn Milestone payments may be settled in cash or shares of the Company, or a combination of both, subject to the provisions of the BlackThorn Merger Agreement, other than one development milestone in the amount of $10.0 million, which must be settled in cash. None of the BlackThorn Milestones were subject to liability classification and/or derivative accounting and any such contingent consideration will be recognized when the contingency is resolved, and the consideration becomes payable. For the years ended December 31, 2020 and 2021, no such amounts were deemed due or payable. </w:t>
      </w:r>
    </w:p>
    <w:p>
      <w:pPr>
        <w:pStyle w:val="TextBody"/>
        <w:bidi w:val="0"/>
        <w:spacing w:before="240" w:after="0"/>
        <w:jc w:val="left"/>
        <w:rPr>
          <w:rFonts w:ascii="Times New Roman" w:hAnsi="Times New Roman"/>
          <w:sz w:val="20"/>
        </w:rPr>
      </w:pPr>
      <w:r>
        <w:rPr>
          <w:rFonts w:ascii="Times New Roman" w:hAnsi="Times New Roman"/>
          <w:sz w:val="20"/>
        </w:rPr>
        <w:t xml:space="preserve">Upon closing of the acquisition, BlackThorn become a wholly-owned subsidiary of the Company and all outstanding stock options, vested or unvested, to purchase common stock of BlackThorn under the BlackThorn 2015 Equity Incentive Plan (the 2015 Plan) were converted to options to purchase 2,330,374 shares of the Companys common stock (the BlackThorn Replacement Stock Options). The conversion ratio was determined by dividing the fair value per share of BlackThorn common stock by the fair value per share of Company common stock immediately prior to the Closing Date. The BlackThorn Replacement Stock Options were considered new awards whereby the fair value of the awards of $0.5 million was measured on the Closing Date and is recognized as compensation in the post-acquisition period. </w:t>
      </w:r>
    </w:p>
    <w:p>
      <w:pPr>
        <w:pStyle w:val="TextBody"/>
        <w:bidi w:val="0"/>
        <w:spacing w:before="360" w:after="0"/>
        <w:jc w:val="left"/>
        <w:rPr>
          <w:rFonts w:ascii="Times New Roman" w:hAnsi="Times New Roman"/>
          <w:i/>
          <w:sz w:val="20"/>
        </w:rPr>
      </w:pPr>
      <w:r>
        <w:rPr>
          <w:rFonts w:ascii="Times New Roman" w:hAnsi="Times New Roman"/>
          <w:i/>
          <w:sz w:val="20"/>
        </w:rPr>
        <w:t xml:space="preserve">BlackThorn Carveout Plan </w:t>
      </w:r>
    </w:p>
    <w:p>
      <w:pPr>
        <w:pStyle w:val="TextBody"/>
        <w:bidi w:val="0"/>
        <w:spacing w:before="120" w:after="0"/>
        <w:jc w:val="left"/>
        <w:rPr>
          <w:rFonts w:ascii="Times New Roman" w:hAnsi="Times New Roman"/>
          <w:sz w:val="20"/>
        </w:rPr>
      </w:pPr>
      <w:r>
        <w:rPr>
          <w:rFonts w:ascii="Times New Roman" w:hAnsi="Times New Roman"/>
          <w:sz w:val="20"/>
        </w:rPr>
        <w:t xml:space="preserve">The BlackThorn Merger Agreement required that the Company establish a carveout plan (the BlackThorn Carveout Plan), pursuant to which each BlackThorn stock option holder as of immediately prior to the Closing Date was allocated a certain number of units (the BlackThorn Carveout Units) based on the number of shares underlying the outstanding options held by each participant at that time. Each BlackThorn Carveout Unit represents a right to receive a portion of the BlackThorn Milestone payment (the BlackThorn Carveout Payments) upon the later of (i) the achievement of a BlackThorn Milestone and (ii) the vesting of the BlackThorn Carveout Unit.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BlackThorn Carveout Payment shall be equal to the product of (i) such BlackThorn Milestone payment, and (ii) the quotient (expressed as a percentage) obtained by dividing (a) the number of BlackThorn Carveout Units outstanding as of such BlackThorn Milestone trigger event (whether vested or unvested) by (b) the number of fully diluted common shares of former stockholders of BlackThorn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BlackThorn Carveout Units vest based on time-based schedules that mirror the vesting schedules for the original option awards held by each participant. As of the Closing Date, a portion of the BlackThorn Carveout Units corresponding to the pre-acquisition service periods were fully vested (Vested Carveout Units). The remainder of the BlackThorn Carveout Units vest subject to the continued service of the participants. Once vested, the BlackThorn Carveout Units will only expire upon such time that all amounts payable under the plan have been paid. Any portion of the BlackThorn Carveout Payments related to forfeitures upon termination of a participants continued service to the Company prior to vesting of the BlackThorn Carveout Units become part of the BlackThorn Milestone payments that are payable to the former stockholders of BlackThorn. </w:t>
      </w:r>
    </w:p>
    <w:p>
      <w:pPr>
        <w:pStyle w:val="TextBody"/>
        <w:bidi w:val="0"/>
        <w:spacing w:before="240" w:after="0"/>
        <w:jc w:val="left"/>
        <w:rPr>
          <w:rFonts w:ascii="Times New Roman" w:hAnsi="Times New Roman"/>
          <w:sz w:val="20"/>
        </w:rPr>
      </w:pPr>
      <w:r>
        <w:rPr>
          <w:rFonts w:ascii="Times New Roman" w:hAnsi="Times New Roman"/>
          <w:sz w:val="20"/>
        </w:rPr>
        <w:t xml:space="preserve">The Vested Carveout Units represent contingent consideration for the acquisition as they are attributable to pre-acquisition services rendered by the participants and continuing service is not required for the participants to receive future payments upon a BlackThorn Milestone being achieved. The Company will recognize the contingent consideration obligation for the Vested Carveout Units when the contingency is resolved, and the consideration becomes payable. The BlackThorn Carveout Units that were unvested as of the Closing Date are dependent on the continued service of participants and were deemed to be a compensation arrangement. The Company will recognize the compensation starting from the time payment becomes probable over each participants service period. As of December 31, 2021, none of the BlackThorn Milestones had been achieved or were probable of being achieved, and no contingent consideration obligation or compensation related to the BlackThorn Carveout Plan had been recorded. </w:t>
      </w:r>
    </w:p>
    <w:p>
      <w:pPr>
        <w:pStyle w:val="TextBody"/>
        <w:bidi w:val="0"/>
        <w:spacing w:before="360" w:after="0"/>
        <w:jc w:val="left"/>
        <w:rPr>
          <w:rFonts w:ascii="Times New Roman" w:hAnsi="Times New Roman"/>
          <w:b/>
          <w:sz w:val="20"/>
        </w:rPr>
      </w:pPr>
      <w:r>
        <w:rPr>
          <w:rFonts w:ascii="Times New Roman" w:hAnsi="Times New Roman"/>
          <w:b/>
          <w:sz w:val="20"/>
        </w:rPr>
        <w:t xml:space="preserve">Syllable Life Sciences, Inc.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2020 and predicated on the initial closing the Companys Series A-2 convertible preferred stock financing, but not dependent upon the closing of the other September 2020 acquisitions, the Company entered into an agreement and plan of merger (Syllable Merger Agreement) to acquire all of the outstanding equity of Syllable Life Sciences, Inc. (Syllable). The Company acquired Syllable to gain access the rights granted to Syllable under an exclusive license agreement (as amended, the Harvard License Agreement) with President and Fellows of Harvard College (Harvard) and an associated behavior analysis machine learning and computer vision software tool which Syllable was developing to identify and quantify behavior as an indicator of neurological conditions (collectively, the Syllable IPR&amp;D). </w:t>
      </w:r>
    </w:p>
    <w:p>
      <w:pPr>
        <w:pStyle w:val="TextBody"/>
        <w:bidi w:val="0"/>
        <w:spacing w:before="240" w:after="0"/>
        <w:jc w:val="left"/>
        <w:rPr>
          <w:rFonts w:ascii="Times New Roman" w:hAnsi="Times New Roman"/>
          <w:sz w:val="20"/>
        </w:rPr>
      </w:pPr>
      <w:r>
        <w:rPr>
          <w:rFonts w:ascii="Times New Roman" w:hAnsi="Times New Roman"/>
          <w:sz w:val="20"/>
        </w:rPr>
        <w:t xml:space="preserve">The total upfront consideration transferred to the former stockholders of Syllable consisted of 4,894,847 shares of the Companys Series A-2 convertible preferred stock, with an estimated acquisition date fair value of $4.9 million. The Company also incurred transaction costs of $0.4 million to acquire Syllable. In addition, the Company assumed net liabilities of $0.7 million, including a payment obligation of $0.4 million to Harvard pursuant to the Harvard License Agreement. The Syllable Merger Agreement became effective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Companys Series A-2 convertible preferred stock of $1.00 was established using the price per share paid by third-party investors in the concurrent closing of the Series A-2 convertible preferred stock financing.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concluded Syllable was not a VIE and substantially all of the fair value of the gross assets of Syllable acquired were concentrated in a single identifiable IPR&amp;D asset: the Syllable IPR&amp;D. Accordingly,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acquired set of assets and activities did not meet the definition of a business and the transaction was accounted for as an acquisition of assets. As a result, the fair value of the upfront consideration transferred as well as the transaction costs were allocated to the identifiable tangible and intangible assets acquired and liabilities assumed based on their relative fair values (considering Level 2 and Level 3 inputs), resulting in $5.9 million being assigned to the Syllable IPR&amp;D asset and $0.7 million for net liabilities assumed. </w:t>
      </w:r>
    </w:p>
    <w:p>
      <w:pPr>
        <w:pStyle w:val="TextBody"/>
        <w:bidi w:val="0"/>
        <w:spacing w:before="240" w:after="0"/>
        <w:jc w:val="left"/>
        <w:rPr>
          <w:rFonts w:ascii="Times New Roman" w:hAnsi="Times New Roman"/>
          <w:sz w:val="20"/>
        </w:rPr>
      </w:pPr>
      <w:r>
        <w:rPr>
          <w:rFonts w:ascii="Times New Roman" w:hAnsi="Times New Roman"/>
          <w:sz w:val="20"/>
        </w:rPr>
        <w:t xml:space="preserve">The cost attributed to the Syllable IPR&amp;D asset was immediately recognized as acquired in-process research and development expense in the Companys consolidated statement of operations and comprehensive loss as it was determined to have no alternative future use as of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The former stockholders of Syllable are entitled to contingent consideration in the form of development milestones of up to an aggregate of $5.0 million (Syllable Milestones). At the Companys sole discretion, the Syllable Milestone payments may be settled, in cash or shares equity of the Company, or a combination of both, subject to the provisions of the Syllable Merger Agreement and were not subject to liability classification and/or derivative accounting. Any such contingent consideration will be recognized when the contingency is resolved, and the consideration becomes payable. For the years ended December 31, 2020 and 2021, no such amounts were deemed due or payable. </w:t>
      </w:r>
    </w:p>
    <w:p>
      <w:pPr>
        <w:pStyle w:val="TextBody"/>
        <w:bidi w:val="0"/>
        <w:spacing w:before="360" w:after="0"/>
        <w:jc w:val="left"/>
        <w:rPr>
          <w:rFonts w:ascii="Times New Roman" w:hAnsi="Times New Roman"/>
          <w:b/>
          <w:sz w:val="20"/>
        </w:rPr>
      </w:pPr>
      <w:r>
        <w:rPr>
          <w:rFonts w:ascii="Times New Roman" w:hAnsi="Times New Roman"/>
          <w:b/>
          <w:sz w:val="20"/>
        </w:rPr>
        <w:t xml:space="preserve">Propellex Bio, Inc.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2020 and predicated on the initial closing of the Companys Series A-2 convertible preferred stock financing, but not dependent upon the closing of the other September 2020 acquisitions, the Company entered into an agreement and plan of merger (Propellex Merger Agreement) to acquire all of the outstanding equity of Propellex Bio, Inc. (Propellex). The Company acquired Propellex to gain access to the rights granted to Propellex under an exclusive license with TSRI related to preclinical molecules that were indicated for the potential treatment of Parkinsons disease and other neurodegenerative diseases. </w:t>
      </w:r>
    </w:p>
    <w:p>
      <w:pPr>
        <w:pStyle w:val="TextBody"/>
        <w:bidi w:val="0"/>
        <w:spacing w:before="240" w:after="0"/>
        <w:jc w:val="left"/>
        <w:rPr>
          <w:rFonts w:ascii="Times New Roman" w:hAnsi="Times New Roman"/>
          <w:sz w:val="20"/>
        </w:rPr>
      </w:pPr>
      <w:r>
        <w:rPr>
          <w:rFonts w:ascii="Times New Roman" w:hAnsi="Times New Roman"/>
          <w:sz w:val="20"/>
        </w:rPr>
        <w:t xml:space="preserve">The total upfront consideration transferred to the former stockholders of Propellex consisted of 10,002,633 shares of the Companys Series A-2 convertible preferred stock, with an acquisition date fair value of $10.0 million. The Company also incurred transaction costs of $0.5 million to acquire Propellex. In addition, the Company assumed net liabilities of $0.6 million. The Propellex Merger Agreement became effective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Companys Series A-2 convertible preferred stock of $1.00 was established using the price per share paid by third-party investors in the concurrent closing of the Series A-2 convertible preferred stock financing.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concluded Propellex was not a VIE and substantially all of the fair value of the gross assets of Propellex acquired were concentrated in a single identifiable IPR&amp;D project associated with the TSRI license and preclinical small-molecule inhibitors and related research results (the Propellex IPR&amp;D). As a result, the fair value of the upfront consideration transferred as well as the transaction costs were allocated to the identifiable tangible and intangible assets acquired and liabilities assumed based on their relative fair values (considering Level 2 and Level 3 inputs), resulting in $11.1 million being assigned to the Propellex IPR&amp;D asset and $0.6 million for net liabilities assumed. </w:t>
      </w:r>
    </w:p>
    <w:p>
      <w:pPr>
        <w:pStyle w:val="TextBody"/>
        <w:bidi w:val="0"/>
        <w:spacing w:before="240" w:after="0"/>
        <w:jc w:val="left"/>
        <w:rPr>
          <w:rFonts w:ascii="Times New Roman" w:hAnsi="Times New Roman"/>
          <w:sz w:val="20"/>
        </w:rPr>
      </w:pPr>
      <w:r>
        <w:rPr>
          <w:rFonts w:ascii="Times New Roman" w:hAnsi="Times New Roman"/>
          <w:sz w:val="20"/>
        </w:rPr>
        <w:t xml:space="preserve">The cost attributed to the Propellex IPR&amp;D asset was immediately recognized as acquired in-process research and development expense in the consolidated statement of operations and comprehensive loss as it was determined to have no alternative future use as of the acquisition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former stockholders of Propellex were entitled to contingent consideration in the form of development and regulatory approval milestones of up to an aggregate amount of $62.5 million and in the form of sales-based milestones of up to an aggregate amount of $160.0 million (the Propellex Milestone) of which $7.5 million was only settleable in shares of the Companys Series A-2 convertible preferred stock. This contingent consideration was classified as a liability because the Series A-2 convertible preferred stock is contingently redeemable upon the occurrence of events that are outside of the control of the Company. The fair value of the contingent consideration liability at the acquisition date and though December 31, 2020 was determined to be de minimis based on the termination of the Propellex IPR&amp;D program shortly after the acquisition. The remaining contingent consideration settleable in cash or shares of the Company at the Companys election or only in cash and were not subject to liability classification and/or derivative accounting. In addition, if the Company had granted a license to a non-affiliate third party under the Propellex technology for a Propellex therapeutic product, the Company would also be required to pay to the former stockholders of Propellex a portion of the consideration received from such licensee for the grant of the license, depending on the date of receipt of the applicable license revenue from such licensee. Any such contingent consideration would have been recognized when the contingency was resolved, and the consideration became payable. For the year ended December 31, 2020, no such amounts were deemed due or payable. In April 2021, the Company terminated all efforts related to the Propellex IPR&amp;D program. </w:t>
      </w:r>
    </w:p>
    <w:p>
      <w:pPr>
        <w:pStyle w:val="TextBody"/>
        <w:bidi w:val="0"/>
        <w:spacing w:before="360" w:after="0"/>
        <w:jc w:val="left"/>
        <w:rPr>
          <w:rFonts w:ascii="Times New Roman" w:hAnsi="Times New Roman"/>
          <w:b/>
          <w:sz w:val="20"/>
        </w:rPr>
      </w:pPr>
      <w:r>
        <w:rPr>
          <w:rFonts w:ascii="Times New Roman" w:hAnsi="Times New Roman"/>
          <w:b/>
          <w:sz w:val="20"/>
        </w:rPr>
        <w:t xml:space="preserve">Alairion, Inc.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2020, the Company entered into an agreement and plan of merger (Alairion Merger Agreement) to acquire all of the outstanding equity of Alairion, Inc. (Alairion). The acquisition of Alairion allowed the Company to expand its program pipeline by gaining rights to two preclinical stage research and development programs focused on the treatment of sleep disorders, an H1 receptor antagonist program (the H1 Program) and a GABA receptor positive allosteric modulator program (the GABA Program). The acquisition also provided the Company with access to a license for software that records sleep and related drug discovery and optimization technology platform (the Alairion IRP&amp;D Technology). In September 2020, the Company purchased a promissory note issued by Alairion in the amount of $1.8 million. The promissory note was due any time on or after September 2021 on written demand by the Company, and the interest rate was 4.0%. The note was collateralized by substantially all of Alairions assets. </w:t>
      </w:r>
    </w:p>
    <w:p>
      <w:pPr>
        <w:pStyle w:val="TextBody"/>
        <w:bidi w:val="0"/>
        <w:spacing w:before="240" w:after="0"/>
        <w:jc w:val="left"/>
        <w:rPr>
          <w:rFonts w:ascii="Times New Roman" w:hAnsi="Times New Roman"/>
          <w:sz w:val="20"/>
        </w:rPr>
      </w:pPr>
      <w:r>
        <w:rPr>
          <w:rFonts w:ascii="Times New Roman" w:hAnsi="Times New Roman"/>
          <w:sz w:val="20"/>
        </w:rPr>
        <w:t xml:space="preserve">The total upfront consideration transferred to the former stockholders of Alairion consisted of the settlement of the secured promissory note of $1.8 million. The Company also incurred direct transaction costs of $0.3 million to acquire Alairion. In addition, the Company assumed net liabilities of $2.1 million, consisting primarily of accounts payable and accrued liabilities. The promissory note was determined to be at fair value due to the short period of time it was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concluded Alairion was not a VIE and substantially all of the fair value of the gross assets of Alairion acquired were concentrated in a single identifiable group of similar IPR&amp;D assets. These IPR&amp;D assets comprised of the H1 Program, the GABA Program and the Alairion IPR&amp;D Technology. Accordingly, the acquired set of assets and activities did not meet the definition of a business and the transaction was accounted for as acquisition of assets. As a result, the fair value of the upfront consideration transferred as well as transaction costs incurred was allocated to the identifiable tangible and intangible assets acquired and liabilities assumed based on their relative fair values (considering Level 2 and Level 3 inputs), resulting in $4.3 million being assigned to the IPR&amp;D assets and $2.1 million for net liabilities assumed. </w:t>
      </w:r>
    </w:p>
    <w:p>
      <w:pPr>
        <w:pStyle w:val="TextBody"/>
        <w:bidi w:val="0"/>
        <w:spacing w:before="240" w:after="0"/>
        <w:jc w:val="left"/>
        <w:rPr>
          <w:rFonts w:ascii="Times New Roman" w:hAnsi="Times New Roman"/>
          <w:sz w:val="20"/>
        </w:rPr>
      </w:pPr>
      <w:r>
        <w:rPr>
          <w:rFonts w:ascii="Times New Roman" w:hAnsi="Times New Roman"/>
          <w:sz w:val="20"/>
        </w:rPr>
        <w:t xml:space="preserve">The cost attributed to the IPR&amp;D assets were immediately recognized as acquired in-process research and development expense in the Companys consolidated statement of operations and comprehensive loss as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IPR&amp;D assets were determined to have no alternative future use as of the acquisition date. The holders of Alairion common stock outstanding as of immediately prior to the closing date received non-transferable rights to future milestone payments of up to $33.5 million upon the achievement of specified development events and $135.0 million upon the achievement of specified commercialization events related to the H1 Program and the GABA Program (the Alairion Milestones). </w:t>
      </w:r>
    </w:p>
    <w:p>
      <w:pPr>
        <w:pStyle w:val="TextBody"/>
        <w:bidi w:val="0"/>
        <w:spacing w:before="240" w:after="0"/>
        <w:jc w:val="left"/>
        <w:rPr>
          <w:rFonts w:ascii="Times New Roman" w:hAnsi="Times New Roman"/>
          <w:sz w:val="20"/>
        </w:rPr>
      </w:pPr>
      <w:r>
        <w:rPr>
          <w:rFonts w:ascii="Times New Roman" w:hAnsi="Times New Roman"/>
          <w:sz w:val="20"/>
        </w:rPr>
        <w:t xml:space="preserve">The Alairion Milestone payments may be settled, at the Companys sole discretion, in cash or shares of the Company, or a combination of both, subject to the provisions of the Alairion Merger Agreement. None of the Alairion Milestones were subject to liability classification and/or derivative accounting and any such contingent consideration will be recognized when the contingency is resolved, and the consideration becomes payable. For the years ended December 31, 2020 and 2021, no such amounts were deemed due or payable. In March 2022, the Company paused the active program acquired from Alairion while it assesses pre-IND feedback received from the FDA and considers alternative options for that program. </w:t>
      </w:r>
    </w:p>
    <w:p>
      <w:pPr>
        <w:pStyle w:val="TextBody"/>
        <w:bidi w:val="0"/>
        <w:spacing w:before="360" w:after="0"/>
        <w:jc w:val="left"/>
        <w:rPr>
          <w:rFonts w:ascii="Times New Roman" w:hAnsi="Times New Roman"/>
          <w:i/>
          <w:sz w:val="20"/>
        </w:rPr>
      </w:pPr>
      <w:r>
        <w:rPr>
          <w:rFonts w:ascii="Times New Roman" w:hAnsi="Times New Roman"/>
          <w:i/>
          <w:sz w:val="20"/>
        </w:rPr>
        <w:t xml:space="preserve">Alairion Carveout Plan </w:t>
      </w:r>
    </w:p>
    <w:p>
      <w:pPr>
        <w:pStyle w:val="TextBody"/>
        <w:bidi w:val="0"/>
        <w:spacing w:before="120" w:after="0"/>
        <w:jc w:val="left"/>
        <w:rPr>
          <w:rFonts w:ascii="Times New Roman" w:hAnsi="Times New Roman"/>
          <w:sz w:val="20"/>
        </w:rPr>
      </w:pPr>
      <w:r>
        <w:rPr>
          <w:rFonts w:ascii="Times New Roman" w:hAnsi="Times New Roman"/>
          <w:sz w:val="20"/>
        </w:rPr>
        <w:t xml:space="preserve">The Alairion Merger Agreement also required the Company to establish a carveout plan (the Alairion Carveout Plan) pursuant to which a portion of the payments under the Alairion Milestones, up to $3.0 million (the Alairion Carveout Payments), are reserved for participants under the Alairion Carveout Plan. Participants in the Alairion Carveout Plan are comprised of former Alairion employees, several of whom were retained as employees or consultants of the Company post-acquisition. Under the Alairion Carveout Plan, the Company granted the participants retention units, each representing a right to receive future payments upon the completion of Phase 2 clinical studies with respect to either the H1 Program or the GABA Program and achievement of the related Alairion Milestone, subject to the continued service of the participant until such time and were deemed to be a compensation arrangement. The retention units are forfeited if a participants service is terminated prior to the receipt of results from the Phase 2 clinical studies associated with the H1 Program and GABA Program. The Company will recognize such compensation starting from the time payment becomes probable over each participants service period. As of December 31, 2021, it was not probable that Phase 2 clinical studies would be achieved, and no compensation related to the Alairion Carveout Plan had been recorded. </w:t>
      </w:r>
    </w:p>
    <w:p>
      <w:pPr>
        <w:pStyle w:val="TextBody"/>
        <w:bidi w:val="0"/>
        <w:spacing w:before="360" w:after="0"/>
        <w:jc w:val="left"/>
        <w:rPr>
          <w:rFonts w:ascii="Times New Roman" w:hAnsi="Times New Roman"/>
          <w:b/>
          <w:sz w:val="20"/>
        </w:rPr>
      </w:pPr>
      <w:r>
        <w:rPr>
          <w:rFonts w:ascii="Times New Roman" w:hAnsi="Times New Roman"/>
          <w:b/>
          <w:sz w:val="20"/>
        </w:rPr>
        <w:t xml:space="preserve">Amgen Inc. Licenses </w:t>
      </w:r>
    </w:p>
    <w:p>
      <w:pPr>
        <w:pStyle w:val="TextBody"/>
        <w:bidi w:val="0"/>
        <w:spacing w:before="120" w:after="0"/>
        <w:jc w:val="left"/>
        <w:rPr>
          <w:rFonts w:ascii="Times New Roman" w:hAnsi="Times New Roman"/>
          <w:sz w:val="20"/>
        </w:rPr>
      </w:pPr>
      <w:r>
        <w:rPr>
          <w:rFonts w:ascii="Times New Roman" w:hAnsi="Times New Roman"/>
          <w:sz w:val="20"/>
        </w:rPr>
        <w:t>In September 2021, the Company entered into two license agreements with Amgen Inc. (Amgen) pursuant to which it obtained exclusive, worldwide licenses to develop, manufacture, use, commercialize and distribute products containing compounds that are directed to, in one case, CK1</w:t>
      </w:r>
      <w:r>
        <w:rPr>
          <w:rFonts w:ascii="SYMBOL" w:hAnsi="SYMBOL"/>
          <w:sz w:val="20"/>
        </w:rPr>
        <w:t>d</w:t>
      </w:r>
      <w:r>
        <w:rPr>
          <w:rFonts w:ascii="Times New Roman" w:hAnsi="Times New Roman"/>
          <w:sz w:val="20"/>
        </w:rPr>
        <w:t xml:space="preserve">, and in the other case, glucocerebrocidase (Gcase), both for the treatment of neurodegenerative diseases (the Amgen License Agreements) and related know-how and clinical material (collectively, the Amgen IPR&amp;D Assets). Concurrently, the Company also executed a research collaboration agreement (see Note 10) as well as a stock purchase agreement (see Note 11) with Amgen. Both of these agreements were deemed to be separate transactions and not accounted for as part of the acquisition of assets. The acquisition of the Amgen IPR&amp;D Assets became effective on September 30, 2021, the date the Amgen License Agreements were executed. </w:t>
      </w:r>
    </w:p>
    <w:p>
      <w:pPr>
        <w:pStyle w:val="TextBody"/>
        <w:bidi w:val="0"/>
        <w:spacing w:before="240" w:after="0"/>
        <w:jc w:val="left"/>
        <w:rPr>
          <w:rFonts w:ascii="Times New Roman" w:hAnsi="Times New Roman"/>
          <w:sz w:val="20"/>
        </w:rPr>
      </w:pPr>
      <w:r>
        <w:rPr>
          <w:rFonts w:ascii="Times New Roman" w:hAnsi="Times New Roman"/>
          <w:sz w:val="20"/>
        </w:rPr>
        <w:t xml:space="preserve">The total upfront consideration transferred to Amgen of 157.0 million shares of the Companys Series A-2 convertible preferred stock, with an acquisition date fair value of $157.0 million, was allocated to the Amgen IPR&amp;D Assets as the fair value of the equity given was more readily determinable than the fair value of the assets received. The fair value of the Companys Series A-2 preferred stock of $1.00 was established using the price per share paid by third-party investors in the concurrent September 2021 closing of the Series A-2 preferred stock financing. </w:t>
      </w:r>
    </w:p>
    <w:p>
      <w:pPr>
        <w:pStyle w:val="TextBody"/>
        <w:bidi w:val="0"/>
        <w:spacing w:before="240" w:after="0"/>
        <w:jc w:val="left"/>
        <w:rPr>
          <w:rFonts w:ascii="Times New Roman" w:hAnsi="Times New Roman"/>
          <w:sz w:val="20"/>
        </w:rPr>
      </w:pPr>
      <w:r>
        <w:rPr>
          <w:rFonts w:ascii="Times New Roman" w:hAnsi="Times New Roman"/>
          <w:sz w:val="20"/>
        </w:rPr>
        <w:t xml:space="preserve">The Amgen License Agreements were determined to only be variable interest in specified assets of Amgen that did not represent more than half of the fair value of its assets. The Company accounted for these transactions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acquisitions of assets as a limited number of inputs, but no substantive processes were acquired and substantially all of the estimated fair value of the gross assets acquired was concentrated in two single identified in-process research assets. The Amgen IPR&amp;D Assets acquired in the transaction were measured based on the fair value of the Series A-2 preferred stock issued to Amgen (Level 2 input), as the fair value of the equity given was more readily determinable than the fair value of the assets received. </w:t>
      </w:r>
    </w:p>
    <w:p>
      <w:pPr>
        <w:pStyle w:val="TextBody"/>
        <w:bidi w:val="0"/>
        <w:spacing w:before="240" w:after="0"/>
        <w:jc w:val="left"/>
        <w:rPr>
          <w:rFonts w:ascii="Times New Roman" w:hAnsi="Times New Roman"/>
          <w:sz w:val="20"/>
        </w:rPr>
      </w:pPr>
      <w:r>
        <w:rPr>
          <w:rFonts w:ascii="Times New Roman" w:hAnsi="Times New Roman"/>
          <w:sz w:val="20"/>
        </w:rPr>
        <w:t xml:space="preserve">The cost attributed to the Amgen IPR&amp;D Assets were immediately recognized as acquired in-process research and development expense in the consolidated statement of operations and comprehensive loss as it was determined to have no alternative future use as of the acquisition date. </w:t>
      </w:r>
    </w:p>
    <w:p>
      <w:pPr>
        <w:pStyle w:val="TextBody"/>
        <w:bidi w:val="0"/>
        <w:spacing w:before="240" w:after="0"/>
        <w:jc w:val="left"/>
        <w:rPr>
          <w:rFonts w:ascii="Times New Roman" w:hAnsi="Times New Roman"/>
          <w:sz w:val="20"/>
        </w:rPr>
      </w:pPr>
      <w:r>
        <w:rPr>
          <w:rFonts w:ascii="Times New Roman" w:hAnsi="Times New Roman"/>
          <w:sz w:val="20"/>
        </w:rPr>
        <w:t>Under these two license agreements, Amgen is eligible to receive contingent consideration up to an aggregate of $360.0 million in commercial milestone payments per product payable in cash with a compound directed to CK1</w:t>
      </w:r>
      <w:r>
        <w:rPr>
          <w:rFonts w:ascii="SYMBOL" w:hAnsi="SYMBOL"/>
          <w:sz w:val="20"/>
        </w:rPr>
        <w:t>d</w:t>
      </w:r>
      <w:r>
        <w:rPr>
          <w:rFonts w:ascii="Times New Roman" w:hAnsi="Times New Roman"/>
          <w:sz w:val="20"/>
        </w:rPr>
        <w:t xml:space="preserve"> and up to an aggregate of $360.0 million in commercial milestone payments per product payable in cash with a compound directed to Gcase, in each case, upon the achievement of certain sales thresholds and single digit royalties on potential future net sales. Such contingent consideration was not subject to liability classification and/or derivative accounting and will be recognized when the contingency is resolved, and the consideration becomes payable. For the year ended December 31, 2021, no such amounts were deemed due or payable.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until a specified period of time following the achievement of the first successful Phase 2 clinical trial for any licensed product, if the Company chooses to sell, transfer, sublicense or divest rights to a licensed product in certain major markets, Amgen has a 90-day exclusive right of first negotiation to enter into an agreement with the Company for such rights. The Company determined that these rights of first negotiation were not freestanding instruments from the Amgen License Agreements and did not meet definition of a derivative.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Promissory Notes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Between February and September 2020, the Company issued the 2020 Bridge Notes with an aggregate principal amount of $55.9 million to various investors, one of which was a significant stockholder of the Company and a related party to the Company. The 2020 Bridge Notes bore interest rates of 3.0% or 5.0% and were repayable upon demand by the holders at any time after February 2021 or March 2021. The 2020 Bridge Notes would automatically convert into shares of the Companys capital stock upon the closing of a financing in which shares of the Companys capital stock were issued to one or more investors resulting in gross cash proceeds to the Company of at least $50.0 million (Qualified Financing). The number of shares to be issued in connection with the conversion of the 2020 Bridge Notes were determined as (i) the sum of the outstanding principal amount and all accrued but unpaid interest divided by (ii) 85%, 95% or 100% of the cash purchase price paid by the investors in the Qualified Financing. In the event of a change of control including a merger, consolidation, sale by stockholders of the Company of capital stock representing at least 50% of the outstanding voting power of the Company, or a similar corporate transaction, the Company was required to redeem the 2020 Bridge Notes from the holders at 150% of the then-outstanding principal balance in cash. Upon an event of default, including failure to comply with the Companys payment and other obligations under the 2020 Bridge Notes, the outstanding principal and unpaid interest would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2020, the Company completed a Series A-2 convertible preferred stock financing that satisfied the condition of a Qualified Financing. The outstanding principal and accrued interest under the 2020 Bridge Notes with a fair value of $59.2 million were settled by issuing 59,180,294 shares of the Companys Series A-2 convertible preferred stock to the holders. As the Company elected the fair value option to account for the 2020 Bridge Notes (see Note 3), no gain or loss was recognized upon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Concurrent with the issuance of the 2020 Bridge Notes, the Company issued an aggregate of 51,508,327 shares of its common stock to certain of the holders in return for commitments to participate in the Companys Series A-2 convertible preferred stock financing. Such shares of common stock were subject to the investors right of forfeiture that lapsed upon fulfillment of their respective commitments to the Company in one or more subsequent closings of the Companys Series A-2 convertible preferred stock financing. The funding commitments, together with the embedded shares of common stock, were determined to be freestanding instruments apart from the 2020 Bridge Notes (the funding commitment asset or FCA). The Company determined that the FCA (i) did not meet the criteria to be classified as a liability on its consolidated balance sheets, (ii) qualified for a scope exception from derivative accounting, and (iii) was not required to be measured at fair valued at inception (or subsequently). Accordingly, the proceeds received from the 2020 Bridge Notes were allocated to the FCA on a residual basis, and such residual value was determined to be insignificant at inception.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2020, the FCA held by one investor to purchase 10,000,000 shares in the Companys Series A-2 convertible preferred stock remained outstanding and accordingly, 7,500,00 shares of common stock were subject to the investors right of forfeiture. Subsequently, the deadline for fulfilling such commitment in one or more subsequent closings was extended to September 2021. In August 2021, the FCA held by the one investor to purchase 10,000,000 shares of the Companys Series A-2 convertible preferred stock was met and the related right of forfeiture lapsed as to the 7,500,000 shares of common stock held by such investor (see Note 11).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Restructuring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October 2020, the Company initiated a partial reduction-in-force whereby eight employees located at its Brannan Street, San Francisco laboratory facility (Brannan) were terminated. The Company substantially completed the reduction-in-workforce in the fourth quarter of 2020 and recognized severance benefits and related costs of approximately $0.5 million in research and development expense in the consolidated statement of operations and comprehensive loss for the year ended December 31, 2020. There were no material remaining payment obligations related to termination benefits to the Companys former employees as of December 31, 2020. In addition, in December 2020, the Company entered into a lease termination agreement to early terminate the Brannan lease, which was originally due to expire in December 2021, in exchange for payment of a one-time termination fee of $0.3 million. Effective as of December 31, 2020, the Company had no further payment obligations under the Brannan lease. The Company recognized a $0.6 million reduction of operating lease right-of-use assets and a corresponding $0.7 million reduction of operating lease liabilities in the consolidated balance sheet as of December 31, 2020. There were no terminations of employees or lease agreements for the year ended December 31, 2021.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evaluated indicators of impairment for the property and equipment located at Brannan in connection with its plans to exit such facility. The Company concluded that the carrying value of the leasehold improvement assets were not fully recoverable and recognized an impairment charge of $0.4 million, which was included in other income (expense), net in the consolidated statement of operations and comprehensive loss for the year ended December 31, 2020. There was no impairment recognized for the year ended December 31, 2021.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Operating Leases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2020, the Company entered into or assumed, as part of its acquisitions of assets, certain operating lease arrangements for office and laboratory spaces located in Massachusetts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California with noncancelable lease terms expiring between 2021 and 2023. These leases require monthly lease payments that may be subject to annual increases throughout the lease term. Certain lease agreements also provide the Company with the option to renew for additional periods of up to three years. The renewal options have not been considered in the remaining lease term because it is not reasonably certain that the Company will exercise such renewal options. In December 2020, the Company entered into an agreement to early terminate the Brannan lease (see Note 8). </w:t>
      </w:r>
    </w:p>
    <w:p>
      <w:pPr>
        <w:pStyle w:val="TextBody"/>
        <w:bidi w:val="0"/>
        <w:spacing w:before="240" w:after="0"/>
        <w:jc w:val="left"/>
        <w:rPr>
          <w:rFonts w:ascii="Times New Roman" w:hAnsi="Times New Roman"/>
          <w:sz w:val="20"/>
        </w:rPr>
      </w:pPr>
      <w:r>
        <w:rPr>
          <w:rFonts w:ascii="Times New Roman" w:hAnsi="Times New Roman"/>
          <w:sz w:val="20"/>
        </w:rPr>
        <w:t xml:space="preserve">In March 2021, the Company entered into a new lease agreement for a 14,688 square feet office facility in South San Francisco, California (SSF Lease). The SSF Lease commenced in April 2021 and expires in December 2023. </w:t>
      </w:r>
    </w:p>
    <w:p>
      <w:pPr>
        <w:pStyle w:val="TextBody"/>
        <w:bidi w:val="0"/>
        <w:spacing w:before="240" w:after="0"/>
        <w:jc w:val="left"/>
        <w:rPr>
          <w:rFonts w:ascii="Times New Roman" w:hAnsi="Times New Roman"/>
          <w:sz w:val="20"/>
        </w:rPr>
      </w:pPr>
      <w:r>
        <w:rPr>
          <w:rFonts w:ascii="Times New Roman" w:hAnsi="Times New Roman"/>
          <w:sz w:val="20"/>
        </w:rPr>
        <w:t xml:space="preserve">Under the lease agreements, the Company is generally required to pay certain operating costs, in addition to rent, such as common area maintenance, taxes, utilities and insurance. Such additional charges are considered variable lease costs and are recognized in the period in which they are incurred. Rent expense for the year ended December 31, 2020 was $0.5 million and variable costs were insignificant in 2020. Rent expense for the year ended December 31, 2021 was $2.0 million, including $0.9 million related to short term lease expense, and variable costs were $0.2 million in 2021. </w:t>
      </w:r>
    </w:p>
    <w:p>
      <w:pPr>
        <w:pStyle w:val="TextBody"/>
        <w:bidi w:val="0"/>
        <w:spacing w:before="240" w:after="0"/>
        <w:jc w:val="left"/>
        <w:rPr>
          <w:rFonts w:ascii="Times New Roman" w:hAnsi="Times New Roman"/>
          <w:sz w:val="20"/>
        </w:rPr>
      </w:pPr>
      <w:r>
        <w:rPr>
          <w:rFonts w:ascii="Times New Roman" w:hAnsi="Times New Roman"/>
          <w:sz w:val="20"/>
        </w:rPr>
        <w:t xml:space="preserve">The Companys operating leases include various covenants, indemnities, defaults, termination rights, security deposits and other provisions customary for lease transactions of this nature. </w:t>
      </w:r>
    </w:p>
    <w:p>
      <w:pPr>
        <w:pStyle w:val="TextBody"/>
        <w:bidi w:val="0"/>
        <w:spacing w:before="240" w:after="0"/>
        <w:jc w:val="left"/>
        <w:rPr>
          <w:rFonts w:ascii="Times New Roman" w:hAnsi="Times New Roman"/>
          <w:sz w:val="20"/>
        </w:rPr>
      </w:pPr>
      <w:r>
        <w:rPr>
          <w:rFonts w:ascii="Times New Roman" w:hAnsi="Times New Roman"/>
          <w:sz w:val="20"/>
        </w:rPr>
        <w:t xml:space="preserve">The maturity of the Companys operating lease liabilities as of December 31, 2021 were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41"/>
        <w:gridCol w:w="458"/>
        <w:gridCol w:w="146"/>
        <w:gridCol w:w="635"/>
        <w:gridCol w:w="159"/>
      </w:tblGrid>
      <w:tr>
        <w:trPr/>
        <w:tc>
          <w:tcPr>
            <w:tcW w:w="5541"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41" w:type="dxa"/>
            <w:tcBorders/>
            <w:shd w:fill="CCEEFF" w:val="clear"/>
          </w:tcPr>
          <w:p>
            <w:pPr>
              <w:pStyle w:val="TableContents"/>
              <w:bidi w:val="0"/>
              <w:spacing w:before="0" w:after="283"/>
              <w:jc w:val="left"/>
              <w:rPr/>
            </w:pPr>
            <w:r>
              <w:rPr/>
              <w:t>Undiscounted lease payments</w:t>
            </w:r>
          </w:p>
        </w:tc>
        <w:tc>
          <w:tcPr>
            <w:tcW w:w="4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541" w:type="dxa"/>
            <w:tcBorders/>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1,203</w:t>
            </w:r>
          </w:p>
        </w:tc>
        <w:tc>
          <w:tcPr>
            <w:tcW w:w="159" w:type="dxa"/>
            <w:tcBorders/>
            <w:vAlign w:val="bottom"/>
          </w:tcPr>
          <w:p>
            <w:pPr>
              <w:pStyle w:val="TableContents"/>
              <w:bidi w:val="0"/>
              <w:spacing w:before="0" w:after="283"/>
              <w:jc w:val="left"/>
              <w:rPr/>
            </w:pPr>
            <w:r>
              <w:rPr/>
              <w:t> </w:t>
            </w:r>
          </w:p>
        </w:tc>
      </w:tr>
      <w:tr>
        <w:trPr/>
        <w:tc>
          <w:tcPr>
            <w:tcW w:w="5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4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1,037</w:t>
            </w:r>
          </w:p>
        </w:tc>
        <w:tc>
          <w:tcPr>
            <w:tcW w:w="159" w:type="dxa"/>
            <w:tcBorders/>
            <w:shd w:fill="CCEEFF" w:val="clear"/>
            <w:vAlign w:val="bottom"/>
          </w:tcPr>
          <w:p>
            <w:pPr>
              <w:pStyle w:val="TableContents"/>
              <w:bidi w:val="0"/>
              <w:spacing w:before="0" w:after="283"/>
              <w:jc w:val="left"/>
              <w:rPr/>
            </w:pPr>
            <w:r>
              <w:rPr/>
              <w:t> </w:t>
            </w:r>
          </w:p>
        </w:tc>
      </w:tr>
      <w:tr>
        <w:trPr/>
        <w:tc>
          <w:tcPr>
            <w:tcW w:w="5541"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41" w:type="dxa"/>
            <w:tcBorders/>
          </w:tcPr>
          <w:p>
            <w:pPr>
              <w:pStyle w:val="TableContents"/>
              <w:bidi w:val="0"/>
              <w:spacing w:before="0" w:after="0"/>
              <w:jc w:val="left"/>
              <w:rPr>
                <w:rFonts w:ascii="Times New Roman" w:hAnsi="Times New Roman"/>
                <w:sz w:val="20"/>
              </w:rPr>
            </w:pPr>
            <w:r>
              <w:rPr>
                <w:rFonts w:ascii="Times New Roman" w:hAnsi="Times New Roman"/>
                <w:sz w:val="20"/>
              </w:rPr>
              <w:t>Total undiscounted lease payments</w:t>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2,240</w:t>
            </w:r>
          </w:p>
        </w:tc>
        <w:tc>
          <w:tcPr>
            <w:tcW w:w="159" w:type="dxa"/>
            <w:tcBorders/>
            <w:vAlign w:val="bottom"/>
          </w:tcPr>
          <w:p>
            <w:pPr>
              <w:pStyle w:val="TableContents"/>
              <w:bidi w:val="0"/>
              <w:spacing w:before="0" w:after="283"/>
              <w:jc w:val="left"/>
              <w:rPr/>
            </w:pPr>
            <w:r>
              <w:rPr/>
              <w:t> </w:t>
            </w:r>
          </w:p>
        </w:tc>
      </w:tr>
      <w:tr>
        <w:trPr/>
        <w:tc>
          <w:tcPr>
            <w:tcW w:w="5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4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(188</w:t>
            </w:r>
          </w:p>
        </w:tc>
        <w:tc>
          <w:tcPr>
            <w:tcW w:w="159" w:type="dxa"/>
            <w:tcBorders/>
            <w:shd w:fill="CCEEFF" w:val="clear"/>
            <w:vAlign w:val="bottom"/>
          </w:tcPr>
          <w:p>
            <w:pPr>
              <w:pStyle w:val="TableContents"/>
              <w:bidi w:val="0"/>
              <w:spacing w:before="0" w:after="283"/>
              <w:jc w:val="left"/>
              <w:rPr/>
            </w:pPr>
            <w:r>
              <w:rPr/>
              <w:t>) </w:t>
            </w:r>
          </w:p>
        </w:tc>
      </w:tr>
      <w:tr>
        <w:trPr/>
        <w:tc>
          <w:tcPr>
            <w:tcW w:w="5541"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4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2,052</w:t>
            </w:r>
          </w:p>
        </w:tc>
        <w:tc>
          <w:tcPr>
            <w:tcW w:w="159" w:type="dxa"/>
            <w:tcBorders/>
            <w:vAlign w:val="bottom"/>
          </w:tcPr>
          <w:p>
            <w:pPr>
              <w:pStyle w:val="TableContents"/>
              <w:bidi w:val="0"/>
              <w:spacing w:before="0" w:after="283"/>
              <w:jc w:val="left"/>
              <w:rPr/>
            </w:pPr>
            <w:r>
              <w:rPr/>
              <w:t> </w:t>
            </w:r>
          </w:p>
        </w:tc>
      </w:tr>
      <w:tr>
        <w:trPr/>
        <w:tc>
          <w:tcPr>
            <w:tcW w:w="5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Operating lease liabilities, current portion</w:t>
            </w:r>
          </w:p>
        </w:tc>
        <w:tc>
          <w:tcPr>
            <w:tcW w:w="4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(1,056</w:t>
            </w:r>
          </w:p>
        </w:tc>
        <w:tc>
          <w:tcPr>
            <w:tcW w:w="159" w:type="dxa"/>
            <w:tcBorders/>
            <w:shd w:fill="CCEEFF" w:val="clear"/>
            <w:vAlign w:val="bottom"/>
          </w:tcPr>
          <w:p>
            <w:pPr>
              <w:pStyle w:val="TableContents"/>
              <w:bidi w:val="0"/>
              <w:spacing w:before="0" w:after="283"/>
              <w:jc w:val="left"/>
              <w:rPr/>
            </w:pPr>
            <w:r>
              <w:rPr/>
              <w:t>) </w:t>
            </w:r>
          </w:p>
        </w:tc>
      </w:tr>
      <w:tr>
        <w:trPr/>
        <w:tc>
          <w:tcPr>
            <w:tcW w:w="5541"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4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net of current portion</w:t>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996</w:t>
            </w:r>
          </w:p>
        </w:tc>
        <w:tc>
          <w:tcPr>
            <w:tcW w:w="159" w:type="dxa"/>
            <w:tcBorders/>
            <w:vAlign w:val="bottom"/>
          </w:tcPr>
          <w:p>
            <w:pPr>
              <w:pStyle w:val="TableContents"/>
              <w:bidi w:val="0"/>
              <w:spacing w:before="0" w:after="283"/>
              <w:jc w:val="left"/>
              <w:rPr/>
            </w:pPr>
            <w:r>
              <w:rPr/>
              <w:t> </w:t>
            </w:r>
          </w:p>
        </w:tc>
      </w:tr>
      <w:tr>
        <w:trPr/>
        <w:tc>
          <w:tcPr>
            <w:tcW w:w="5541"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Supplemental information on the Companys operating leases was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99"/>
        <w:gridCol w:w="521"/>
        <w:gridCol w:w="140"/>
        <w:gridCol w:w="441"/>
        <w:gridCol w:w="293"/>
        <w:gridCol w:w="421"/>
        <w:gridCol w:w="140"/>
        <w:gridCol w:w="703"/>
        <w:gridCol w:w="297"/>
      </w:tblGrid>
      <w:tr>
        <w:trPr/>
        <w:tc>
          <w:tcPr>
            <w:tcW w:w="4799" w:type="dxa"/>
            <w:tcBorders/>
            <w:vAlign w:val="center"/>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799"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21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297" w:type="dxa"/>
            <w:tcBorders/>
            <w:vAlign w:val="bottom"/>
          </w:tcPr>
          <w:p>
            <w:pPr>
              <w:pStyle w:val="TableContents"/>
              <w:bidi w:val="0"/>
              <w:spacing w:before="0" w:after="283"/>
              <w:jc w:val="left"/>
              <w:rPr/>
            </w:pPr>
            <w:r>
              <w:rPr/>
              <w:t> </w:t>
            </w:r>
          </w:p>
        </w:tc>
      </w:tr>
      <w:tr>
        <w:trPr/>
        <w:tc>
          <w:tcPr>
            <w:tcW w:w="4799"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5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293"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297" w:type="dxa"/>
            <w:tcBorders/>
            <w:vAlign w:val="bottom"/>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operating lease agreements (in thousands)</w:t>
            </w:r>
          </w:p>
        </w:tc>
        <w:tc>
          <w:tcPr>
            <w:tcW w:w="5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1" w:type="dxa"/>
            <w:tcBorders/>
            <w:shd w:fill="CCEEFF" w:val="clear"/>
            <w:vAlign w:val="bottom"/>
          </w:tcPr>
          <w:p>
            <w:pPr>
              <w:pStyle w:val="TableContents"/>
              <w:bidi w:val="0"/>
              <w:spacing w:before="0" w:after="283"/>
              <w:jc w:val="right"/>
              <w:rPr/>
            </w:pPr>
            <w:r>
              <w:rPr/>
              <w:t>724</w:t>
            </w:r>
          </w:p>
        </w:tc>
        <w:tc>
          <w:tcPr>
            <w:tcW w:w="293"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  </w:t>
            </w:r>
            <w:r>
              <w:rPr/>
              <w:t>1,115</w:t>
            </w:r>
          </w:p>
        </w:tc>
        <w:tc>
          <w:tcPr>
            <w:tcW w:w="297" w:type="dxa"/>
            <w:tcBorders/>
            <w:shd w:fill="CCEEFF" w:val="clear"/>
            <w:vAlign w:val="bottom"/>
          </w:tcPr>
          <w:p>
            <w:pPr>
              <w:pStyle w:val="TableContents"/>
              <w:bidi w:val="0"/>
              <w:spacing w:before="0" w:after="283"/>
              <w:jc w:val="left"/>
              <w:rPr/>
            </w:pPr>
            <w:r>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(in years)</w:t>
            </w:r>
          </w:p>
        </w:tc>
        <w:tc>
          <w:tcPr>
            <w:tcW w:w="5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2.6</w:t>
            </w:r>
          </w:p>
        </w:tc>
        <w:tc>
          <w:tcPr>
            <w:tcW w:w="293"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1.8</w:t>
            </w:r>
          </w:p>
        </w:tc>
        <w:tc>
          <w:tcPr>
            <w:tcW w:w="297" w:type="dxa"/>
            <w:tcBorders/>
            <w:vAlign w:val="bottom"/>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discount rate</w:t>
            </w:r>
          </w:p>
        </w:tc>
        <w:tc>
          <w:tcPr>
            <w:tcW w:w="5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10.0</w:t>
            </w:r>
          </w:p>
        </w:tc>
        <w:tc>
          <w:tcPr>
            <w:tcW w:w="293"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10.0</w:t>
            </w:r>
          </w:p>
        </w:tc>
        <w:tc>
          <w:tcPr>
            <w:tcW w:w="297"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arising from third party actions. In some cases, the indemnification will continue after the termination of the agreement. The maximum potential amount of future payments the Company could be required to make under these provisions is not determinable. The Company has not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w:t>
      </w:r>
    </w:p>
    <w:p>
      <w:pPr>
        <w:pStyle w:val="TextBody"/>
        <w:bidi w:val="0"/>
        <w:spacing w:before="360" w:after="0"/>
        <w:jc w:val="left"/>
        <w:rPr>
          <w:rFonts w:ascii="Times New Roman" w:hAnsi="Times New Roman"/>
          <w:b/>
          <w:sz w:val="20"/>
        </w:rPr>
      </w:pPr>
      <w:r>
        <w:rPr>
          <w:rFonts w:ascii="Times New Roman" w:hAnsi="Times New Roman"/>
          <w:b/>
          <w:sz w:val="20"/>
        </w:rPr>
        <w:t xml:space="preserve">Other 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various manufacturing, clinical, research and other contracts with vendors in the conduct of the normal course of its business. Such contracts are generally terminable with advanced written notice and payment for any products or services received by the Company through the effective time of termination and any non-cancelable and non-refundable obligations incurred by the vendor at the effective time of the termination. In the case of terminating a clinical trial agreement at a particular site, the Company would also be obligated to provide continued support for appropriate medical procedures at that site until completion or termination.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Strategic License and Research and Collaboration Agreements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2015 TSRI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acquisition of BlackThorn (see Note 6), the Company gained rights under a license agreement between BlackThorn and TSRI originally entered into in November 2015 (as amended, the 2015 TSRI License Agreement). Pursuant to the 2015 TSRI License Agreement, BlackThorn was granted certain exclusive rights to intellectual property related to Kappa Opioid Receptor and V1aR Receptor Antagonist programs as well as an oxytocin receptors positive allosteric modulator program (collectively, the TSRI Programs) from TSRI to develop, manufacture and commercialize diagnostic, prophylactic or therapeutic products covered by the licensed patents, or that involve the use or incorporation of the licensed know-how. The technology licensed under the 2015 TSRI License Agreement is used in the Companys NMRA-140 and NMRA-511 research and development programs.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2015 TSRI License Agreement, the Company is obligated, among other things, to pay TSRI (i) a nominal annual license fee due and payable on the first day of each calendar year and after the fourth anniversary creditable against any royalties due for such calendar year, (ii) development and regulatory milestone payments of up to $1.5 million in aggregate for the first product from each TSRI Program, which are contingent upon achieving specific development and regulatory milestone events, (iii) commercial milestone payments of up to $3.5 million in aggregate for each occurrence, which are contingent upon achieving specified commercialization milestone events, (iv) tiered low-single digit royalties on future net sales of each royalty-bearing product and (v) a percentage ranging from the mid-single digits to sub teen double digits of any sublicensing revenues the Company receives. The royalties are payable on a product-by-product and country-by-country basis until the later of expiration of the last to expire valid claim in the licensed patents production in the world and ten years after the first commercial sale of such product in such country. The Company also paid a change of control success fee to TSRI in shares of its Series A-1 convertible preferred stock with a fair value of $0.3 million as part of the acquisition of BlackThorn. As of December 31, 2021, none of the milestones had been achieved and no royalties were due under the 2015 TSRI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2015 TSRI License Agreement will remain in force until the expiration of all royalty payment obligations, unless terminated sooner (i) by the Company for convenience upon 90 days prior written notice to TSRI, or (ii) by either party upon certain events of default or material breach of contract by the other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2020 TSRI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acquisition of Propellex (see Note 6), the Company gained rights under a license agreement between Propellex and TSRI (the 2020 TSRI License Agreement) originally entered into in June 2020. Pursuant to the 2020 TSRI License Agreement, Propellex obtained an exclusive, worldwide, royalty- bearing, sublicensable license under certain patent rights, know-how and licensed materials for the treatment of Parkinsons disease and other neurodegenerative diseases and neurological pathologies, to develop, manufacture and commercialize products covered by the licensed patents, or that involve the use or incorporation of the licensed know-how or licensed materials. </w:t>
      </w:r>
    </w:p>
    <w:p>
      <w:pPr>
        <w:pStyle w:val="TextBody"/>
        <w:bidi w:val="0"/>
        <w:spacing w:before="240" w:after="0"/>
        <w:jc w:val="left"/>
        <w:rPr>
          <w:rFonts w:ascii="Times New Roman" w:hAnsi="Times New Roman"/>
          <w:sz w:val="20"/>
        </w:rPr>
      </w:pPr>
      <w:r>
        <w:rPr>
          <w:rFonts w:ascii="Times New Roman" w:hAnsi="Times New Roman"/>
          <w:sz w:val="20"/>
        </w:rPr>
        <w:t xml:space="preserve">Under the 2020 TSRI License Agreement, the Company is obligated, among other things, to pay TSRI (i) milestone payments of up to an aggregate of $7.4 million per licensed product, which are contingent upon achieving specific development and commercialization milestone events, (ii) tiered low-single digit royalties on future net sales of each royalty-bearing product, and (iii) a portion of any sub licensing revenues it receives. As of December 31, 2021, none of the milestones had been achieved and no royalties were due under the 2020 TSRI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In April 2021, the Company terminated the Propellex IPR&amp;D program (see Note 6). The 2020 TSRI License Agreement has not been terminated. </w:t>
      </w:r>
    </w:p>
    <w:p>
      <w:pPr>
        <w:pStyle w:val="TextBody"/>
        <w:bidi w:val="0"/>
        <w:spacing w:before="360" w:after="0"/>
        <w:jc w:val="left"/>
        <w:rPr>
          <w:rFonts w:ascii="Times New Roman" w:hAnsi="Times New Roman"/>
          <w:i/>
          <w:sz w:val="20"/>
        </w:rPr>
      </w:pPr>
      <w:r>
        <w:rPr>
          <w:rFonts w:ascii="Times New Roman" w:hAnsi="Times New Roman"/>
          <w:i/>
          <w:sz w:val="20"/>
        </w:rPr>
        <w:t xml:space="preserve">Harvard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acquisition of Syllable (see Note 6), the Company gained rights to a license agreement between Syllable and Harvard originally entered into in June 2020. Pursuant to the Harvard License Agreement, Syllable obtained an exclusive, worldwide, royalty-bearing, sublicensable license under certain patent rights and copyrights covering certain behavior imagining and behavioral tracking software, to develop and commercialize products and services based thereon. The Company uses the technology licensed under the Harvard License Agreement to advance its precision neuroscience platform. </w:t>
      </w:r>
    </w:p>
    <w:p>
      <w:pPr>
        <w:pStyle w:val="TextBody"/>
        <w:bidi w:val="0"/>
        <w:spacing w:before="240" w:after="0"/>
        <w:jc w:val="left"/>
        <w:rPr>
          <w:rFonts w:ascii="Times New Roman" w:hAnsi="Times New Roman"/>
          <w:sz w:val="20"/>
        </w:rPr>
      </w:pPr>
      <w:r>
        <w:rPr>
          <w:rFonts w:ascii="Times New Roman" w:hAnsi="Times New Roman"/>
          <w:sz w:val="20"/>
        </w:rPr>
        <w:t xml:space="preserve">Under the Harvard License Agreement, Syllable was required to pay Harvard a change of control payment. The Company agreed to pay the change-of-control payment in cash as part of the acquisition. In addition, the Company is obligated, among other things, to pay Harvard (i) nominal annual license maintenance fees that are creditable against any royalty amounts payable for licensed products sold in the same year, (ii) mid-single digit royalties on future net sales of each royalty-bearing product that utilizes the licensed technology, and (iii) a portion of any sub licensing revenues the Company receives ranging from the high teens to low-double digits. The royalties are payable until the later of expiration of the last to expire valid claim in the licensed patents that cover such product and the fifteenth anniversary of the first commercial sale of the last licensed product offered for sale. As of December 31, 2021, none of the milestones had been achieved and no royalties were due under the Harvard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Harvard License Agreement will remain in force until expiration of all royalty payment obligations unless terminated sooner (i) by the Company for convenience upon 120 days prior written notice to Harvard, (ii) by Harvard if the Company becomes insolvent, bankrupt, or becomes the subject of liquidation or dissolution proceedings or otherwise discontinues business, or (iii) by either party upon certain events of default or material breach of contract by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Harvard License Agreement, as amended in March 2021, provided for certain development milestones that the Company is required to meet between December 2021 and January 2024. Failure to meet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milestones constitutes a material breach of contract and would provide Harvard with the right to terminate the agreement subject to the notification and cure periods. As of December 31, 2021, the Company had not met the December 2021 milestone and was not expected to meet the January 2022 milestone. As of the date these consolidated financial statements were available for issuance, Harvard had neither terminated the agreement nor provided notice to the Company of its intent to do so as a result of the Companys failure to meet these milestones. The parties are currently in discussions to amend the agreement to revise the development milestones.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Collaboration Agreement with Amgen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2021, and concurrently with the Amgen License Agreements (see Note 6), the Company entered into a research collaboration agreement with Amgen (Amgen Collaboration Agreement) to collectively discover drug targets, biomarkers, Precision Phenotypes and other insights associated with central nervous system (CNS) diseases utilizing Amgens deCODE genetics and human data research capabilities. The Company received exclusive rights under intellectual property generated in the collaboration to exploit therapeutic compounds and diagnostics for use with therapeutics in the CNS field and Amgen received exclusive rights to exploit therapeutic compounds and diagnostics for use with therapeutics outside of the CNS field. The agreement is governed by the Joint Research Committee (JRC) which is made up of two representatives from each of the Company and Amgen to manage the progress and direction of research and development activities. All decisions made by the JRC shall be by consensus with each party having one vote, and if the JRC cannot reach a consensus, the dispute shall be referred to each companys executive officers. If the executive officers fail to reach a consensus, the Company will have final decision-making authority provided that the matter does not relate to the approval of, or any material change to, a project, decisions to acquire rights from a third party, decisions or activities that are in conflict with Amgens database usage or data access rights, or the approval of external costs and expenses relating to certain new data generation activities or certain new dataset acquisitions, as such matters require mutual agreement. </w:t>
      </w:r>
    </w:p>
    <w:p>
      <w:pPr>
        <w:pStyle w:val="TextBody"/>
        <w:bidi w:val="0"/>
        <w:spacing w:before="240" w:after="0"/>
        <w:jc w:val="left"/>
        <w:rPr>
          <w:rFonts w:ascii="Times New Roman" w:hAnsi="Times New Roman"/>
          <w:sz w:val="20"/>
        </w:rPr>
      </w:pPr>
      <w:r>
        <w:rPr>
          <w:rFonts w:ascii="Times New Roman" w:hAnsi="Times New Roman"/>
          <w:sz w:val="20"/>
        </w:rPr>
        <w:t xml:space="preserve">In return for Amgen performing research and development activities under the agreement, the Company is committed to making non-refundable, non-creditable quarterly payments over the next two years totaling $50.0 million and for the third year between $12.5 million and $25.0 million depending on whether certain progress milestones are achieved. Additionally, the Company will reimburse Amgen for certain direct, out-of-pocket external costs and expenses that are incurred in the performance of the activities under the Amgen Collaboration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agreement is up to five years, although it will terminate after three years if the Company and Amgen do not mutually agree upon a compensation structure for years four and five. If the parties do not reach an agreement at least 30 days prior to the end of year three, the Amgen Collaboration Agreement will automatically terminate upon its third anniversary. Further, either party can terminate the Amgen Collaboration Agreement upon material uncured breach or bankruptcy by the other party, in which case all amounts that have become due through the date of termination are non-refundable. </w:t>
      </w:r>
    </w:p>
    <w:p>
      <w:pPr>
        <w:pStyle w:val="TextBody"/>
        <w:bidi w:val="0"/>
        <w:spacing w:before="240" w:after="0"/>
        <w:jc w:val="left"/>
        <w:rPr>
          <w:rFonts w:ascii="Times New Roman" w:hAnsi="Times New Roman"/>
          <w:sz w:val="20"/>
        </w:rPr>
      </w:pPr>
      <w:r>
        <w:rPr>
          <w:rFonts w:ascii="Times New Roman" w:hAnsi="Times New Roman"/>
          <w:sz w:val="20"/>
        </w:rPr>
        <w:t xml:space="preserve">Amgen also has an exclusive option to negotiate, and the right of first negotiation, to obtain exclusive, worldwide licenses to research, develop, commercialize and otherwise exploit up to two therapeutic compounds or any pharmaceutical product containing such therapeutic compound arising from the collaboration. That right exists with respect to each compound for up to 60 days following positive Phase 2 results for that compound. The Company determined that these rights were not freestanding instruments from the Amgen Collaboration Agreement and did not meet definition of a derivative. Upon execution of the Amgen Collaboration Agreement in September 2021, the Company was obligated to pay Amgen the first quarter $6.3 million non-refundable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payment, which has been paid as of December 31, 2021. The second quarter $6.3 million non-refundable payment became due as of December 31, 2021 and has been recorded within accrued liabilities. As of December 31, 2021, the related prepaid research and development costs included on the consolidated balance sheet were $4.4 million within prepaid expenses and other current assets and $7.6 million within other assets.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Preferred Stock and Stockholders Deficit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2020, the Company executed a preferred stock purchase agreement (the SPA) and issued 123,620,000 shares of its Series A-2 convertible preferred stock at $1.00 per share for aggregate proceeds of $123.6 million in the initial closing of its Series A-2 convertible preferred stock financing. Upon the initial closing, the right of forfeiture for 44,008,327 shares of the Companys common stock issued with the 2020 Bridge Notes lapsed. Concurrent with the initial closing, the Company acquired a legal entity through the issuance of 40,000,000 shares of its Series A-2 convertible preferred stock and 10,000,000 shares of its common stock. The entity did not meet the definition of a business and its sole asset was cash. As a result, the shares of the Companys Series A-2 convertible preferred stock and common stock were recognized at their relative fair values for $39.5 million of cash obtained in the transaction. The Company also issued 59,180,294 shares of its Series A-2 convertible preferred stock upon settlement of the 2020 Bridge Notes.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September 2020, the Company issued an aggregate of 45,178,495 and 14,897,480 shares of its Series A-1 convertible preferred stock and Series A-2 convertible preferred stock, respectively, as consideration for various acquisitions of assets (see Note 6).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terms of the SPA, the Company also committed to selling 40,000,000 additional shares of its Series A-2 convertible preferred stock to one investor who is a related party at a fixed price of $1.00 per share in one or more subsequent closings on or before March 8, 2021. The Company determined that its obligation to issue additional shares of Series A-2 convertible preferred stock in subsequent closings was a freestanding financial instrument that should be classified as a liability (the convertible preferred stock tranche liability) on the Companys consolidated balance sheets and remeasured to fair value during the reporting period with any changes in fair value being recognized as a component of other income (expense) in the consolidated statements of operations and comprehensive loss. The fair value of convertible preferred stock tranche liability was determined to be de minimis on issuance in September 2020 and through the date of settlement in September 2021 because of (i) the original expected short-term nature of the obligation and (ii) the absence of significant business activities or events during the period from issuance to settlement that could have significantly impacted the value of the Company. Furthermore, additional third-party investors participated in the closing of the Companys subsequent Series A-2 convertible preferred stock financing completed in September 2021, which indicated a fair value of $1.00 per share.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SPA, a forfeiture provision was added to the terms of 33,333,333 shares of the Companys common stock previously issued in January 2020 to the same investor and related party that the Company committed to selling 40,000,000 additional shares of Series A-2 convertible preferred stock, of which 13,333,333 remained subject to the forfeiture provision as of December 31, 2020. The Company determined there was no accounting impact because it did not result in a transfer of value from the Companys common stockholders to its preferred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acquisition of Alairion in November 2020, an existing stockholder of both Alairion and the Company purchased a total of $12.0 million of Alairion convertible notes immediately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date that were settled with 12,000,000 shares of the Companys Series A-2 convertible preferred stock upon closing (the Alairion Pre-Closing Financing). The Alairion Pre-Closing Financing was treated as a separate arrangement apart from the acquisition of assets (see Note 6). </w:t>
      </w:r>
    </w:p>
    <w:p>
      <w:pPr>
        <w:pStyle w:val="TextBody"/>
        <w:bidi w:val="0"/>
        <w:spacing w:before="240" w:after="0"/>
        <w:jc w:val="left"/>
        <w:rPr>
          <w:rFonts w:ascii="Times New Roman" w:hAnsi="Times New Roman"/>
          <w:sz w:val="20"/>
        </w:rPr>
      </w:pPr>
      <w:r>
        <w:rPr>
          <w:rFonts w:ascii="Times New Roman" w:hAnsi="Times New Roman"/>
          <w:sz w:val="20"/>
        </w:rPr>
        <w:t xml:space="preserve">Between March and July 2021, the Company and certain of its investors entered into a series of amendments to the SPA to extend the deadline to complete subsequent closings of its Series A-2 convertible preferred stock from March 2021 to September 2021. The Company determined that such amendments to the Series A-2 convertible preferred stock represented modifications and no incremental expense would be recorded as the difference between the fair values of the Series A-2 convertible preferred stock immediately before and after the amendments were insignificant. Concurrently, the lapse of right of forfeiture with respect to 13,333,333 shares of the Companys common stock held by a related party investor was extended to September 2021. </w:t>
      </w:r>
    </w:p>
    <w:p>
      <w:pPr>
        <w:pStyle w:val="TextBody"/>
        <w:bidi w:val="0"/>
        <w:spacing w:before="240" w:after="0"/>
        <w:jc w:val="left"/>
        <w:rPr>
          <w:rFonts w:ascii="Times New Roman" w:hAnsi="Times New Roman"/>
          <w:sz w:val="20"/>
        </w:rPr>
      </w:pPr>
      <w:r>
        <w:rPr>
          <w:rFonts w:ascii="Times New Roman" w:hAnsi="Times New Roman"/>
          <w:sz w:val="20"/>
        </w:rPr>
        <w:t xml:space="preserve">Between August and September 2021, pursuant to the SPA, as amended, the Company issued 191,250,000 shares of its Series A-2 convertible preferred stock, including 141,250,000 shares to new investors and 50,000,000 shares to two existing investors, one of whom was a related party, at a price of $1.00 per share for aggregate proceeds of $191.3 million (the Final Closing). Upon the Final Closing, the right of forfeiture for 13,333,333 shares of the Companys common stock held by one related party investor lapsed and the convertible preferred stock tranche liability was settled. Immediately prior to settlement, the convertible preferred stock tranche liability was remeasured to fair value and was determined to be de minimis because the fixed price of $1.00 per share at which the Company was obligated to issue additional shares of its Series A-2 convertible preferred stock represented fair value as it was the same price per share paid by third-party investors who participated in the Final Closing.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the Final Closing, the Company entered into side letter agreements with three new investors, whereby the Company, amongst other things, granted such investors rights to access certain information and notices, concurrently with and in the same manner as the members of the board of directors or a major investor.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2021, Amgen purchased 100.0 million shares of the Companys Series A-2 convertible preferred stock at a purchase price of $1.00 per share, for aggregate proceeds of $100.0 million. Concurrent with the sale of the shares, Amgen and the Company entered into an agreement that limits Amgens right to vote as it relates to all matters presented to the Companys stockholders under its Amended and Restated Certificate of Incorporation, By-Laws, SPA and related agreements governing investors rights, except for matters pertaining to the amendment, waiver, and termination of such agreements (the Amgen Voting Rights Letter Agreement). Such voting limitations apply when Amgens ownership interest in the Companys outstanding voting securities exceeds 19.9% of the Companys total outstanding voting securities or voting power of outstanding single classes or series of the Companys stock (the Voting Threshold) and remain in effect until an the first to occur of an IPO, the Company becomes subject to period reporting under the Securities Exchange Act, a deemed liquidation event, or a transaction with a special purpose acquisition company (SPAC).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conditions, and only upon the Companys commencement of a Phase 2 clinical trial of a Company controlled molecule or the in-licensing or acquisition of a Phase 2 ready or later-stage molecule, Amgen is also obligated to provide the Company additional financing of up to $100.0 million by either (i) participating in up to two future financings of the Company, in each case by purchasing up $50.0 million in equity (or equity-linked) securities on the same terms and conditions of at least a matching dollar equivalent by one or more third party, or (ii) purchasing up to $40.0 million of shares in an IPO of the Company, in no case greater than 20% of the total gross proceeds of the IPO or (iii) purchasing up to $40.0 million of shares in an SPAC of the Company, in no case greater than 20% of the shares of capital stock of the SPAC (together, the Future Financing). The Future Financing is a freestanding financial instrument and is not subject to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classification and/or derivative accounting. The Future Financing was determined to be de minimis at issuance and as of December 31, 2021 as it would be settled based on the same terms and conditions other third parties will receive.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2020, the Companys convertible preferred stock consisted of the following: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72"/>
        <w:gridCol w:w="284"/>
        <w:gridCol w:w="81"/>
        <w:gridCol w:w="1110"/>
        <w:gridCol w:w="60"/>
        <w:gridCol w:w="284"/>
        <w:gridCol w:w="89"/>
        <w:gridCol w:w="1228"/>
        <w:gridCol w:w="60"/>
        <w:gridCol w:w="284"/>
        <w:gridCol w:w="140"/>
        <w:gridCol w:w="939"/>
        <w:gridCol w:w="60"/>
        <w:gridCol w:w="283"/>
        <w:gridCol w:w="161"/>
        <w:gridCol w:w="1086"/>
        <w:gridCol w:w="67"/>
      </w:tblGrid>
      <w:tr>
        <w:trPr/>
        <w:tc>
          <w:tcPr>
            <w:tcW w:w="3172"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17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Authorized</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3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Issued and</w:t>
              <w:br/>
              <w:t>Outstanding</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Value</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2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w:t>
              <w:br/>
              <w:t>Preference</w:t>
            </w:r>
          </w:p>
        </w:tc>
        <w:tc>
          <w:tcPr>
            <w:tcW w:w="67" w:type="dxa"/>
            <w:tcBorders/>
            <w:vAlign w:val="bottom"/>
          </w:tcPr>
          <w:p>
            <w:pPr>
              <w:pStyle w:val="TableContents"/>
              <w:bidi w:val="0"/>
              <w:spacing w:before="0" w:after="283"/>
              <w:jc w:val="left"/>
              <w:rPr/>
            </w:pPr>
            <w:r>
              <w:rPr/>
              <w:t> </w:t>
            </w:r>
          </w:p>
        </w:tc>
      </w:tr>
      <w:tr>
        <w:trPr/>
        <w:tc>
          <w:tcPr>
            <w:tcW w:w="317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5865" w:type="dxa"/>
            <w:gridSpan w:val="14"/>
            <w:tcBorders/>
            <w:vAlign w:val="bottom"/>
          </w:tcPr>
          <w:p>
            <w:pPr>
              <w:pStyle w:val="TableContents"/>
              <w:bidi w:val="0"/>
              <w:spacing w:before="0" w:after="283"/>
              <w:jc w:val="center"/>
              <w:rPr>
                <w:b/>
              </w:rPr>
            </w:pPr>
            <w:r>
              <w:rPr>
                <w:b/>
              </w:rPr>
              <w:t>(in thousands)</w:t>
            </w:r>
          </w:p>
        </w:tc>
        <w:tc>
          <w:tcPr>
            <w:tcW w:w="67" w:type="dxa"/>
            <w:tcBorders/>
            <w:vAlign w:val="bottom"/>
          </w:tcPr>
          <w:p>
            <w:pPr>
              <w:pStyle w:val="TableContents"/>
              <w:bidi w:val="0"/>
              <w:spacing w:before="0" w:after="283"/>
              <w:jc w:val="left"/>
              <w:rPr/>
            </w:pPr>
            <w:r>
              <w:rPr/>
              <w:t> </w:t>
            </w:r>
          </w:p>
        </w:tc>
      </w:tr>
      <w:tr>
        <w:trPr/>
        <w:tc>
          <w:tcPr>
            <w:tcW w:w="31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45,178</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9" w:type="dxa"/>
            <w:tcBorders/>
            <w:shd w:fill="CCEEFF" w:val="clear"/>
            <w:vAlign w:val="bottom"/>
          </w:tcPr>
          <w:p>
            <w:pPr>
              <w:pStyle w:val="TableContents"/>
              <w:bidi w:val="0"/>
              <w:spacing w:before="0" w:after="283"/>
              <w:jc w:val="right"/>
              <w:rPr/>
            </w:pPr>
            <w:r>
              <w:rPr/>
              <w:t>36,595</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086" w:type="dxa"/>
            <w:tcBorders/>
            <w:shd w:fill="CCEEFF" w:val="clear"/>
            <w:vAlign w:val="bottom"/>
          </w:tcPr>
          <w:p>
            <w:pPr>
              <w:pStyle w:val="TableContents"/>
              <w:bidi w:val="0"/>
              <w:spacing w:before="0" w:after="283"/>
              <w:jc w:val="right"/>
              <w:rPr/>
            </w:pPr>
            <w:r>
              <w:rPr/>
              <w:t>45,178</w:t>
            </w:r>
          </w:p>
        </w:tc>
        <w:tc>
          <w:tcPr>
            <w:tcW w:w="67" w:type="dxa"/>
            <w:tcBorders/>
            <w:shd w:fill="CCEEFF" w:val="clear"/>
            <w:vAlign w:val="bottom"/>
          </w:tcPr>
          <w:p>
            <w:pPr>
              <w:pStyle w:val="TableContents"/>
              <w:bidi w:val="0"/>
              <w:spacing w:before="0" w:after="283"/>
              <w:jc w:val="left"/>
              <w:rPr/>
            </w:pPr>
            <w:r>
              <w:rPr/>
              <w:t> </w:t>
            </w:r>
          </w:p>
        </w:tc>
      </w:tr>
      <w:tr>
        <w:trPr/>
        <w:tc>
          <w:tcPr>
            <w:tcW w:w="3172" w:type="dxa"/>
            <w:tcBorders/>
          </w:tcPr>
          <w:p>
            <w:pPr>
              <w:pStyle w:val="TableContents"/>
              <w:bidi w:val="0"/>
              <w:spacing w:before="0" w:after="0"/>
              <w:jc w:val="left"/>
              <w:rPr>
                <w:rFonts w:ascii="Times New Roman" w:hAnsi="Times New Roman"/>
                <w:sz w:val="20"/>
              </w:rPr>
            </w:pPr>
            <w:r>
              <w:rPr>
                <w:rFonts w:ascii="Times New Roman" w:hAnsi="Times New Roman"/>
                <w:sz w:val="20"/>
              </w:rPr>
              <w:t>Series A-2</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290,000</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249,698</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245,084</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249,698</w:t>
            </w:r>
          </w:p>
        </w:tc>
        <w:tc>
          <w:tcPr>
            <w:tcW w:w="67" w:type="dxa"/>
            <w:tcBorders/>
            <w:vAlign w:val="bottom"/>
          </w:tcPr>
          <w:p>
            <w:pPr>
              <w:pStyle w:val="TableContents"/>
              <w:bidi w:val="0"/>
              <w:spacing w:before="0" w:after="283"/>
              <w:jc w:val="left"/>
              <w:rPr/>
            </w:pPr>
            <w:r>
              <w:rPr/>
              <w:t> </w:t>
            </w:r>
          </w:p>
        </w:tc>
      </w:tr>
      <w:tr>
        <w:trPr/>
        <w:tc>
          <w:tcPr>
            <w:tcW w:w="3172"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1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convertible preferred stock</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340,000</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294,876</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9" w:type="dxa"/>
            <w:tcBorders/>
            <w:shd w:fill="CCEEFF" w:val="clear"/>
            <w:vAlign w:val="bottom"/>
          </w:tcPr>
          <w:p>
            <w:pPr>
              <w:pStyle w:val="TableContents"/>
              <w:bidi w:val="0"/>
              <w:spacing w:before="0" w:after="283"/>
              <w:jc w:val="right"/>
              <w:rPr/>
            </w:pPr>
            <w:r>
              <w:rPr/>
              <w:t>  </w:t>
            </w:r>
            <w:r>
              <w:rPr/>
              <w:t>281,679</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086" w:type="dxa"/>
            <w:tcBorders/>
            <w:shd w:fill="CCEEFF" w:val="clear"/>
            <w:vAlign w:val="bottom"/>
          </w:tcPr>
          <w:p>
            <w:pPr>
              <w:pStyle w:val="TableContents"/>
              <w:bidi w:val="0"/>
              <w:spacing w:before="0" w:after="283"/>
              <w:jc w:val="right"/>
              <w:rPr/>
            </w:pPr>
            <w:r>
              <w:rPr/>
              <w:t>  </w:t>
            </w:r>
            <w:r>
              <w:rPr/>
              <w:t>294,876</w:t>
            </w:r>
          </w:p>
        </w:tc>
        <w:tc>
          <w:tcPr>
            <w:tcW w:w="67" w:type="dxa"/>
            <w:tcBorders/>
            <w:shd w:fill="CCEEFF" w:val="clear"/>
            <w:vAlign w:val="bottom"/>
          </w:tcPr>
          <w:p>
            <w:pPr>
              <w:pStyle w:val="TableContents"/>
              <w:bidi w:val="0"/>
              <w:spacing w:before="0" w:after="283"/>
              <w:jc w:val="left"/>
              <w:rPr/>
            </w:pPr>
            <w:r>
              <w:rPr/>
              <w:t> </w:t>
            </w:r>
          </w:p>
        </w:tc>
      </w:tr>
      <w:tr>
        <w:trPr/>
        <w:tc>
          <w:tcPr>
            <w:tcW w:w="3172"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108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2021, the Companys convertible preferred stock consisted of the following: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72"/>
        <w:gridCol w:w="284"/>
        <w:gridCol w:w="81"/>
        <w:gridCol w:w="1110"/>
        <w:gridCol w:w="60"/>
        <w:gridCol w:w="284"/>
        <w:gridCol w:w="89"/>
        <w:gridCol w:w="1228"/>
        <w:gridCol w:w="60"/>
        <w:gridCol w:w="284"/>
        <w:gridCol w:w="140"/>
        <w:gridCol w:w="939"/>
        <w:gridCol w:w="60"/>
        <w:gridCol w:w="283"/>
        <w:gridCol w:w="161"/>
        <w:gridCol w:w="1086"/>
        <w:gridCol w:w="67"/>
      </w:tblGrid>
      <w:tr>
        <w:trPr/>
        <w:tc>
          <w:tcPr>
            <w:tcW w:w="3172"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17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Authorized</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3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Issued and</w:t>
              <w:br/>
              <w:t>Outstanding</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Value</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2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w:t>
              <w:br/>
              <w:t>Preference</w:t>
            </w:r>
          </w:p>
        </w:tc>
        <w:tc>
          <w:tcPr>
            <w:tcW w:w="67" w:type="dxa"/>
            <w:tcBorders/>
            <w:vAlign w:val="bottom"/>
          </w:tcPr>
          <w:p>
            <w:pPr>
              <w:pStyle w:val="TableContents"/>
              <w:bidi w:val="0"/>
              <w:spacing w:before="0" w:after="283"/>
              <w:jc w:val="left"/>
              <w:rPr/>
            </w:pPr>
            <w:r>
              <w:rPr/>
              <w:t> </w:t>
            </w:r>
          </w:p>
        </w:tc>
      </w:tr>
      <w:tr>
        <w:trPr/>
        <w:tc>
          <w:tcPr>
            <w:tcW w:w="317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5865" w:type="dxa"/>
            <w:gridSpan w:val="14"/>
            <w:tcBorders/>
            <w:vAlign w:val="bottom"/>
          </w:tcPr>
          <w:p>
            <w:pPr>
              <w:pStyle w:val="TableContents"/>
              <w:bidi w:val="0"/>
              <w:spacing w:before="0" w:after="283"/>
              <w:jc w:val="center"/>
              <w:rPr>
                <w:b/>
              </w:rPr>
            </w:pPr>
            <w:r>
              <w:rPr>
                <w:b/>
              </w:rPr>
              <w:t>(in thousands)</w:t>
            </w:r>
          </w:p>
        </w:tc>
        <w:tc>
          <w:tcPr>
            <w:tcW w:w="67" w:type="dxa"/>
            <w:tcBorders/>
            <w:vAlign w:val="bottom"/>
          </w:tcPr>
          <w:p>
            <w:pPr>
              <w:pStyle w:val="TableContents"/>
              <w:bidi w:val="0"/>
              <w:spacing w:before="0" w:after="283"/>
              <w:jc w:val="left"/>
              <w:rPr/>
            </w:pPr>
            <w:r>
              <w:rPr/>
              <w:t> </w:t>
            </w:r>
          </w:p>
        </w:tc>
      </w:tr>
      <w:tr>
        <w:trPr/>
        <w:tc>
          <w:tcPr>
            <w:tcW w:w="31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48,000</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45,178</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9" w:type="dxa"/>
            <w:tcBorders/>
            <w:shd w:fill="CCEEFF" w:val="clear"/>
            <w:vAlign w:val="bottom"/>
          </w:tcPr>
          <w:p>
            <w:pPr>
              <w:pStyle w:val="TableContents"/>
              <w:bidi w:val="0"/>
              <w:spacing w:before="0" w:after="283"/>
              <w:jc w:val="right"/>
              <w:rPr/>
            </w:pPr>
            <w:r>
              <w:rPr/>
              <w:t>36,595</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086" w:type="dxa"/>
            <w:tcBorders/>
            <w:shd w:fill="CCEEFF" w:val="clear"/>
            <w:vAlign w:val="bottom"/>
          </w:tcPr>
          <w:p>
            <w:pPr>
              <w:pStyle w:val="TableContents"/>
              <w:bidi w:val="0"/>
              <w:spacing w:before="0" w:after="283"/>
              <w:jc w:val="right"/>
              <w:rPr/>
            </w:pPr>
            <w:r>
              <w:rPr/>
              <w:t>45,178</w:t>
            </w:r>
          </w:p>
        </w:tc>
        <w:tc>
          <w:tcPr>
            <w:tcW w:w="67" w:type="dxa"/>
            <w:tcBorders/>
            <w:shd w:fill="CCEEFF" w:val="clear"/>
            <w:vAlign w:val="bottom"/>
          </w:tcPr>
          <w:p>
            <w:pPr>
              <w:pStyle w:val="TableContents"/>
              <w:bidi w:val="0"/>
              <w:spacing w:before="0" w:after="283"/>
              <w:jc w:val="left"/>
              <w:rPr/>
            </w:pPr>
            <w:r>
              <w:rPr/>
              <w:t> </w:t>
            </w:r>
          </w:p>
        </w:tc>
      </w:tr>
      <w:tr>
        <w:trPr/>
        <w:tc>
          <w:tcPr>
            <w:tcW w:w="3172" w:type="dxa"/>
            <w:tcBorders/>
          </w:tcPr>
          <w:p>
            <w:pPr>
              <w:pStyle w:val="TableContents"/>
              <w:bidi w:val="0"/>
              <w:spacing w:before="0" w:after="0"/>
              <w:jc w:val="left"/>
              <w:rPr>
                <w:rFonts w:ascii="Times New Roman" w:hAnsi="Times New Roman"/>
                <w:sz w:val="20"/>
              </w:rPr>
            </w:pPr>
            <w:r>
              <w:rPr>
                <w:rFonts w:ascii="Times New Roman" w:hAnsi="Times New Roman"/>
                <w:sz w:val="20"/>
              </w:rPr>
              <w:t>Series A-2</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707,000</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697,948</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693,263</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697,948</w:t>
            </w:r>
          </w:p>
        </w:tc>
        <w:tc>
          <w:tcPr>
            <w:tcW w:w="67" w:type="dxa"/>
            <w:tcBorders/>
            <w:vAlign w:val="bottom"/>
          </w:tcPr>
          <w:p>
            <w:pPr>
              <w:pStyle w:val="TableContents"/>
              <w:bidi w:val="0"/>
              <w:spacing w:before="0" w:after="283"/>
              <w:jc w:val="left"/>
              <w:rPr/>
            </w:pPr>
            <w:r>
              <w:rPr/>
              <w:t> </w:t>
            </w:r>
          </w:p>
        </w:tc>
      </w:tr>
      <w:tr>
        <w:trPr/>
        <w:tc>
          <w:tcPr>
            <w:tcW w:w="3172"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1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convertible preferred stock</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755,000</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743,126</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9" w:type="dxa"/>
            <w:tcBorders/>
            <w:shd w:fill="CCEEFF" w:val="clear"/>
            <w:vAlign w:val="bottom"/>
          </w:tcPr>
          <w:p>
            <w:pPr>
              <w:pStyle w:val="TableContents"/>
              <w:bidi w:val="0"/>
              <w:spacing w:before="0" w:after="283"/>
              <w:jc w:val="right"/>
              <w:rPr/>
            </w:pPr>
            <w:r>
              <w:rPr/>
              <w:t>  </w:t>
            </w:r>
            <w:r>
              <w:rPr/>
              <w:t>729,858</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086" w:type="dxa"/>
            <w:tcBorders/>
            <w:shd w:fill="CCEEFF" w:val="clear"/>
            <w:vAlign w:val="bottom"/>
          </w:tcPr>
          <w:p>
            <w:pPr>
              <w:pStyle w:val="TableContents"/>
              <w:bidi w:val="0"/>
              <w:spacing w:before="0" w:after="283"/>
              <w:jc w:val="right"/>
              <w:rPr/>
            </w:pPr>
            <w:r>
              <w:rPr/>
              <w:t>  </w:t>
            </w:r>
            <w:r>
              <w:rPr/>
              <w:t>743,126</w:t>
            </w:r>
          </w:p>
        </w:tc>
        <w:tc>
          <w:tcPr>
            <w:tcW w:w="67" w:type="dxa"/>
            <w:tcBorders/>
            <w:shd w:fill="CCEEFF" w:val="clear"/>
            <w:vAlign w:val="bottom"/>
          </w:tcPr>
          <w:p>
            <w:pPr>
              <w:pStyle w:val="TableContents"/>
              <w:bidi w:val="0"/>
              <w:spacing w:before="0" w:after="283"/>
              <w:jc w:val="left"/>
              <w:rPr/>
            </w:pPr>
            <w:r>
              <w:rPr/>
              <w:t> </w:t>
            </w:r>
          </w:p>
        </w:tc>
      </w:tr>
      <w:tr>
        <w:trPr/>
        <w:tc>
          <w:tcPr>
            <w:tcW w:w="3172"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108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holders of the Companys convertible preferred stock have the following rights, preferences and privileges: </w:t>
      </w:r>
    </w:p>
    <w:p>
      <w:pPr>
        <w:pStyle w:val="TextBody"/>
        <w:bidi w:val="0"/>
        <w:spacing w:before="36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each series of convertible preferred stock are entitled to non-cumulative dividends at an annual rate of 6.0% of the original issue price when and if declared by the Companys board of directors. The dividend rate is subject to adjustment if the Company undertakes any stock splits, stock dividends, combinations, subdivisions, or recapitalization events. Holders of Series A-2 convertible preferred stock are entitled to dividends prior and in preference to any declaration or payment of any dividend to holders of Series A-1 convertible preferred stock and common stock. Holders of the Series A-1 convertible preferred stock are entitled to dividends prior and in preference to any declaration or payment of any dividend to holders of common stock. No dividends have been declared or paid as of December 31, 2021.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distributions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liquidation, dissolution, or winding up of the Company, either voluntary or involuntary, the holders of the then outstanding Series A-2 convertible preferred stock shall be entitled to receive, prior and in preference to any distribution of any of the assets of the Company to the holders of the Series A-1 convertible preferred stock and common stock, a liquidation preference in an amount per share equal to the original issue price (as adjusted for stock splits, stock dividends, and recapitalizations) plus all declared but unpaid dividends on such shares. The holders of the then outstanding Series A-1 convertible preferred stock shall be entitled to receive, prior and in preference to any distribution of any of the assets of the Company to the holders of the common stock, a liquidation preference in an amount per share equal to the original issue price (as adjusted for stock splits, stock dividends, and recapitalizations) plus all declared but unpaid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dividends on such shares. Thereafter, any remaining assets of the Company will be distributed, on a pari passu basis, among the holders of the common stock. If the assets and funds available to be distributed to the stockholders shall be insufficient to permit the payment, in full, of any of the liquidation preferences, then the entire assets and funds legally available for distribution to the convertible preferred stock shall be distributed ratably among the holders of convertible preferred stock based on the total number of shares held by each holder. </w:t>
      </w:r>
    </w:p>
    <w:p>
      <w:pPr>
        <w:pStyle w:val="TextBody"/>
        <w:bidi w:val="0"/>
        <w:spacing w:before="36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 of each share of convertible preferred stock is entitled to one vote for each share of common stock into which it would convert. Except as provided by law or other provisions in the Companys Amended and Restated Certificate of Incorporation, the holders of the convertible preferred stock shall vote together with the holders of the common stock as a single class on an as-converted basis. So long as 16,000,000 shares of Series A-2 convertible preferred stock remain outstanding, then (i) the holders of such convertible preferred stock, exclusively, are entitled to elect three directors of the Company, (ii) the holders of the Companys common stock, exclusively, are entitled to elect one director of the Company, and (iii) the holders of the Series A-2 convertible preferred stock and common stock, voting together as a single class on an as-converted basis, are entitled to elect two directors of the Company. The holders of the Series A-1 convertible preferred stock are not entitled to elect directors of the Company. </w:t>
      </w:r>
    </w:p>
    <w:p>
      <w:pPr>
        <w:pStyle w:val="TextBody"/>
        <w:bidi w:val="0"/>
        <w:spacing w:before="360" w:after="0"/>
        <w:jc w:val="left"/>
        <w:rPr>
          <w:rFonts w:ascii="Times New Roman" w:hAnsi="Times New Roman"/>
          <w:i/>
          <w:sz w:val="20"/>
        </w:rPr>
      </w:pPr>
      <w:r>
        <w:rPr>
          <w:rFonts w:ascii="Times New Roman" w:hAnsi="Times New Roman"/>
          <w:i/>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convertible preferred stock are convertible into shares of common stock at the option of the holder, at any time after the date of issuance of such shares, determined by dividing the original issue price per share by the conversion price in effect at the time of conversion. As of December 31, 2021, the applicable conversion price was $1.00 per share for Series A-1 convertible preferred stock and $1.00 per share for Series A-2 convertible preferred stock. The conversion price shall be subject to adjustments for stock splits, stock dividends, combinations, subdivisions, or recapitalization events. In addition, if the Company should issue convertible preferred stock or common stock without consideration or for a consideration per share less than the conversion price for the convertible preferred stock, the conversion price for each series shall automatically be adjusted in accordance with anti-dilution provisions contained in the Companys Amended and Restated Certificate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convertible preferred stock shall automatically convert into common stock immediately upon (i) the closing of the sale of common stock in a firm-commitment underwritten public offering pursuant to an effective registration statement under the Securities Act of 1933, as amended, resulting in at least $30.0 million of gross proceeds to the Company (a Qualified IPO), or (ii) the occurrence of an event, specified by vote or written consent of the holders of a majority of the then-outstanding shares of Series A-2 convertible preferred stock.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rights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Series A-1 convertible preferred stock and A-2 convertible preferred stock are not mandatorily redeemable. </w:t>
      </w:r>
    </w:p>
    <w:p>
      <w:pPr>
        <w:pStyle w:val="TextBody"/>
        <w:bidi w:val="0"/>
        <w:spacing w:before="360" w:after="0"/>
        <w:jc w:val="left"/>
        <w:rPr>
          <w:rFonts w:ascii="Times New Roman" w:hAnsi="Times New Roman"/>
          <w:i/>
          <w:sz w:val="20"/>
        </w:rPr>
      </w:pPr>
      <w:r>
        <w:rPr>
          <w:rFonts w:ascii="Times New Roman" w:hAnsi="Times New Roman"/>
          <w:i/>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Companys investors rights agreement, certain holders of the Companys convertible preferred stock and common stock have the right to demand that the Company file a registration statement or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that their shares be covered by a registration statement that the Company is otherwise filing. Holders of the Companys convertible preferred stock have the right to request the Company to file certain registration statements with the SEC for the registration of shares related to the convertible preferred stock. The obligations of the Company regarding such registration rights include, but are not limited to, commercially reasonable efforts to cause such registration statement to become effective, keep such registration statement effective for up to 120 days, prepare and file amendments and supplements to such registration statement and the prospectus used in connection with such registration statement, and furnish to the selling holders copies of the prospectus and any other documents as they may reasonably request. The terms of the registration rights provide for the payment of certain expenses related to the registration of the shares, including a capped reimbursement of legal fees of a single special counsel for the holders of the shares, but do not impose any obligations for the Company to pay additional consideration to the holders in case a registration statement is subsequently withdrawn at the request of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August 2021, the Companys board of directors approved a certificate of amendment to the Companys amended and restated certificate of incorporation which, among other things, (i) increased the authorized number of shares of the Companys common stock to 1,125,000,000 shares and (ii) increased the authorized number of shares of the Companys convertible preferred stock to 755,000,000 shares.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the Companys common stock are entitled to one vote per share on all matters to be voted on by the stockholders of the Company and are entitled to dividends, if and when declared by the Companys board of directors, subject to the prior rights of the preferred stockholders. Common stock outstanding on the consolidated balance sheet and consolidated statement of convertible preferred stock and stockholders deficit as of December 31, 2021 includes 43,366,396 shares of restricted stock that vest based on service conditions and are subject to the Companys right of repurchase upon termination of services and 7,000,000 shares of restricted stock that vest based on performance conditions and for which a grant date had not been established (see Note 13). </w:t>
      </w:r>
    </w:p>
    <w:p>
      <w:pPr>
        <w:pStyle w:val="TextBody"/>
        <w:bidi w:val="0"/>
        <w:spacing w:before="240" w:after="0"/>
        <w:jc w:val="left"/>
        <w:rPr>
          <w:rFonts w:ascii="Times New Roman" w:hAnsi="Times New Roman"/>
          <w:sz w:val="20"/>
        </w:rPr>
      </w:pPr>
      <w:r>
        <w:rPr>
          <w:rFonts w:ascii="Times New Roman" w:hAnsi="Times New Roman"/>
          <w:sz w:val="20"/>
        </w:rPr>
        <w:t xml:space="preserve">Common stock reserved for future issuance as of December 31, 2020 and 2021 consisted of the following: </w:t>
      </w:r>
    </w:p>
    <w:p>
      <w:pPr>
        <w:pStyle w:val="TextBody"/>
        <w:bidi w:val="0"/>
        <w:spacing w:before="0" w:after="0"/>
        <w:jc w:val="left"/>
        <w:rPr/>
      </w:pPr>
      <w:r>
        <w:rPr/>
        <w:t> </w:t>
      </w:r>
    </w:p>
    <w:tbl>
      <w:tblPr>
        <w:tblW w:w="4400" w:type="pct"/>
        <w:jc w:val="right"/>
        <w:tblInd w:w="0" w:type="dxa"/>
        <w:tblLayout w:type="fixed"/>
        <w:tblCellMar>
          <w:top w:w="0" w:type="dxa"/>
          <w:left w:w="0" w:type="dxa"/>
          <w:bottom w:w="0" w:type="dxa"/>
          <w:right w:w="0" w:type="dxa"/>
        </w:tblCellMar>
      </w:tblPr>
      <w:tblGrid>
        <w:gridCol w:w="6407"/>
        <w:gridCol w:w="364"/>
        <w:gridCol w:w="60"/>
        <w:gridCol w:w="801"/>
        <w:gridCol w:w="60"/>
        <w:gridCol w:w="364"/>
        <w:gridCol w:w="60"/>
        <w:gridCol w:w="801"/>
        <w:gridCol w:w="63"/>
      </w:tblGrid>
      <w:tr>
        <w:trPr/>
        <w:tc>
          <w:tcPr>
            <w:tcW w:w="6407"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407"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1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3" w:type="dxa"/>
            <w:tcBorders/>
            <w:vAlign w:val="bottom"/>
          </w:tcPr>
          <w:p>
            <w:pPr>
              <w:pStyle w:val="TableContents"/>
              <w:bidi w:val="0"/>
              <w:spacing w:before="0" w:after="283"/>
              <w:jc w:val="left"/>
              <w:rPr/>
            </w:pPr>
            <w:r>
              <w:rPr/>
              <w:t> </w:t>
            </w:r>
          </w:p>
        </w:tc>
      </w:tr>
      <w:tr>
        <w:trPr/>
        <w:tc>
          <w:tcPr>
            <w:tcW w:w="6407"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3" w:type="dxa"/>
            <w:tcBorders/>
            <w:vAlign w:val="bottom"/>
          </w:tcPr>
          <w:p>
            <w:pPr>
              <w:pStyle w:val="TableContents"/>
              <w:bidi w:val="0"/>
              <w:spacing w:before="0" w:after="283"/>
              <w:jc w:val="left"/>
              <w:rPr/>
            </w:pPr>
            <w:r>
              <w:rPr/>
              <w:t> </w:t>
            </w:r>
          </w:p>
        </w:tc>
      </w:tr>
      <w:tr>
        <w:trPr/>
        <w:tc>
          <w:tcPr>
            <w:tcW w:w="6407"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146" w:type="dxa"/>
            <w:gridSpan w:val="6"/>
            <w:tcBorders/>
            <w:vAlign w:val="bottom"/>
          </w:tcPr>
          <w:p>
            <w:pPr>
              <w:pStyle w:val="TableContents"/>
              <w:bidi w:val="0"/>
              <w:spacing w:before="0" w:after="283"/>
              <w:jc w:val="center"/>
              <w:rPr>
                <w:b/>
              </w:rPr>
            </w:pPr>
            <w:r>
              <w:rPr>
                <w:b/>
              </w:rPr>
              <w:t>(in thousands)</w:t>
            </w:r>
          </w:p>
        </w:tc>
        <w:tc>
          <w:tcPr>
            <w:tcW w:w="63" w:type="dxa"/>
            <w:tcBorders/>
            <w:vAlign w:val="bottom"/>
          </w:tcPr>
          <w:p>
            <w:pPr>
              <w:pStyle w:val="TableContents"/>
              <w:bidi w:val="0"/>
              <w:spacing w:before="0" w:after="283"/>
              <w:jc w:val="left"/>
              <w:rPr/>
            </w:pPr>
            <w:r>
              <w:rPr/>
              <w:t> </w:t>
            </w:r>
          </w:p>
        </w:tc>
      </w:tr>
      <w:tr>
        <w:trPr/>
        <w:tc>
          <w:tcPr>
            <w:tcW w:w="64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conversion of outstanding Series A-1 and Series A-2 convertible preferred stock</w:t>
            </w:r>
          </w:p>
        </w:tc>
        <w:tc>
          <w:tcPr>
            <w:tcW w:w="3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294,876</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743,126</w:t>
            </w:r>
          </w:p>
        </w:tc>
        <w:tc>
          <w:tcPr>
            <w:tcW w:w="63" w:type="dxa"/>
            <w:tcBorders/>
            <w:shd w:fill="CCEEFF" w:val="clear"/>
            <w:vAlign w:val="bottom"/>
          </w:tcPr>
          <w:p>
            <w:pPr>
              <w:pStyle w:val="TableContents"/>
              <w:bidi w:val="0"/>
              <w:spacing w:before="0" w:after="283"/>
              <w:jc w:val="left"/>
              <w:rPr/>
            </w:pPr>
            <w:r>
              <w:rPr/>
              <w:t> </w:t>
            </w:r>
          </w:p>
        </w:tc>
      </w:tr>
      <w:tr>
        <w:trPr/>
        <w:tc>
          <w:tcPr>
            <w:tcW w:w="6407"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Series A-1 convertible preferred stock related to Preferred Stock Warrants</w:t>
            </w:r>
          </w:p>
        </w:tc>
        <w:tc>
          <w:tcPr>
            <w:tcW w:w="3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2,293</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2,293</w:t>
            </w:r>
          </w:p>
        </w:tc>
        <w:tc>
          <w:tcPr>
            <w:tcW w:w="63" w:type="dxa"/>
            <w:tcBorders/>
            <w:vAlign w:val="bottom"/>
          </w:tcPr>
          <w:p>
            <w:pPr>
              <w:pStyle w:val="TableContents"/>
              <w:bidi w:val="0"/>
              <w:spacing w:before="0" w:after="283"/>
              <w:jc w:val="left"/>
              <w:rPr/>
            </w:pPr>
            <w:r>
              <w:rPr/>
              <w:t> </w:t>
            </w:r>
          </w:p>
        </w:tc>
      </w:tr>
      <w:tr>
        <w:trPr/>
        <w:tc>
          <w:tcPr>
            <w:tcW w:w="64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options to purchase common stock under the Plans</w:t>
            </w:r>
          </w:p>
        </w:tc>
        <w:tc>
          <w:tcPr>
            <w:tcW w:w="3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26,775</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46,265</w:t>
            </w:r>
          </w:p>
        </w:tc>
        <w:tc>
          <w:tcPr>
            <w:tcW w:w="63" w:type="dxa"/>
            <w:tcBorders/>
            <w:shd w:fill="CCEEFF" w:val="clear"/>
            <w:vAlign w:val="bottom"/>
          </w:tcPr>
          <w:p>
            <w:pPr>
              <w:pStyle w:val="TableContents"/>
              <w:bidi w:val="0"/>
              <w:spacing w:before="0" w:after="283"/>
              <w:jc w:val="left"/>
              <w:rPr/>
            </w:pPr>
            <w:r>
              <w:rPr/>
              <w:t> </w:t>
            </w:r>
          </w:p>
        </w:tc>
      </w:tr>
      <w:tr>
        <w:trPr/>
        <w:tc>
          <w:tcPr>
            <w:tcW w:w="6407"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issuance under the Plans</w:t>
            </w:r>
          </w:p>
        </w:tc>
        <w:tc>
          <w:tcPr>
            <w:tcW w:w="3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33,149</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3,048</w:t>
            </w:r>
          </w:p>
        </w:tc>
        <w:tc>
          <w:tcPr>
            <w:tcW w:w="63" w:type="dxa"/>
            <w:tcBorders/>
            <w:vAlign w:val="bottom"/>
          </w:tcPr>
          <w:p>
            <w:pPr>
              <w:pStyle w:val="TableContents"/>
              <w:bidi w:val="0"/>
              <w:spacing w:before="0" w:after="283"/>
              <w:jc w:val="left"/>
              <w:rPr/>
            </w:pPr>
            <w:r>
              <w:rPr/>
              <w:t> </w:t>
            </w:r>
          </w:p>
        </w:tc>
      </w:tr>
      <w:tr>
        <w:trPr/>
        <w:tc>
          <w:tcPr>
            <w:tcW w:w="6407"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4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357,093</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794,732</w:t>
            </w:r>
          </w:p>
        </w:tc>
        <w:tc>
          <w:tcPr>
            <w:tcW w:w="63" w:type="dxa"/>
            <w:tcBorders/>
            <w:shd w:fill="CCEEFF" w:val="clear"/>
            <w:vAlign w:val="bottom"/>
          </w:tcPr>
          <w:p>
            <w:pPr>
              <w:pStyle w:val="TableContents"/>
              <w:bidi w:val="0"/>
              <w:spacing w:before="0" w:after="283"/>
              <w:jc w:val="left"/>
              <w:rPr/>
            </w:pPr>
            <w:r>
              <w:rPr/>
              <w:t> </w:t>
            </w:r>
          </w:p>
        </w:tc>
      </w:tr>
      <w:tr>
        <w:trPr/>
        <w:tc>
          <w:tcPr>
            <w:tcW w:w="6407"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may be required to issue additional shares of its capital stock if certain milestone conditions are met pursuant to the contingent consideration and compensation arrangements associated with the Companys acquisitions of assets (see Note 6). As of December 31, 2021, the milestone conditions are not probable of being met and no shares have been reserved for potential future issuances.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March 2021, the Company sold 3,000,000 shares of its common stock to a co-founder for the benefit of an existing investor in the Company at a purchase price of $0.32 per share, or $1.0 million in the aggregate.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Preferred Stock Warrants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September 2020, in connection with the BlackThorn acquisition, the Company issued Preferred Stock Warrants to purchase up to 2,292,672 shares of Series A-1 convertible preferred stock with an exercise price of $1.35 per share, all of which were outstanding as of December 31, 2021. The expiration date of the Preferred Stock Warrants was amended in December 2021, such that these warrants lapse on the earlier of (i) December 31, 2022, (ii) immediately prior to the consummation of an underwritten initial public offering of the Companys common stock, and (iii) upon the closing of a deemed liquidation event. As the Preferred Stock Warrants are recorded at fair value, the amendment was accounted for as a component of the change in fair value (see Note 3). </w:t>
      </w:r>
    </w:p>
    <w:p>
      <w:pPr>
        <w:pStyle w:val="TextBody"/>
        <w:bidi w:val="0"/>
        <w:spacing w:before="240" w:after="0"/>
        <w:jc w:val="left"/>
        <w:rPr>
          <w:rFonts w:ascii="Times New Roman" w:hAnsi="Times New Roman"/>
          <w:sz w:val="20"/>
        </w:rPr>
      </w:pPr>
      <w:r>
        <w:rPr>
          <w:rFonts w:ascii="Times New Roman" w:hAnsi="Times New Roman"/>
          <w:sz w:val="20"/>
        </w:rPr>
        <w:t xml:space="preserve">The Preferred Stock Warrants provide for cashless net exercise pursuant to which the holder may, in lieu of payment of the exercise price in cash, surrender the Preferred Stock Warrant and receive a net amount of shares based on the fair market value of the Companys convertible preferred stock at the time of exercise after deduction of the aggregate exercise price. The Preferred Stock Warrants also provide for adjustments in the event of specified stock dividends, stock splits, reclassifications, and consolidations. Of the total of Preferred Stock Warrants, 820,434 were held by a related party as of December 31, 2020 and 2021.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Stock-Based Compensation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2020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January 2020, the Company adopted the 2020 Equity Incentive Plan (the 2020 Plan) that provides for the grant of incentive stock options, non-statutory stock options, restricted stock awards, restricted stock unit, and other stock-based awards to employees, directors and non-employee service providers of the Company. Under the 2020 Plan, the exercise price of stock options granted shall not be less than 100% of the estimated fair market value of the Companys common stock on the date of grant. For awards granted between March and July 2021 with an exercise price of $0.32 per share, a deemed fair market value ranging from $0.40 to $0.50 per share was used in calculating stock-based compensation, which was determined by the Company using hindsight. For awards granted between September and December 2021 with an exercise price of $0.54 per share, a deemed fair market value ranging from $0.54 to $0.57 per share was used in calculating stock-based compensation, which was determined by the Company using hindsight. The contractual term of stock options granted under the 2020 Plan shall not exceed ten years. Additionally, the exercise price of any stock options granted to a 10% stockholder shall not be less than 110% of the fair market value of the common stock on the date of grant, and the term of such option grant shall not exceed five years. Subject to approval by the Companys board of directors at the grant date, stock options may include an early exercise feature whereby such option shall be exercisable at any time, subject to the Companys right to repurchase any unvested portion at the original exercise price upon termination of employment of an option holder. Options and other equity awards become vested and, if applicable, exercisable based on terms determined by the Companys board of directors or other plan administrator on the date of grant. The Company also has the right of first refusal to purchase any proposed disposition of shares issued under the 2020 Plan. Any shares issued pursuant to unvested stock options are restricted and subject to repurchase by the Company until the conditions for vesting are met. The amounts paid for shares purchased under an early exercise of stock options and subject to repurchase by the Company are reported as a liability and reclassed to stockholders deficit once those shares vest.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2021, 64,093,550 shares of the Companys common stock were authorized for issuance under the 2020 Plan, of which 2,498,427 shares remained available for future grants.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2015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BlackThorn acquisition in September 2020, the Company assumed BlackThorns 2015 Equity Incentive Plan (the 2015 Plan, and collectively with the 2020 Plan, the Plans). The BlackThorn Replacement Stock Options previously granted under the 2015 Plan and that were outstanding and converted to stock options to purchase common stock of the Company upon closing of the acquisition remain subject to the terms and conditions of the 2015 Plan (see Note 6). As of December 31, 2021, 2,330,374 shares of the Companys common stock were authorized for issuance under the 2015 Plan, of which 550,064 shares remained available for issuance although future grants will be made from the 2020 Plan. </w:t>
      </w:r>
    </w:p>
    <w:p>
      <w:pPr>
        <w:pStyle w:val="TextBody"/>
        <w:bidi w:val="0"/>
        <w:spacing w:before="360" w:after="0"/>
        <w:jc w:val="left"/>
        <w:rPr>
          <w:rFonts w:ascii="Times New Roman" w:hAnsi="Times New Roman"/>
          <w:b/>
          <w:sz w:val="20"/>
        </w:rPr>
      </w:pPr>
      <w:r>
        <w:rPr>
          <w:rFonts w:ascii="Times New Roman" w:hAnsi="Times New Roman"/>
          <w:b/>
          <w:sz w:val="20"/>
        </w:rPr>
        <w:t xml:space="preserve">Stock Option Activity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stock option activity under the Plans: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39"/>
        <w:gridCol w:w="327"/>
        <w:gridCol w:w="71"/>
        <w:gridCol w:w="1379"/>
        <w:gridCol w:w="155"/>
        <w:gridCol w:w="327"/>
        <w:gridCol w:w="217"/>
        <w:gridCol w:w="869"/>
        <w:gridCol w:w="60"/>
        <w:gridCol w:w="326"/>
        <w:gridCol w:w="204"/>
        <w:gridCol w:w="1082"/>
        <w:gridCol w:w="60"/>
        <w:gridCol w:w="327"/>
        <w:gridCol w:w="182"/>
        <w:gridCol w:w="895"/>
        <w:gridCol w:w="68"/>
      </w:tblGrid>
      <w:tr>
        <w:trPr/>
        <w:tc>
          <w:tcPr>
            <w:tcW w:w="2839"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839"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Stock Options</w:t>
            </w:r>
          </w:p>
        </w:tc>
        <w:tc>
          <w:tcPr>
            <w:tcW w:w="155"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br/>
              <w:t>Average</w:t>
              <w:br/>
              <w:t>Exercise</w:t>
            </w:r>
            <w:r>
              <w:rPr/>
              <w:br/>
            </w:r>
            <w:r>
              <w:rPr>
                <w:b/>
              </w:rPr>
              <w:t>Price Per</w:t>
              <w:br/>
              <w:t>Share</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br/>
              <w:t>Average</w:t>
              <w:br/>
              <w:t>Remaining</w:t>
            </w:r>
            <w:r>
              <w:rPr/>
              <w:br/>
            </w:r>
            <w:r>
              <w:rPr>
                <w:b/>
              </w:rPr>
              <w:t>Contractual</w:t>
            </w:r>
            <w:r>
              <w:rPr/>
              <w:br/>
            </w:r>
            <w:r>
              <w:rPr>
                <w:b/>
              </w:rPr>
              <w:t>Term (years)</w:t>
            </w:r>
          </w:p>
        </w:tc>
        <w:tc>
          <w:tcPr>
            <w:tcW w:w="60"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077" w:type="dxa"/>
            <w:gridSpan w:val="2"/>
            <w:tcBorders>
              <w:bottom w:val="single" w:sz="8" w:space="0" w:color="000000"/>
            </w:tcBorders>
            <w:tcMar>
              <w:bottom w:w="28" w:type="dxa"/>
            </w:tcMar>
            <w:vAlign w:val="bottom"/>
          </w:tcPr>
          <w:p>
            <w:pPr>
              <w:pStyle w:val="TableContents"/>
              <w:bidi w:val="0"/>
              <w:spacing w:before="0" w:after="283"/>
              <w:jc w:val="center"/>
              <w:rPr/>
            </w:pPr>
            <w:r>
              <w:rPr>
                <w:b/>
              </w:rPr>
              <w:t>Aggregate</w:t>
              <w:br/>
              <w:t>Intrinsic</w:t>
            </w:r>
            <w:r>
              <w:rPr/>
              <w:br/>
            </w:r>
            <w:r>
              <w:rPr>
                <w:b/>
              </w:rPr>
              <w:t>Value</w:t>
            </w:r>
          </w:p>
        </w:tc>
        <w:tc>
          <w:tcPr>
            <w:tcW w:w="68" w:type="dxa"/>
            <w:tcBorders/>
            <w:vAlign w:val="bottom"/>
          </w:tcPr>
          <w:p>
            <w:pPr>
              <w:pStyle w:val="TableContents"/>
              <w:bidi w:val="0"/>
              <w:spacing w:before="0" w:after="283"/>
              <w:jc w:val="left"/>
              <w:rPr/>
            </w:pPr>
            <w:r>
              <w:rPr/>
              <w:t> </w:t>
            </w:r>
          </w:p>
        </w:tc>
      </w:tr>
      <w:tr>
        <w:trPr/>
        <w:tc>
          <w:tcPr>
            <w:tcW w:w="2839"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6154" w:type="dxa"/>
            <w:gridSpan w:val="14"/>
            <w:tcBorders/>
            <w:vAlign w:val="bottom"/>
          </w:tcPr>
          <w:p>
            <w:pPr>
              <w:pStyle w:val="TableContents"/>
              <w:bidi w:val="0"/>
              <w:spacing w:before="0" w:after="283"/>
              <w:jc w:val="center"/>
              <w:rPr>
                <w:b/>
              </w:rPr>
            </w:pPr>
            <w:r>
              <w:rPr>
                <w:b/>
              </w:rPr>
              <w:t>(in thousands, except per share amounts and years)</w:t>
            </w:r>
          </w:p>
        </w:tc>
        <w:tc>
          <w:tcPr>
            <w:tcW w:w="68" w:type="dxa"/>
            <w:tcBorders/>
            <w:vAlign w:val="bottom"/>
          </w:tcPr>
          <w:p>
            <w:pPr>
              <w:pStyle w:val="TableContents"/>
              <w:bidi w:val="0"/>
              <w:spacing w:before="0" w:after="283"/>
              <w:jc w:val="left"/>
              <w:rPr/>
            </w:pPr>
            <w:r>
              <w:rPr/>
              <w:t> </w:t>
            </w:r>
          </w:p>
        </w:tc>
      </w:tr>
      <w:tr>
        <w:trPr/>
        <w:tc>
          <w:tcPr>
            <w:tcW w:w="28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2020</w:t>
            </w:r>
          </w:p>
        </w:tc>
        <w:tc>
          <w:tcPr>
            <w:tcW w:w="32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        </w:t>
            </w:r>
            <w:r>
              <w:rPr/>
              <w:t>26,775</w:t>
            </w:r>
          </w:p>
        </w:tc>
        <w:tc>
          <w:tcPr>
            <w:tcW w:w="155"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869" w:type="dxa"/>
            <w:tcBorders/>
            <w:shd w:fill="CCEEFF" w:val="clear"/>
            <w:vAlign w:val="bottom"/>
          </w:tcPr>
          <w:p>
            <w:pPr>
              <w:pStyle w:val="TableContents"/>
              <w:bidi w:val="0"/>
              <w:spacing w:before="0" w:after="283"/>
              <w:jc w:val="right"/>
              <w:rPr/>
            </w:pPr>
            <w:r>
              <w:rPr/>
              <w:t>  </w:t>
            </w:r>
            <w:r>
              <w:rPr/>
              <w:t>0.38</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9.8</w:t>
            </w:r>
          </w:p>
        </w:tc>
        <w:tc>
          <w:tcPr>
            <w:tcW w:w="60"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895" w:type="dxa"/>
            <w:tcBorders/>
            <w:shd w:fill="CCEEFF" w:val="clear"/>
            <w:vAlign w:val="bottom"/>
          </w:tcPr>
          <w:p>
            <w:pPr>
              <w:pStyle w:val="TableContents"/>
              <w:bidi w:val="0"/>
              <w:spacing w:before="0" w:after="283"/>
              <w:jc w:val="right"/>
              <w:rPr/>
            </w:pPr>
            <w:r>
              <w:rPr/>
              <w:t>749</w:t>
            </w:r>
          </w:p>
        </w:tc>
        <w:tc>
          <w:tcPr>
            <w:tcW w:w="68" w:type="dxa"/>
            <w:tcBorders/>
            <w:shd w:fill="CCEEFF" w:val="clear"/>
            <w:vAlign w:val="bottom"/>
          </w:tcPr>
          <w:p>
            <w:pPr>
              <w:pStyle w:val="TableContents"/>
              <w:bidi w:val="0"/>
              <w:spacing w:before="0" w:after="283"/>
              <w:jc w:val="left"/>
              <w:rPr/>
            </w:pPr>
            <w:r>
              <w:rPr/>
              <w:t> </w:t>
            </w:r>
          </w:p>
        </w:tc>
      </w:tr>
      <w:tr>
        <w:trPr/>
        <w:tc>
          <w:tcPr>
            <w:tcW w:w="2839"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2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26,255</w:t>
            </w:r>
          </w:p>
        </w:tc>
        <w:tc>
          <w:tcPr>
            <w:tcW w:w="155"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0.37</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0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8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2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(3,466</w:t>
            </w:r>
          </w:p>
        </w:tc>
        <w:tc>
          <w:tcPr>
            <w:tcW w:w="155"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0.34</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0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839" w:type="dxa"/>
            <w:tcBorders/>
          </w:tcPr>
          <w:p>
            <w:pPr>
              <w:pStyle w:val="TableContents"/>
              <w:bidi w:val="0"/>
              <w:spacing w:before="0" w:after="0"/>
              <w:jc w:val="left"/>
              <w:rPr>
                <w:rFonts w:ascii="Times New Roman" w:hAnsi="Times New Roman"/>
                <w:sz w:val="20"/>
              </w:rPr>
            </w:pPr>
            <w:r>
              <w:rPr>
                <w:rFonts w:ascii="Times New Roman" w:hAnsi="Times New Roman"/>
                <w:sz w:val="20"/>
              </w:rPr>
              <w:t>Canceled and forfeited</w:t>
            </w:r>
          </w:p>
        </w:tc>
        <w:tc>
          <w:tcPr>
            <w:tcW w:w="32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(2,655</w:t>
            </w:r>
          </w:p>
        </w:tc>
        <w:tc>
          <w:tcPr>
            <w:tcW w:w="155"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0.42</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0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839"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13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8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0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8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2021</w:t>
            </w:r>
          </w:p>
        </w:tc>
        <w:tc>
          <w:tcPr>
            <w:tcW w:w="32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46,909</w:t>
            </w:r>
          </w:p>
        </w:tc>
        <w:tc>
          <w:tcPr>
            <w:tcW w:w="155"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869" w:type="dxa"/>
            <w:tcBorders/>
            <w:shd w:fill="CCEEFF" w:val="clear"/>
            <w:vAlign w:val="bottom"/>
          </w:tcPr>
          <w:p>
            <w:pPr>
              <w:pStyle w:val="TableContents"/>
              <w:bidi w:val="0"/>
              <w:spacing w:before="0" w:after="283"/>
              <w:jc w:val="right"/>
              <w:rPr/>
            </w:pPr>
            <w:r>
              <w:rPr/>
              <w:t>0.38</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9.1</w:t>
            </w:r>
          </w:p>
        </w:tc>
        <w:tc>
          <w:tcPr>
            <w:tcW w:w="60"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895" w:type="dxa"/>
            <w:tcBorders/>
            <w:shd w:fill="CCEEFF" w:val="clear"/>
            <w:vAlign w:val="bottom"/>
          </w:tcPr>
          <w:p>
            <w:pPr>
              <w:pStyle w:val="TableContents"/>
              <w:bidi w:val="0"/>
              <w:spacing w:before="0" w:after="283"/>
              <w:jc w:val="right"/>
              <w:rPr/>
            </w:pPr>
            <w:r>
              <w:rPr/>
              <w:t>10,614</w:t>
            </w:r>
          </w:p>
        </w:tc>
        <w:tc>
          <w:tcPr>
            <w:tcW w:w="68" w:type="dxa"/>
            <w:tcBorders/>
            <w:shd w:fill="CCEEFF" w:val="clear"/>
            <w:vAlign w:val="bottom"/>
          </w:tcPr>
          <w:p>
            <w:pPr>
              <w:pStyle w:val="TableContents"/>
              <w:bidi w:val="0"/>
              <w:spacing w:before="0" w:after="283"/>
              <w:jc w:val="left"/>
              <w:rPr/>
            </w:pPr>
            <w:r>
              <w:rPr/>
              <w:t> </w:t>
            </w:r>
          </w:p>
        </w:tc>
      </w:tr>
      <w:tr>
        <w:trPr/>
        <w:tc>
          <w:tcPr>
            <w:tcW w:w="2839"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double" w:sz="6" w:space="1" w:color="000000"/>
              </w:pBdr>
              <w:bidi w:val="0"/>
              <w:spacing w:before="0" w:after="0"/>
              <w:jc w:val="left"/>
              <w:rPr/>
            </w:pPr>
            <w:r>
              <w:rPr/>
              <w:t> </w:t>
            </w:r>
          </w:p>
        </w:tc>
        <w:tc>
          <w:tcPr>
            <w:tcW w:w="13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8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0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895"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839" w:type="dxa"/>
            <w:tcBorders/>
          </w:tcPr>
          <w:p>
            <w:pPr>
              <w:pStyle w:val="TableContents"/>
              <w:bidi w:val="0"/>
              <w:spacing w:before="0" w:after="0"/>
              <w:jc w:val="left"/>
              <w:rPr>
                <w:rFonts w:ascii="Times New Roman" w:hAnsi="Times New Roman"/>
                <w:sz w:val="20"/>
              </w:rPr>
            </w:pPr>
            <w:r>
              <w:rPr>
                <w:rFonts w:ascii="Times New Roman" w:hAnsi="Times New Roman"/>
                <w:sz w:val="20"/>
              </w:rPr>
              <w:t>Vested as of December 31, 2021</w:t>
            </w:r>
          </w:p>
        </w:tc>
        <w:tc>
          <w:tcPr>
            <w:tcW w:w="32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6,328</w:t>
            </w:r>
          </w:p>
        </w:tc>
        <w:tc>
          <w:tcPr>
            <w:tcW w:w="155"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869" w:type="dxa"/>
            <w:tcBorders/>
            <w:vAlign w:val="bottom"/>
          </w:tcPr>
          <w:p>
            <w:pPr>
              <w:pStyle w:val="TableContents"/>
              <w:bidi w:val="0"/>
              <w:spacing w:before="0" w:after="283"/>
              <w:jc w:val="right"/>
              <w:rPr/>
            </w:pPr>
            <w:r>
              <w:rPr/>
              <w:t>0.50</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895" w:type="dxa"/>
            <w:tcBorders/>
            <w:vAlign w:val="bottom"/>
          </w:tcPr>
          <w:p>
            <w:pPr>
              <w:pStyle w:val="TableContents"/>
              <w:bidi w:val="0"/>
              <w:spacing w:before="0" w:after="283"/>
              <w:jc w:val="right"/>
              <w:rPr/>
            </w:pPr>
            <w:r>
              <w:rPr/>
              <w:t>1,332</w:t>
            </w:r>
          </w:p>
        </w:tc>
        <w:tc>
          <w:tcPr>
            <w:tcW w:w="68" w:type="dxa"/>
            <w:tcBorders/>
            <w:vAlign w:val="bottom"/>
          </w:tcPr>
          <w:p>
            <w:pPr>
              <w:pStyle w:val="TableContents"/>
              <w:bidi w:val="0"/>
              <w:spacing w:before="0" w:after="283"/>
              <w:jc w:val="left"/>
              <w:rPr/>
            </w:pPr>
            <w:r>
              <w:rPr/>
              <w:t> </w:t>
            </w:r>
          </w:p>
        </w:tc>
      </w:tr>
      <w:tr>
        <w:trPr/>
        <w:tc>
          <w:tcPr>
            <w:tcW w:w="28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as of December 31, 2021</w:t>
            </w:r>
          </w:p>
        </w:tc>
        <w:tc>
          <w:tcPr>
            <w:tcW w:w="32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6,641</w:t>
            </w:r>
          </w:p>
        </w:tc>
        <w:tc>
          <w:tcPr>
            <w:tcW w:w="155"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869" w:type="dxa"/>
            <w:tcBorders/>
            <w:shd w:fill="CCEEFF" w:val="clear"/>
            <w:vAlign w:val="bottom"/>
          </w:tcPr>
          <w:p>
            <w:pPr>
              <w:pStyle w:val="TableContents"/>
              <w:bidi w:val="0"/>
              <w:spacing w:before="0" w:after="283"/>
              <w:jc w:val="right"/>
              <w:rPr/>
            </w:pPr>
            <w:r>
              <w:rPr/>
              <w:t>0.50</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8.7</w:t>
            </w:r>
          </w:p>
        </w:tc>
        <w:tc>
          <w:tcPr>
            <w:tcW w:w="60"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895" w:type="dxa"/>
            <w:tcBorders/>
            <w:shd w:fill="CCEEFF" w:val="clear"/>
            <w:vAlign w:val="bottom"/>
          </w:tcPr>
          <w:p>
            <w:pPr>
              <w:pStyle w:val="TableContents"/>
              <w:bidi w:val="0"/>
              <w:spacing w:before="0" w:after="283"/>
              <w:jc w:val="right"/>
              <w:rPr/>
            </w:pPr>
            <w:r>
              <w:rPr/>
              <w:t>1,413</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intrinsic value of stock options outstanding, exercisable, vested and exercisable is calculated as the difference between the exercise price of the underlying stock options, and the fair value of the Companys common stock, as determined by the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weighted-average grant-date fair value per share of stock options granted during the years ended December 31, 2020 and 2021 was $0.27 and $0.37 per share, respectively. The weighted-average grant-date fair value per share of BlackThorn Replacement Options assumed with the 2015 Plan during the year ended December 31, 2020 was $0.20 per share. The total grant-date fair value of options that vested during the year ended December 31, 2020 and 2021 was $0.3 million and $2.3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stock option activity table above excludes options to purchase 5,500,000 shares of the Companys common stock issued to the Companys scientific advisors which vest based on the achievement of certain performance conditions to be separately defined and approved by the Companys board of directors (Performance Stock Options). As the performance conditions had not been determined as of December 31, 2021, the criteria for establishing a grant date, and accordingly a measurement date, were not met as of that date. </w:t>
      </w:r>
    </w:p>
    <w:p>
      <w:pPr>
        <w:pStyle w:val="TextBody"/>
        <w:bidi w:val="0"/>
        <w:spacing w:before="240" w:after="0"/>
        <w:jc w:val="left"/>
        <w:rPr>
          <w:rFonts w:ascii="Times New Roman" w:hAnsi="Times New Roman"/>
          <w:sz w:val="20"/>
        </w:rPr>
      </w:pPr>
      <w:r>
        <w:rPr>
          <w:rFonts w:ascii="Times New Roman" w:hAnsi="Times New Roman"/>
          <w:sz w:val="20"/>
        </w:rPr>
        <w:t xml:space="preserve">The stock option activity table above also excludes options to purchase shares of common stock that have market conditions. In addition, stock options that were early exercised are excluded from options exercised and are considered outstanding until such time the vesting conditions are met. In 2021, 270,833 options that were early exercised had subsequently vested during the year and are included in options exercised in the table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Fair Value of Stock Options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stock options granted for employee and non-employee awards was estimated at the grant date using the Black-Scholes option pricing model based on the following assumptions: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64"/>
        <w:gridCol w:w="377"/>
        <w:gridCol w:w="1547"/>
        <w:gridCol w:w="295"/>
        <w:gridCol w:w="1472"/>
      </w:tblGrid>
      <w:tr>
        <w:trPr/>
        <w:tc>
          <w:tcPr>
            <w:tcW w:w="4064"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r>
      <w:tr>
        <w:trPr/>
        <w:tc>
          <w:tcPr>
            <w:tcW w:w="4064"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3314" w:type="dxa"/>
            <w:gridSpan w:val="3"/>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r>
      <w:tr>
        <w:trPr/>
        <w:tc>
          <w:tcPr>
            <w:tcW w:w="4064"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547" w:type="dxa"/>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295" w:type="dxa"/>
            <w:tcBorders/>
            <w:vAlign w:val="bottom"/>
          </w:tcPr>
          <w:p>
            <w:pPr>
              <w:pStyle w:val="TableContents"/>
              <w:bidi w:val="0"/>
              <w:spacing w:before="0" w:after="283"/>
              <w:jc w:val="left"/>
              <w:rPr/>
            </w:pPr>
            <w:r>
              <w:rPr/>
              <w:t> </w:t>
            </w:r>
          </w:p>
        </w:tc>
        <w:tc>
          <w:tcPr>
            <w:tcW w:w="1472" w:type="dxa"/>
            <w:tcBorders>
              <w:bottom w:val="single" w:sz="8" w:space="0" w:color="000000"/>
            </w:tcBorders>
            <w:tcMar>
              <w:bottom w:w="28" w:type="dxa"/>
            </w:tcMar>
            <w:vAlign w:val="bottom"/>
          </w:tcPr>
          <w:p>
            <w:pPr>
              <w:pStyle w:val="TableContents"/>
              <w:bidi w:val="0"/>
              <w:spacing w:before="0" w:after="283"/>
              <w:jc w:val="center"/>
              <w:rPr>
                <w:b/>
              </w:rPr>
            </w:pPr>
            <w:r>
              <w:rPr>
                <w:b/>
              </w:rPr>
              <w:t>2021</w:t>
            </w:r>
          </w:p>
        </w:tc>
      </w:tr>
      <w:tr>
        <w:trPr/>
        <w:tc>
          <w:tcPr>
            <w:tcW w:w="40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377" w:type="dxa"/>
            <w:tcBorders/>
            <w:shd w:fill="CCEEFF" w:val="clear"/>
            <w:vAlign w:val="bottom"/>
          </w:tcPr>
          <w:p>
            <w:pPr>
              <w:pStyle w:val="TableContents"/>
              <w:bidi w:val="0"/>
              <w:spacing w:before="0" w:after="283"/>
              <w:jc w:val="left"/>
              <w:rPr/>
            </w:pPr>
            <w:r>
              <w:rPr/>
              <w:t>  </w:t>
            </w:r>
          </w:p>
        </w:tc>
        <w:tc>
          <w:tcPr>
            <w:tcW w:w="1547" w:type="dxa"/>
            <w:tcBorders/>
            <w:shd w:fill="CCEEFF" w:val="clear"/>
            <w:vAlign w:val="bottom"/>
          </w:tcPr>
          <w:p>
            <w:pPr>
              <w:pStyle w:val="TableContents"/>
              <w:bidi w:val="0"/>
              <w:spacing w:before="0" w:after="283"/>
              <w:jc w:val="center"/>
              <w:rPr/>
            </w:pPr>
            <w:r>
              <w:rPr/>
              <w:t>95.9%  100.4%</w:t>
            </w:r>
          </w:p>
        </w:tc>
        <w:tc>
          <w:tcPr>
            <w:tcW w:w="295"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center"/>
              <w:rPr/>
            </w:pPr>
            <w:r>
              <w:rPr/>
              <w:t>90.6% - 96.5%</w:t>
            </w:r>
          </w:p>
        </w:tc>
      </w:tr>
      <w:tr>
        <w:trPr/>
        <w:tc>
          <w:tcPr>
            <w:tcW w:w="4064"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377" w:type="dxa"/>
            <w:tcBorders/>
            <w:vAlign w:val="bottom"/>
          </w:tcPr>
          <w:p>
            <w:pPr>
              <w:pStyle w:val="TableContents"/>
              <w:bidi w:val="0"/>
              <w:spacing w:before="0" w:after="283"/>
              <w:jc w:val="left"/>
              <w:rPr/>
            </w:pPr>
            <w:r>
              <w:rPr/>
              <w:t>  </w:t>
            </w:r>
          </w:p>
        </w:tc>
        <w:tc>
          <w:tcPr>
            <w:tcW w:w="1547" w:type="dxa"/>
            <w:tcBorders/>
            <w:vAlign w:val="bottom"/>
          </w:tcPr>
          <w:p>
            <w:pPr>
              <w:pStyle w:val="TableContents"/>
              <w:bidi w:val="0"/>
              <w:spacing w:before="0" w:after="283"/>
              <w:jc w:val="center"/>
              <w:rPr/>
            </w:pPr>
            <w:r>
              <w:rPr/>
              <w:t>5.0  6.1</w:t>
            </w:r>
          </w:p>
        </w:tc>
        <w:tc>
          <w:tcPr>
            <w:tcW w:w="295"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center"/>
              <w:rPr/>
            </w:pPr>
            <w:r>
              <w:rPr/>
              <w:t>5.0 - 7.1</w:t>
            </w:r>
          </w:p>
        </w:tc>
      </w:tr>
      <w:tr>
        <w:trPr/>
        <w:tc>
          <w:tcPr>
            <w:tcW w:w="40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377" w:type="dxa"/>
            <w:tcBorders/>
            <w:shd w:fill="CCEEFF" w:val="clear"/>
            <w:vAlign w:val="bottom"/>
          </w:tcPr>
          <w:p>
            <w:pPr>
              <w:pStyle w:val="TableContents"/>
              <w:bidi w:val="0"/>
              <w:spacing w:before="0" w:after="283"/>
              <w:jc w:val="left"/>
              <w:rPr/>
            </w:pPr>
            <w:r>
              <w:rPr/>
              <w:t>  </w:t>
            </w:r>
          </w:p>
        </w:tc>
        <w:tc>
          <w:tcPr>
            <w:tcW w:w="1547" w:type="dxa"/>
            <w:tcBorders/>
            <w:shd w:fill="CCEEFF" w:val="clear"/>
            <w:vAlign w:val="bottom"/>
          </w:tcPr>
          <w:p>
            <w:pPr>
              <w:pStyle w:val="TableContents"/>
              <w:bidi w:val="0"/>
              <w:spacing w:before="0" w:after="283"/>
              <w:jc w:val="center"/>
              <w:rPr/>
            </w:pPr>
            <w:r>
              <w:rPr/>
              <w:t>0.2%  0.5%</w:t>
            </w:r>
          </w:p>
        </w:tc>
        <w:tc>
          <w:tcPr>
            <w:tcW w:w="295"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center"/>
              <w:rPr/>
            </w:pPr>
            <w:r>
              <w:rPr/>
              <w:t>0.7% - 1.4%</w:t>
            </w:r>
          </w:p>
        </w:tc>
      </w:tr>
      <w:tr>
        <w:trPr/>
        <w:tc>
          <w:tcPr>
            <w:tcW w:w="40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377" w:type="dxa"/>
            <w:tcBorders/>
            <w:vAlign w:val="bottom"/>
          </w:tcPr>
          <w:p>
            <w:pPr>
              <w:pStyle w:val="TableContents"/>
              <w:bidi w:val="0"/>
              <w:spacing w:before="0" w:after="283"/>
              <w:jc w:val="left"/>
              <w:rPr/>
            </w:pPr>
            <w:r>
              <w:rPr/>
              <w:t>  </w:t>
            </w:r>
          </w:p>
        </w:tc>
        <w:tc>
          <w:tcPr>
            <w:tcW w:w="1547" w:type="dxa"/>
            <w:tcBorders/>
            <w:vAlign w:val="bottom"/>
          </w:tcPr>
          <w:p>
            <w:pPr>
              <w:pStyle w:val="TableContents"/>
              <w:bidi w:val="0"/>
              <w:spacing w:before="0" w:after="283"/>
              <w:jc w:val="center"/>
              <w:rPr/>
            </w:pPr>
            <w:r>
              <w:rPr/>
              <w:t>%</w:t>
            </w:r>
          </w:p>
        </w:tc>
        <w:tc>
          <w:tcPr>
            <w:tcW w:w="295"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center"/>
              <w:rPr/>
            </w:pPr>
            <w:r>
              <w:rPr/>
              <w:t>%</w:t>
            </w:r>
          </w:p>
        </w:tc>
      </w:tr>
    </w:tbl>
    <w:p>
      <w:pPr>
        <w:pStyle w:val="TextBody"/>
        <w:bidi w:val="0"/>
        <w:spacing w:before="240" w:after="0"/>
        <w:jc w:val="left"/>
        <w:rPr>
          <w:rFonts w:ascii="Times New Roman" w:hAnsi="Times New Roman"/>
          <w:sz w:val="20"/>
        </w:rPr>
      </w:pPr>
      <w:r>
        <w:rPr>
          <w:rFonts w:ascii="Times New Roman" w:hAnsi="Times New Roman"/>
          <w:i/>
          <w:sz w:val="20"/>
        </w:rPr>
        <w:t>Expected volatility</w:t>
      </w:r>
      <w:r>
        <w:rPr>
          <w:rFonts w:ascii="Times New Roman" w:hAnsi="Times New Roman"/>
          <w:sz w:val="20"/>
        </w:rPr>
        <w:t xml:space="preserve">As there is no trading history for the Companys common stock, the Company has determined expected volatility based on the average historical stock price volatility of comparable publicly-traded companies and expects to continue to do so until such time as it has adequate historical data regarding the volatility of its own traded stock price. The comparable companies are chosen based on their similar size, stage in the life cycle or area of therapeutic focus. The historical volatility is calculated based on a period of time commensurate with the expected term assumption. </w:t>
      </w:r>
    </w:p>
    <w:p>
      <w:pPr>
        <w:pStyle w:val="TextBody"/>
        <w:bidi w:val="0"/>
        <w:spacing w:before="120" w:after="0"/>
        <w:jc w:val="left"/>
        <w:rPr>
          <w:rFonts w:ascii="Times New Roman" w:hAnsi="Times New Roman"/>
          <w:sz w:val="20"/>
        </w:rPr>
      </w:pPr>
      <w:r>
        <w:rPr>
          <w:rFonts w:ascii="Times New Roman" w:hAnsi="Times New Roman"/>
          <w:i/>
          <w:sz w:val="20"/>
        </w:rPr>
        <w:t>Expected term</w:t>
      </w:r>
      <w:r>
        <w:rPr>
          <w:rFonts w:ascii="Times New Roman" w:hAnsi="Times New Roman"/>
          <w:sz w:val="20"/>
        </w:rPr>
        <w:t xml:space="preserve">The expected term of the Companys stock options has been estimated using the simplified method for awards that qualify as plain-vanilla stock options. The simplified method calculates the expected term as the average of the time-to-vesting and the contractual life of the stock options. </w:t>
      </w:r>
    </w:p>
    <w:p>
      <w:pPr>
        <w:pStyle w:val="TextBody"/>
        <w:bidi w:val="0"/>
        <w:spacing w:before="120" w:after="0"/>
        <w:jc w:val="left"/>
        <w:rPr>
          <w:rFonts w:ascii="Times New Roman" w:hAnsi="Times New Roman"/>
          <w:sz w:val="20"/>
        </w:rPr>
      </w:pPr>
      <w:r>
        <w:rPr>
          <w:rFonts w:ascii="Times New Roman" w:hAnsi="Times New Roman"/>
          <w:i/>
          <w:sz w:val="20"/>
        </w:rPr>
        <w:t>Risk-free interest rate</w:t>
      </w:r>
      <w:r>
        <w:rPr>
          <w:rFonts w:ascii="Times New Roman" w:hAnsi="Times New Roman"/>
          <w:sz w:val="20"/>
        </w:rPr>
        <w:t xml:space="preserve">The risk-free interest rate assumption was based on the U.S. Treasury yield curve in effect at the time of grant of the award for time periods approximately equal to the expected term of the award. </w:t>
      </w:r>
    </w:p>
    <w:p>
      <w:pPr>
        <w:pStyle w:val="TextBody"/>
        <w:bidi w:val="0"/>
        <w:spacing w:before="120" w:after="0"/>
        <w:jc w:val="left"/>
        <w:rPr>
          <w:rFonts w:ascii="Times New Roman" w:hAnsi="Times New Roman"/>
          <w:sz w:val="20"/>
        </w:rPr>
      </w:pPr>
      <w:r>
        <w:rPr>
          <w:rFonts w:ascii="Times New Roman" w:hAnsi="Times New Roman"/>
          <w:i/>
          <w:sz w:val="20"/>
        </w:rPr>
        <w:t>Expected dividend yield</w:t>
      </w:r>
      <w:r>
        <w:rPr>
          <w:rFonts w:ascii="Times New Roman" w:hAnsi="Times New Roman"/>
          <w:sz w:val="20"/>
        </w:rPr>
        <w:t xml:space="preserve">The expected dividend yield assumption is zero as the Company has never paid and has no plans to pay dividends on its common stock in the foreseeable future. </w:t>
      </w:r>
    </w:p>
    <w:p>
      <w:pPr>
        <w:pStyle w:val="TextBody"/>
        <w:bidi w:val="0"/>
        <w:spacing w:before="360" w:after="0"/>
        <w:jc w:val="left"/>
        <w:rPr>
          <w:rFonts w:ascii="Times New Roman" w:hAnsi="Times New Roman"/>
          <w:b/>
          <w:sz w:val="20"/>
        </w:rPr>
      </w:pPr>
      <w:r>
        <w:rPr>
          <w:rFonts w:ascii="Times New Roman" w:hAnsi="Times New Roman"/>
          <w:b/>
          <w:sz w:val="20"/>
        </w:rPr>
        <w:t xml:space="preserve">Early Exercise of Employee Stock Options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Companys 2020 Plan allows certain employees to exercise their stock options prior to vesting into shares of restricted common stock. The proceeds from early exercised stock options are recorded as liabilities in the consolidated balance sheets at the time of exercise and reclassified to common stock and additional paid-in capital as the underlying stock options vest and the Companys repurchase right lapses. During the year ended December 31, 2020, there were no early exercises of stock options. During the year ended December 31, 2021, the Company issued 4,415,000 shares of restricted common stock upon the early exercise of unvested stock options, which consisted of 3,540,000 shares of restricted common stock subject to service-based vesting conditions and 875,000 shares of restricted common stock subject to both market and service conditions. The total cash proceeds received were $1.4 million at a weighted-average exercise price of $0.32 per share. As of December 31, 2021, 4,144,167 shares of restricted common stock remained outstanding and unvested, which consisted of 3,269,167 shares of restricted common stock with service-based vesting conditions and 875,000 shares of restricted common stock with market and service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The Companys 2020 Plan allows for the grant of restricted common stock to certain employees, executives, non-employee scientific advisors, and third-party service providers (the restricted stock). The restrictions lapse over time primarily according to service-based vesting conditions of each award. In the event of a voluntary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involuntary termination of the holders continuous provision of services to the Company, any unvested portion of the restricted stock award are automatically forfeited.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Companys restricted stock activity: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79"/>
        <w:gridCol w:w="384"/>
        <w:gridCol w:w="60"/>
        <w:gridCol w:w="781"/>
        <w:gridCol w:w="155"/>
        <w:gridCol w:w="340"/>
        <w:gridCol w:w="282"/>
        <w:gridCol w:w="1460"/>
        <w:gridCol w:w="64"/>
      </w:tblGrid>
      <w:tr>
        <w:trPr/>
        <w:tc>
          <w:tcPr>
            <w:tcW w:w="6679"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679"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8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7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Grant</w:t>
              <w:br/>
              <w:t>Date Fair Value</w:t>
              <w:br/>
              <w:t>Per Share</w:t>
            </w:r>
          </w:p>
        </w:tc>
        <w:tc>
          <w:tcPr>
            <w:tcW w:w="64" w:type="dxa"/>
            <w:tcBorders/>
            <w:vAlign w:val="bottom"/>
          </w:tcPr>
          <w:p>
            <w:pPr>
              <w:pStyle w:val="TableContents"/>
              <w:bidi w:val="0"/>
              <w:spacing w:before="0" w:after="283"/>
              <w:jc w:val="left"/>
              <w:rPr/>
            </w:pPr>
            <w:r>
              <w:rPr/>
              <w:t> </w:t>
            </w:r>
          </w:p>
        </w:tc>
      </w:tr>
      <w:tr>
        <w:trPr/>
        <w:tc>
          <w:tcPr>
            <w:tcW w:w="6679"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3078" w:type="dxa"/>
            <w:gridSpan w:val="6"/>
            <w:tcBorders/>
            <w:vAlign w:val="bottom"/>
          </w:tcPr>
          <w:p>
            <w:pPr>
              <w:pStyle w:val="TableContents"/>
              <w:bidi w:val="0"/>
              <w:spacing w:before="0" w:after="283"/>
              <w:jc w:val="center"/>
              <w:rPr>
                <w:b/>
              </w:rPr>
            </w:pPr>
            <w:r>
              <w:rPr>
                <w:b/>
              </w:rPr>
              <w:t>(in thousands, except per</w:t>
              <w:br/>
              <w:t>share amounts)</w:t>
            </w:r>
          </w:p>
        </w:tc>
        <w:tc>
          <w:tcPr>
            <w:tcW w:w="64" w:type="dxa"/>
            <w:tcBorders/>
            <w:vAlign w:val="bottom"/>
          </w:tcPr>
          <w:p>
            <w:pPr>
              <w:pStyle w:val="TableContents"/>
              <w:bidi w:val="0"/>
              <w:spacing w:before="0" w:after="283"/>
              <w:jc w:val="left"/>
              <w:rPr/>
            </w:pPr>
            <w:r>
              <w:rPr/>
              <w:t> </w:t>
            </w:r>
          </w:p>
        </w:tc>
      </w:tr>
      <w:tr>
        <w:trPr/>
        <w:tc>
          <w:tcPr>
            <w:tcW w:w="66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and unvested as of December 31, 2020</w:t>
            </w:r>
          </w:p>
        </w:tc>
        <w:tc>
          <w:tcPr>
            <w:tcW w:w="3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86,897</w:t>
            </w:r>
          </w:p>
        </w:tc>
        <w:tc>
          <w:tcPr>
            <w:tcW w:w="15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460" w:type="dxa"/>
            <w:tcBorders/>
            <w:shd w:fill="CCEEFF" w:val="clear"/>
            <w:vAlign w:val="bottom"/>
          </w:tcPr>
          <w:p>
            <w:pPr>
              <w:pStyle w:val="TableContents"/>
              <w:bidi w:val="0"/>
              <w:spacing w:before="0" w:after="283"/>
              <w:jc w:val="right"/>
              <w:rPr/>
            </w:pPr>
            <w:r>
              <w:rPr/>
              <w:t>    </w:t>
            </w:r>
            <w:r>
              <w:rPr/>
              <w:t>0.03</w:t>
            </w:r>
          </w:p>
        </w:tc>
        <w:tc>
          <w:tcPr>
            <w:tcW w:w="64" w:type="dxa"/>
            <w:tcBorders/>
            <w:shd w:fill="CCEEFF" w:val="clear"/>
            <w:vAlign w:val="bottom"/>
          </w:tcPr>
          <w:p>
            <w:pPr>
              <w:pStyle w:val="TableContents"/>
              <w:bidi w:val="0"/>
              <w:spacing w:before="0" w:after="283"/>
              <w:jc w:val="left"/>
              <w:rPr/>
            </w:pPr>
            <w:r>
              <w:rPr/>
              <w:t> </w:t>
            </w:r>
          </w:p>
        </w:tc>
      </w:tr>
      <w:tr>
        <w:trPr/>
        <w:tc>
          <w:tcPr>
            <w:tcW w:w="6679" w:type="dxa"/>
            <w:tcBorders/>
          </w:tcPr>
          <w:p>
            <w:pPr>
              <w:pStyle w:val="TableContents"/>
              <w:bidi w:val="0"/>
              <w:spacing w:before="0" w:after="0"/>
              <w:jc w:val="left"/>
              <w:rPr>
                <w:rFonts w:ascii="Times New Roman" w:hAnsi="Times New Roman"/>
                <w:sz w:val="20"/>
              </w:rPr>
            </w:pPr>
            <w:r>
              <w:rPr>
                <w:rFonts w:ascii="Times New Roman" w:hAnsi="Times New Roman"/>
                <w:sz w:val="20"/>
              </w:rPr>
              <w:t>Issued</w:t>
            </w:r>
          </w:p>
        </w:tc>
        <w:tc>
          <w:tcPr>
            <w:tcW w:w="3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right"/>
              <w:rPr/>
            </w:pPr>
            <w:r>
              <w:rPr/>
              <w:t>160</w:t>
            </w:r>
          </w:p>
        </w:tc>
        <w:tc>
          <w:tcPr>
            <w:tcW w:w="15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0.37</w:t>
            </w:r>
          </w:p>
        </w:tc>
        <w:tc>
          <w:tcPr>
            <w:tcW w:w="64" w:type="dxa"/>
            <w:tcBorders/>
            <w:vAlign w:val="bottom"/>
          </w:tcPr>
          <w:p>
            <w:pPr>
              <w:pStyle w:val="TableContents"/>
              <w:bidi w:val="0"/>
              <w:spacing w:before="0" w:after="283"/>
              <w:jc w:val="left"/>
              <w:rPr/>
            </w:pPr>
            <w:r>
              <w:rPr/>
              <w:t> </w:t>
            </w:r>
          </w:p>
        </w:tc>
      </w:tr>
      <w:tr>
        <w:trPr/>
        <w:tc>
          <w:tcPr>
            <w:tcW w:w="66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3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(47,835</w:t>
            </w:r>
          </w:p>
        </w:tc>
        <w:tc>
          <w:tcPr>
            <w:tcW w:w="15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0.03</w:t>
            </w:r>
          </w:p>
        </w:tc>
        <w:tc>
          <w:tcPr>
            <w:tcW w:w="64" w:type="dxa"/>
            <w:tcBorders/>
            <w:shd w:fill="CCEEFF" w:val="clear"/>
            <w:vAlign w:val="bottom"/>
          </w:tcPr>
          <w:p>
            <w:pPr>
              <w:pStyle w:val="TableContents"/>
              <w:bidi w:val="0"/>
              <w:spacing w:before="0" w:after="283"/>
              <w:jc w:val="left"/>
              <w:rPr/>
            </w:pPr>
            <w:r>
              <w:rPr/>
              <w:t> </w:t>
            </w:r>
          </w:p>
        </w:tc>
      </w:tr>
      <w:tr>
        <w:trPr/>
        <w:tc>
          <w:tcPr>
            <w:tcW w:w="6679"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679"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and unvested as of December 31, 2021</w:t>
            </w:r>
          </w:p>
        </w:tc>
        <w:tc>
          <w:tcPr>
            <w:tcW w:w="3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right"/>
              <w:rPr/>
            </w:pPr>
            <w:r>
              <w:rPr/>
              <w:t>39,222</w:t>
            </w:r>
          </w:p>
        </w:tc>
        <w:tc>
          <w:tcPr>
            <w:tcW w:w="15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460" w:type="dxa"/>
            <w:tcBorders/>
            <w:vAlign w:val="bottom"/>
          </w:tcPr>
          <w:p>
            <w:pPr>
              <w:pStyle w:val="TableContents"/>
              <w:bidi w:val="0"/>
              <w:spacing w:before="0" w:after="283"/>
              <w:jc w:val="right"/>
              <w:rPr/>
            </w:pPr>
            <w:r>
              <w:rPr/>
              <w:t>0.03</w:t>
            </w:r>
          </w:p>
        </w:tc>
        <w:tc>
          <w:tcPr>
            <w:tcW w:w="64" w:type="dxa"/>
            <w:tcBorders/>
            <w:vAlign w:val="bottom"/>
          </w:tcPr>
          <w:p>
            <w:pPr>
              <w:pStyle w:val="TableContents"/>
              <w:bidi w:val="0"/>
              <w:spacing w:before="0" w:after="283"/>
              <w:jc w:val="left"/>
              <w:rPr/>
            </w:pPr>
            <w:r>
              <w:rPr/>
              <w:t> </w:t>
            </w:r>
          </w:p>
        </w:tc>
      </w:tr>
      <w:tr>
        <w:trPr/>
        <w:tc>
          <w:tcPr>
            <w:tcW w:w="6679"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restricted stock awards table above excludes 7,000,000 shares of restricted common stock issued to certain of the Companys scientific advisors which vest based on the achievement of certain performance conditions to be separately defined and approved by the Companys board of directors (Performance Restricted Stock). As the performance conditions had not been determined as of December 31, 2021, the criteria for establishing a grant date, and accordingly a measurement date, were not met as of that date. </w:t>
      </w:r>
    </w:p>
    <w:p>
      <w:pPr>
        <w:pStyle w:val="TextBody"/>
        <w:bidi w:val="0"/>
        <w:spacing w:before="360" w:after="0"/>
        <w:jc w:val="left"/>
        <w:rPr>
          <w:rFonts w:ascii="Times New Roman" w:hAnsi="Times New Roman"/>
          <w:b/>
          <w:sz w:val="20"/>
        </w:rPr>
      </w:pPr>
      <w:r>
        <w:rPr>
          <w:rFonts w:ascii="Times New Roman" w:hAnsi="Times New Roman"/>
          <w:b/>
          <w:sz w:val="20"/>
        </w:rPr>
        <w:t xml:space="preserve">Award with Market Conditions </w:t>
      </w:r>
    </w:p>
    <w:p>
      <w:pPr>
        <w:pStyle w:val="TextBody"/>
        <w:bidi w:val="0"/>
        <w:spacing w:before="120" w:after="0"/>
        <w:jc w:val="left"/>
        <w:rPr>
          <w:rFonts w:ascii="Times New Roman" w:hAnsi="Times New Roman"/>
          <w:sz w:val="20"/>
        </w:rPr>
      </w:pPr>
      <w:r>
        <w:rPr>
          <w:rFonts w:ascii="Times New Roman" w:hAnsi="Times New Roman"/>
          <w:sz w:val="20"/>
        </w:rPr>
        <w:t xml:space="preserve">In June 2021, the Company granted stock options to purchase 3,500,000 shares of its common stock to one of its executive officers with an exercise price of $0.32 per share that contain both market and service conditions (the Market Award). Subject to the holders continued service, the Market Award will vest in four equal tranches once the Companys stock price exceeds certain thresholds. The grant-date fair value of the Market Award of $0.9 million was determined using a Monte Carlo simulation model using an expected volatility of 100.0% and risk-free rate of 1.6%. The Company recognizes compensation related to the Market Award using the accelerated attribution method for each tranche over the requisite service period, which was estimated based on the duration of the median path from the grant date to the first time each market condition is expected to be met. The requisite service period for each tranche varies between 6.3 years and 7.4 years. For the year ended December 31, 2021, the Company recognized $0.1 million of stock-based compensation related to the Market Award. </w:t>
      </w:r>
    </w:p>
    <w:p>
      <w:pPr>
        <w:pStyle w:val="TextBody"/>
        <w:bidi w:val="0"/>
        <w:spacing w:before="360" w:after="0"/>
        <w:jc w:val="left"/>
        <w:rPr>
          <w:rFonts w:ascii="Times New Roman" w:hAnsi="Times New Roman"/>
          <w:b/>
          <w:sz w:val="20"/>
        </w:rPr>
      </w:pPr>
      <w:r>
        <w:rPr>
          <w:rFonts w:ascii="Times New Roman" w:hAnsi="Times New Roman"/>
          <w:b/>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total stock-based compensation included in the Companys consolidated statements of operations and comprehensive loss: </w:t>
      </w:r>
    </w:p>
    <w:p>
      <w:pPr>
        <w:pStyle w:val="TextBody"/>
        <w:bidi w:val="0"/>
        <w:spacing w:before="0" w:after="0"/>
        <w:jc w:val="left"/>
        <w:rPr/>
      </w:pPr>
      <w:r>
        <w:rPr/>
        <w:t> </w:t>
      </w:r>
    </w:p>
    <w:tbl>
      <w:tblPr>
        <w:tblW w:w="4400" w:type="pct"/>
        <w:jc w:val="right"/>
        <w:tblInd w:w="0" w:type="dxa"/>
        <w:tblLayout w:type="fixed"/>
        <w:tblCellMar>
          <w:top w:w="0" w:type="dxa"/>
          <w:left w:w="0" w:type="dxa"/>
          <w:bottom w:w="0" w:type="dxa"/>
          <w:right w:w="0" w:type="dxa"/>
        </w:tblCellMar>
      </w:tblPr>
      <w:tblGrid>
        <w:gridCol w:w="6209"/>
        <w:gridCol w:w="354"/>
        <w:gridCol w:w="141"/>
        <w:gridCol w:w="829"/>
        <w:gridCol w:w="60"/>
        <w:gridCol w:w="354"/>
        <w:gridCol w:w="141"/>
        <w:gridCol w:w="829"/>
        <w:gridCol w:w="63"/>
      </w:tblGrid>
      <w:tr>
        <w:trPr/>
        <w:tc>
          <w:tcPr>
            <w:tcW w:w="6209"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20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3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3" w:type="dxa"/>
            <w:tcBorders/>
            <w:vAlign w:val="bottom"/>
          </w:tcPr>
          <w:p>
            <w:pPr>
              <w:pStyle w:val="TableContents"/>
              <w:bidi w:val="0"/>
              <w:spacing w:before="0" w:after="283"/>
              <w:jc w:val="left"/>
              <w:rPr/>
            </w:pPr>
            <w:r>
              <w:rPr/>
              <w:t> </w:t>
            </w:r>
          </w:p>
        </w:tc>
      </w:tr>
      <w:tr>
        <w:trPr/>
        <w:tc>
          <w:tcPr>
            <w:tcW w:w="620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3" w:type="dxa"/>
            <w:tcBorders/>
            <w:vAlign w:val="bottom"/>
          </w:tcPr>
          <w:p>
            <w:pPr>
              <w:pStyle w:val="TableContents"/>
              <w:bidi w:val="0"/>
              <w:spacing w:before="0" w:after="283"/>
              <w:jc w:val="left"/>
              <w:rPr/>
            </w:pPr>
            <w:r>
              <w:rPr/>
              <w:t> </w:t>
            </w:r>
          </w:p>
        </w:tc>
      </w:tr>
      <w:tr>
        <w:trPr/>
        <w:tc>
          <w:tcPr>
            <w:tcW w:w="620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354" w:type="dxa"/>
            <w:gridSpan w:val="6"/>
            <w:tcBorders/>
            <w:vAlign w:val="bottom"/>
          </w:tcPr>
          <w:p>
            <w:pPr>
              <w:pStyle w:val="TableContents"/>
              <w:bidi w:val="0"/>
              <w:spacing w:before="0" w:after="283"/>
              <w:jc w:val="center"/>
              <w:rPr>
                <w:b/>
              </w:rPr>
            </w:pPr>
            <w:r>
              <w:rPr>
                <w:b/>
              </w:rPr>
              <w:t>(in thousands)</w:t>
            </w:r>
          </w:p>
        </w:tc>
        <w:tc>
          <w:tcPr>
            <w:tcW w:w="63" w:type="dxa"/>
            <w:tcBorders/>
            <w:vAlign w:val="bottom"/>
          </w:tcPr>
          <w:p>
            <w:pPr>
              <w:pStyle w:val="TableContents"/>
              <w:bidi w:val="0"/>
              <w:spacing w:before="0" w:after="283"/>
              <w:jc w:val="left"/>
              <w:rPr/>
            </w:pPr>
            <w:r>
              <w:rPr/>
              <w:t> </w:t>
            </w:r>
          </w:p>
        </w:tc>
      </w:tr>
      <w:tr>
        <w:trPr/>
        <w:tc>
          <w:tcPr>
            <w:tcW w:w="62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5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    </w:t>
            </w:r>
            <w:r>
              <w:rPr/>
              <w:t>1,257</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    </w:t>
            </w:r>
            <w:r>
              <w:rPr/>
              <w:t>2,408</w:t>
            </w:r>
          </w:p>
        </w:tc>
        <w:tc>
          <w:tcPr>
            <w:tcW w:w="63" w:type="dxa"/>
            <w:tcBorders/>
            <w:shd w:fill="CCEEFF" w:val="clear"/>
            <w:vAlign w:val="bottom"/>
          </w:tcPr>
          <w:p>
            <w:pPr>
              <w:pStyle w:val="TableContents"/>
              <w:bidi w:val="0"/>
              <w:spacing w:before="0" w:after="283"/>
              <w:jc w:val="left"/>
              <w:rPr/>
            </w:pPr>
            <w:r>
              <w:rPr/>
              <w:t> </w:t>
            </w:r>
          </w:p>
        </w:tc>
      </w:tr>
      <w:tr>
        <w:trPr/>
        <w:tc>
          <w:tcPr>
            <w:tcW w:w="6209"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5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418</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1,866</w:t>
            </w:r>
          </w:p>
        </w:tc>
        <w:tc>
          <w:tcPr>
            <w:tcW w:w="63" w:type="dxa"/>
            <w:tcBorders/>
            <w:vAlign w:val="bottom"/>
          </w:tcPr>
          <w:p>
            <w:pPr>
              <w:pStyle w:val="TableContents"/>
              <w:bidi w:val="0"/>
              <w:spacing w:before="0" w:after="283"/>
              <w:jc w:val="left"/>
              <w:rPr/>
            </w:pPr>
            <w:r>
              <w:rPr/>
              <w:t> </w:t>
            </w:r>
          </w:p>
        </w:tc>
      </w:tr>
      <w:tr>
        <w:trPr/>
        <w:tc>
          <w:tcPr>
            <w:tcW w:w="6209"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2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w:t>
            </w:r>
          </w:p>
        </w:tc>
        <w:tc>
          <w:tcPr>
            <w:tcW w:w="35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1,675</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4,274</w:t>
            </w:r>
          </w:p>
        </w:tc>
        <w:tc>
          <w:tcPr>
            <w:tcW w:w="63" w:type="dxa"/>
            <w:tcBorders/>
            <w:shd w:fill="CCEEFF" w:val="clear"/>
            <w:vAlign w:val="bottom"/>
          </w:tcPr>
          <w:p>
            <w:pPr>
              <w:pStyle w:val="TableContents"/>
              <w:bidi w:val="0"/>
              <w:spacing w:before="0" w:after="283"/>
              <w:jc w:val="left"/>
              <w:rPr/>
            </w:pPr>
            <w:r>
              <w:rPr/>
              <w:t> </w:t>
            </w:r>
          </w:p>
        </w:tc>
      </w:tr>
      <w:tr>
        <w:trPr/>
        <w:tc>
          <w:tcPr>
            <w:tcW w:w="6209"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2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December 31, 2021, there was $12.0 million and $1.1 million of unrecognized stock-based compensation related to stock options and restricted stock awards outstanding, respectively, which were expected to be recognized over weighted-average remaining service periods of 2.7 years and 2.1 years,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Services Agreements </w:t>
      </w:r>
    </w:p>
    <w:p>
      <w:pPr>
        <w:pStyle w:val="TextBody"/>
        <w:bidi w:val="0"/>
        <w:spacing w:before="240" w:after="0"/>
        <w:jc w:val="left"/>
        <w:rPr>
          <w:rFonts w:ascii="Times New Roman" w:hAnsi="Times New Roman"/>
          <w:sz w:val="20"/>
        </w:rPr>
      </w:pPr>
      <w:r>
        <w:rPr>
          <w:rFonts w:ascii="Times New Roman" w:hAnsi="Times New Roman"/>
          <w:sz w:val="20"/>
        </w:rPr>
        <w:t xml:space="preserve">In May 2020, the Company entered into a service agreement with a vendor for assistance in evaluating assets and technologies in the field of neurodegeneration. As consideration, the Company issued 1,000,000 shares of its restricted common stock (included in the table summarizing the Companys restricted stock activity above), subject to a right of forfeiture that lapses as to 50% of the shares on the one-year anniversary of the agreement and as to the remaining 50% of the shares on the second anniversary of the agreement. The restricted common shares had an aggregate grant-date fair value of $0.4 million. While services are being provided, the Company agreed to issue the vendor additional shares of its common stock representing a value of $1.0 million upon the achievement of certain milestones tied to the successful in-license or acquisition of assets (the Milestone Shares). The Company concluded the Milestone Shares are stock settled debt that are required to be classified as a liability and recognized at such time the milestones are probable of being met. As of December 31, 2021, the milestones were not probable of being met. </w:t>
      </w:r>
    </w:p>
    <w:p>
      <w:pPr>
        <w:pStyle w:val="TextBody"/>
        <w:bidi w:val="0"/>
        <w:spacing w:before="240" w:after="0"/>
        <w:jc w:val="left"/>
        <w:rPr>
          <w:rFonts w:ascii="Times New Roman" w:hAnsi="Times New Roman"/>
          <w:sz w:val="20"/>
        </w:rPr>
      </w:pPr>
      <w:r>
        <w:rPr>
          <w:rFonts w:ascii="Times New Roman" w:hAnsi="Times New Roman"/>
          <w:sz w:val="20"/>
        </w:rPr>
        <w:t xml:space="preserve">In May 2020, the Company entered into a letter arrangement with a strategic party to continue to collaborate in their strategic relationship to advance mutual goals in the treatment of brain disorders. In consideration of the continued relationship, the Company issued 1,000,000 shares of its common stock and recognized stock-based compensation of $0.3 million.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had no income tax expense for the years ended December 31, 2020 and 2021 due to its history of operating losses. </w:t>
      </w:r>
    </w:p>
    <w:p>
      <w:pPr>
        <w:pStyle w:val="TextBody"/>
        <w:bidi w:val="0"/>
        <w:spacing w:before="240" w:after="0"/>
        <w:jc w:val="left"/>
        <w:rPr>
          <w:rFonts w:ascii="Times New Roman" w:hAnsi="Times New Roman"/>
          <w:sz w:val="20"/>
        </w:rPr>
      </w:pPr>
      <w:r>
        <w:rPr>
          <w:rFonts w:ascii="Times New Roman" w:hAnsi="Times New Roman"/>
          <w:sz w:val="20"/>
        </w:rPr>
        <w:t xml:space="preserve">A reconciliation of the Companys federal income tax rate and effective income tax rate is summarized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03"/>
        <w:gridCol w:w="360"/>
        <w:gridCol w:w="60"/>
        <w:gridCol w:w="578"/>
        <w:gridCol w:w="277"/>
        <w:gridCol w:w="258"/>
        <w:gridCol w:w="60"/>
        <w:gridCol w:w="578"/>
        <w:gridCol w:w="281"/>
      </w:tblGrid>
      <w:tr>
        <w:trPr/>
        <w:tc>
          <w:tcPr>
            <w:tcW w:w="5303" w:type="dxa"/>
            <w:tcBorders/>
            <w:vAlign w:val="center"/>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5303"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281" w:type="dxa"/>
            <w:tcBorders/>
            <w:vAlign w:val="bottom"/>
          </w:tcPr>
          <w:p>
            <w:pPr>
              <w:pStyle w:val="TableContents"/>
              <w:bidi w:val="0"/>
              <w:spacing w:before="0" w:after="283"/>
              <w:jc w:val="left"/>
              <w:rPr/>
            </w:pPr>
            <w:r>
              <w:rPr/>
              <w:t> </w:t>
            </w:r>
          </w:p>
        </w:tc>
      </w:tr>
      <w:tr>
        <w:trPr/>
        <w:tc>
          <w:tcPr>
            <w:tcW w:w="5303"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6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277"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6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281" w:type="dxa"/>
            <w:tcBorders/>
            <w:vAlign w:val="bottom"/>
          </w:tcPr>
          <w:p>
            <w:pPr>
              <w:pStyle w:val="TableContents"/>
              <w:bidi w:val="0"/>
              <w:spacing w:before="0" w:after="283"/>
              <w:jc w:val="left"/>
              <w:rPr/>
            </w:pPr>
            <w:r>
              <w:rPr/>
              <w:t> </w:t>
            </w:r>
          </w:p>
        </w:tc>
      </w:tr>
      <w:tr>
        <w:trPr/>
        <w:tc>
          <w:tcPr>
            <w:tcW w:w="5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income taxes</w:t>
            </w:r>
          </w:p>
        </w:tc>
        <w:tc>
          <w:tcPr>
            <w:tcW w:w="3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21.0</w:t>
            </w:r>
          </w:p>
        </w:tc>
        <w:tc>
          <w:tcPr>
            <w:tcW w:w="277"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21.0</w:t>
            </w:r>
          </w:p>
        </w:tc>
        <w:tc>
          <w:tcPr>
            <w:tcW w:w="281" w:type="dxa"/>
            <w:tcBorders/>
            <w:shd w:fill="CCEEFF" w:val="clear"/>
            <w:vAlign w:val="bottom"/>
          </w:tcPr>
          <w:p>
            <w:pPr>
              <w:pStyle w:val="TableContents"/>
              <w:bidi w:val="0"/>
              <w:spacing w:before="0" w:after="283"/>
              <w:jc w:val="left"/>
              <w:rPr/>
            </w:pPr>
            <w:r>
              <w:rPr/>
              <w:t>% </w:t>
            </w:r>
          </w:p>
        </w:tc>
      </w:tr>
      <w:tr>
        <w:trPr/>
        <w:tc>
          <w:tcPr>
            <w:tcW w:w="5303" w:type="dxa"/>
            <w:tcBorders/>
          </w:tcPr>
          <w:p>
            <w:pPr>
              <w:pStyle w:val="TableContents"/>
              <w:bidi w:val="0"/>
              <w:spacing w:before="0" w:after="0"/>
              <w:jc w:val="left"/>
              <w:rPr>
                <w:rFonts w:ascii="Times New Roman" w:hAnsi="Times New Roman"/>
                <w:sz w:val="20"/>
              </w:rPr>
            </w:pPr>
            <w:r>
              <w:rPr>
                <w:rFonts w:ascii="Times New Roman" w:hAnsi="Times New Roman"/>
                <w:sz w:val="20"/>
              </w:rPr>
              <w:t>State income taxes, net of federal benefit</w:t>
            </w:r>
          </w:p>
        </w:tc>
        <w:tc>
          <w:tcPr>
            <w:tcW w:w="3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1.8</w:t>
            </w:r>
          </w:p>
        </w:tc>
        <w:tc>
          <w:tcPr>
            <w:tcW w:w="277"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3.9</w:t>
            </w:r>
          </w:p>
        </w:tc>
        <w:tc>
          <w:tcPr>
            <w:tcW w:w="281" w:type="dxa"/>
            <w:tcBorders/>
            <w:vAlign w:val="bottom"/>
          </w:tcPr>
          <w:p>
            <w:pPr>
              <w:pStyle w:val="TableContents"/>
              <w:bidi w:val="0"/>
              <w:spacing w:before="0" w:after="283"/>
              <w:jc w:val="left"/>
              <w:rPr/>
            </w:pPr>
            <w:r>
              <w:rPr/>
              <w:t> </w:t>
            </w:r>
          </w:p>
        </w:tc>
      </w:tr>
      <w:tr>
        <w:trPr/>
        <w:tc>
          <w:tcPr>
            <w:tcW w:w="5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Non-deductible acquired IPR&amp;D expenses(1)</w:t>
            </w:r>
          </w:p>
        </w:tc>
        <w:tc>
          <w:tcPr>
            <w:tcW w:w="3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(14.8</w:t>
            </w:r>
          </w:p>
        </w:tc>
        <w:tc>
          <w:tcPr>
            <w:tcW w:w="277"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5303" w:type="dxa"/>
            <w:tcBorders/>
          </w:tcPr>
          <w:p>
            <w:pPr>
              <w:pStyle w:val="TableContents"/>
              <w:bidi w:val="0"/>
              <w:spacing w:before="0" w:after="0"/>
              <w:jc w:val="left"/>
              <w:rPr>
                <w:rFonts w:ascii="Times New Roman" w:hAnsi="Times New Roman"/>
                <w:sz w:val="20"/>
              </w:rPr>
            </w:pPr>
            <w:r>
              <w:rPr>
                <w:rFonts w:ascii="Times New Roman" w:hAnsi="Times New Roman"/>
                <w:sz w:val="20"/>
              </w:rPr>
              <w:t>Permanent differences</w:t>
            </w:r>
          </w:p>
        </w:tc>
        <w:tc>
          <w:tcPr>
            <w:tcW w:w="3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(0.7</w:t>
            </w:r>
          </w:p>
        </w:tc>
        <w:tc>
          <w:tcPr>
            <w:tcW w:w="277"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(0.2</w:t>
            </w:r>
          </w:p>
        </w:tc>
        <w:tc>
          <w:tcPr>
            <w:tcW w:w="281" w:type="dxa"/>
            <w:tcBorders/>
            <w:vAlign w:val="bottom"/>
          </w:tcPr>
          <w:p>
            <w:pPr>
              <w:pStyle w:val="TableContents"/>
              <w:bidi w:val="0"/>
              <w:spacing w:before="0" w:after="283"/>
              <w:jc w:val="left"/>
              <w:rPr/>
            </w:pPr>
            <w:r>
              <w:rPr/>
              <w:t>) </w:t>
            </w:r>
          </w:p>
        </w:tc>
      </w:tr>
      <w:tr>
        <w:trPr/>
        <w:tc>
          <w:tcPr>
            <w:tcW w:w="5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tax credits</w:t>
            </w:r>
          </w:p>
        </w:tc>
        <w:tc>
          <w:tcPr>
            <w:tcW w:w="3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0.4</w:t>
            </w:r>
          </w:p>
        </w:tc>
        <w:tc>
          <w:tcPr>
            <w:tcW w:w="277"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0.9</w:t>
            </w:r>
          </w:p>
        </w:tc>
        <w:tc>
          <w:tcPr>
            <w:tcW w:w="281" w:type="dxa"/>
            <w:tcBorders/>
            <w:shd w:fill="CCEEFF" w:val="clear"/>
            <w:vAlign w:val="bottom"/>
          </w:tcPr>
          <w:p>
            <w:pPr>
              <w:pStyle w:val="TableContents"/>
              <w:bidi w:val="0"/>
              <w:spacing w:before="0" w:after="283"/>
              <w:jc w:val="left"/>
              <w:rPr/>
            </w:pPr>
            <w:r>
              <w:rPr/>
              <w:t> </w:t>
            </w:r>
          </w:p>
        </w:tc>
      </w:tr>
      <w:tr>
        <w:trPr/>
        <w:tc>
          <w:tcPr>
            <w:tcW w:w="5303" w:type="dxa"/>
            <w:tcBorders/>
          </w:tcPr>
          <w:p>
            <w:pPr>
              <w:pStyle w:val="TableContents"/>
              <w:bidi w:val="0"/>
              <w:spacing w:before="0" w:after="0"/>
              <w:jc w:val="left"/>
              <w:rPr>
                <w:rFonts w:ascii="Times New Roman" w:hAnsi="Times New Roman"/>
                <w:sz w:val="20"/>
              </w:rPr>
            </w:pPr>
            <w:r>
              <w:rPr>
                <w:rFonts w:ascii="Times New Roman" w:hAnsi="Times New Roman"/>
                <w:sz w:val="20"/>
              </w:rPr>
              <w:t>Uncertain tax positions</w:t>
            </w:r>
          </w:p>
        </w:tc>
        <w:tc>
          <w:tcPr>
            <w:tcW w:w="3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(0.8</w:t>
            </w:r>
          </w:p>
        </w:tc>
        <w:tc>
          <w:tcPr>
            <w:tcW w:w="277"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(0.1</w:t>
            </w:r>
          </w:p>
        </w:tc>
        <w:tc>
          <w:tcPr>
            <w:tcW w:w="281" w:type="dxa"/>
            <w:tcBorders/>
            <w:vAlign w:val="bottom"/>
          </w:tcPr>
          <w:p>
            <w:pPr>
              <w:pStyle w:val="TableContents"/>
              <w:bidi w:val="0"/>
              <w:spacing w:before="0" w:after="283"/>
              <w:jc w:val="left"/>
              <w:rPr/>
            </w:pPr>
            <w:r>
              <w:rPr/>
              <w:t>) </w:t>
            </w:r>
          </w:p>
        </w:tc>
      </w:tr>
      <w:tr>
        <w:trPr/>
        <w:tc>
          <w:tcPr>
            <w:tcW w:w="5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3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(6.9</w:t>
            </w:r>
          </w:p>
        </w:tc>
        <w:tc>
          <w:tcPr>
            <w:tcW w:w="277"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(25.5</w:t>
            </w:r>
          </w:p>
        </w:tc>
        <w:tc>
          <w:tcPr>
            <w:tcW w:w="281" w:type="dxa"/>
            <w:tcBorders/>
            <w:shd w:fill="CCEEFF" w:val="clear"/>
            <w:vAlign w:val="bottom"/>
          </w:tcPr>
          <w:p>
            <w:pPr>
              <w:pStyle w:val="TableContents"/>
              <w:bidi w:val="0"/>
              <w:spacing w:before="0" w:after="283"/>
              <w:jc w:val="left"/>
              <w:rPr/>
            </w:pPr>
            <w:r>
              <w:rPr/>
              <w:t>) </w:t>
            </w:r>
          </w:p>
        </w:tc>
      </w:tr>
      <w:tr>
        <w:trPr/>
        <w:tc>
          <w:tcPr>
            <w:tcW w:w="5303"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5303" w:type="dxa"/>
            <w:tcBorders/>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3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  </w:t>
            </w:r>
          </w:p>
        </w:tc>
        <w:tc>
          <w:tcPr>
            <w:tcW w:w="277"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r>
        <w:trPr/>
        <w:tc>
          <w:tcPr>
            <w:tcW w:w="5303"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8" w:type="dxa"/>
            <w:tcBorders/>
            <w:vAlign w:val="bottom"/>
          </w:tcPr>
          <w:p>
            <w:pPr>
              <w:pStyle w:val="TableContents"/>
              <w:pBdr>
                <w:top w:val="double" w:sz="6"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8"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attributable to the acquisitions of assets during the year ended December 31, 2020 (see Note 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Deferred tax assets and liabilities reflect the net tax effects of net operating loss and tax credit carryforwards and temporary differences between the carrying amount of assets and liabilities for financial reporting and the amounts used for tax purposes. Significant components of the Companys deferred tax assets and liabilities are summarized as follows: </w:t>
      </w:r>
    </w:p>
    <w:p>
      <w:pPr>
        <w:pStyle w:val="TextBody"/>
        <w:bidi w:val="0"/>
        <w:spacing w:before="0" w:after="0"/>
        <w:jc w:val="left"/>
        <w:rPr/>
      </w:pPr>
      <w:r>
        <w:rPr/>
        <w:t> </w:t>
      </w:r>
    </w:p>
    <w:tbl>
      <w:tblPr>
        <w:tblW w:w="4400" w:type="pct"/>
        <w:jc w:val="right"/>
        <w:tblInd w:w="0" w:type="dxa"/>
        <w:tblLayout w:type="fixed"/>
        <w:tblCellMar>
          <w:top w:w="0" w:type="dxa"/>
          <w:left w:w="0" w:type="dxa"/>
          <w:bottom w:w="0" w:type="dxa"/>
          <w:right w:w="0" w:type="dxa"/>
        </w:tblCellMar>
      </w:tblPr>
      <w:tblGrid>
        <w:gridCol w:w="5894"/>
        <w:gridCol w:w="414"/>
        <w:gridCol w:w="140"/>
        <w:gridCol w:w="760"/>
        <w:gridCol w:w="155"/>
        <w:gridCol w:w="414"/>
        <w:gridCol w:w="140"/>
        <w:gridCol w:w="906"/>
        <w:gridCol w:w="157"/>
      </w:tblGrid>
      <w:tr>
        <w:trPr/>
        <w:tc>
          <w:tcPr>
            <w:tcW w:w="5894" w:type="dxa"/>
            <w:tcBorders/>
            <w:vAlign w:val="center"/>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94"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7" w:type="dxa"/>
            <w:tcBorders/>
            <w:vAlign w:val="bottom"/>
          </w:tcPr>
          <w:p>
            <w:pPr>
              <w:pStyle w:val="TableContents"/>
              <w:bidi w:val="0"/>
              <w:spacing w:before="0" w:after="283"/>
              <w:jc w:val="left"/>
              <w:rPr/>
            </w:pPr>
            <w:r>
              <w:rPr/>
              <w:t> </w:t>
            </w:r>
          </w:p>
        </w:tc>
      </w:tr>
      <w:tr>
        <w:trPr/>
        <w:tc>
          <w:tcPr>
            <w:tcW w:w="5894"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9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0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7" w:type="dxa"/>
            <w:tcBorders/>
            <w:vAlign w:val="bottom"/>
          </w:tcPr>
          <w:p>
            <w:pPr>
              <w:pStyle w:val="TableContents"/>
              <w:bidi w:val="0"/>
              <w:spacing w:before="0" w:after="283"/>
              <w:jc w:val="left"/>
              <w:rPr/>
            </w:pPr>
            <w:r>
              <w:rPr/>
              <w:t> </w:t>
            </w:r>
          </w:p>
        </w:tc>
      </w:tr>
      <w:tr>
        <w:trPr/>
        <w:tc>
          <w:tcPr>
            <w:tcW w:w="5894"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2515" w:type="dxa"/>
            <w:gridSpan w:val="6"/>
            <w:tcBorders/>
            <w:vAlign w:val="bottom"/>
          </w:tcPr>
          <w:p>
            <w:pPr>
              <w:pStyle w:val="TableContents"/>
              <w:bidi w:val="0"/>
              <w:spacing w:before="0" w:after="283"/>
              <w:jc w:val="center"/>
              <w:rPr>
                <w:b/>
              </w:rPr>
            </w:pPr>
            <w:r>
              <w:rPr>
                <w:b/>
              </w:rPr>
              <w:t>(in thousands)</w:t>
            </w:r>
          </w:p>
        </w:tc>
        <w:tc>
          <w:tcPr>
            <w:tcW w:w="157" w:type="dxa"/>
            <w:tcBorders/>
            <w:vAlign w:val="bottom"/>
          </w:tcPr>
          <w:p>
            <w:pPr>
              <w:pStyle w:val="TableContents"/>
              <w:bidi w:val="0"/>
              <w:spacing w:before="0" w:after="283"/>
              <w:jc w:val="left"/>
              <w:rPr/>
            </w:pPr>
            <w:r>
              <w:rPr/>
              <w:t> </w:t>
            </w:r>
          </w:p>
        </w:tc>
      </w:tr>
      <w:tr>
        <w:trPr/>
        <w:tc>
          <w:tcPr>
            <w:tcW w:w="58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4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5894"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losses</w:t>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30,076</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6" w:type="dxa"/>
            <w:tcBorders/>
            <w:vAlign w:val="bottom"/>
          </w:tcPr>
          <w:p>
            <w:pPr>
              <w:pStyle w:val="TableContents"/>
              <w:bidi w:val="0"/>
              <w:spacing w:before="0" w:after="283"/>
              <w:jc w:val="right"/>
              <w:rPr/>
            </w:pPr>
            <w:r>
              <w:rPr/>
              <w:t>53,019</w:t>
            </w:r>
          </w:p>
        </w:tc>
        <w:tc>
          <w:tcPr>
            <w:tcW w:w="157" w:type="dxa"/>
            <w:tcBorders/>
            <w:vAlign w:val="bottom"/>
          </w:tcPr>
          <w:p>
            <w:pPr>
              <w:pStyle w:val="TableContents"/>
              <w:bidi w:val="0"/>
              <w:spacing w:before="0" w:after="283"/>
              <w:jc w:val="left"/>
              <w:rPr/>
            </w:pPr>
            <w:r>
              <w:rPr/>
              <w:t> </w:t>
            </w:r>
          </w:p>
        </w:tc>
      </w:tr>
      <w:tr>
        <w:trPr/>
        <w:tc>
          <w:tcPr>
            <w:tcW w:w="58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license agreements</w:t>
            </w:r>
          </w:p>
        </w:tc>
        <w:tc>
          <w:tcPr>
            <w:tcW w:w="4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567</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36,057</w:t>
            </w:r>
          </w:p>
        </w:tc>
        <w:tc>
          <w:tcPr>
            <w:tcW w:w="157" w:type="dxa"/>
            <w:tcBorders/>
            <w:shd w:fill="CCEEFF" w:val="clear"/>
            <w:vAlign w:val="bottom"/>
          </w:tcPr>
          <w:p>
            <w:pPr>
              <w:pStyle w:val="TableContents"/>
              <w:bidi w:val="0"/>
              <w:spacing w:before="0" w:after="283"/>
              <w:jc w:val="left"/>
              <w:rPr/>
            </w:pPr>
            <w:r>
              <w:rPr/>
              <w:t> </w:t>
            </w:r>
          </w:p>
        </w:tc>
      </w:tr>
      <w:tr>
        <w:trPr/>
        <w:tc>
          <w:tcPr>
            <w:tcW w:w="5894" w:type="dxa"/>
            <w:tcBorders/>
          </w:tcPr>
          <w:p>
            <w:pPr>
              <w:pStyle w:val="TableContents"/>
              <w:bidi w:val="0"/>
              <w:spacing w:before="0" w:after="0"/>
              <w:jc w:val="left"/>
              <w:rPr>
                <w:rFonts w:ascii="Times New Roman" w:hAnsi="Times New Roman"/>
                <w:sz w:val="20"/>
              </w:rPr>
            </w:pPr>
            <w:r>
              <w:rPr>
                <w:rFonts w:ascii="Times New Roman" w:hAnsi="Times New Roman"/>
                <w:sz w:val="20"/>
              </w:rPr>
              <w:t>Capitalized research and development expense</w:t>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8,086</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7,183</w:t>
            </w:r>
          </w:p>
        </w:tc>
        <w:tc>
          <w:tcPr>
            <w:tcW w:w="157" w:type="dxa"/>
            <w:tcBorders/>
            <w:vAlign w:val="bottom"/>
          </w:tcPr>
          <w:p>
            <w:pPr>
              <w:pStyle w:val="TableContents"/>
              <w:bidi w:val="0"/>
              <w:spacing w:before="0" w:after="283"/>
              <w:jc w:val="left"/>
              <w:rPr/>
            </w:pPr>
            <w:r>
              <w:rPr/>
              <w:t> </w:t>
            </w:r>
          </w:p>
        </w:tc>
      </w:tr>
      <w:tr>
        <w:trPr/>
        <w:tc>
          <w:tcPr>
            <w:tcW w:w="58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credits</w:t>
            </w:r>
          </w:p>
        </w:tc>
        <w:tc>
          <w:tcPr>
            <w:tcW w:w="4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4,164</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6,018</w:t>
            </w:r>
          </w:p>
        </w:tc>
        <w:tc>
          <w:tcPr>
            <w:tcW w:w="157" w:type="dxa"/>
            <w:tcBorders/>
            <w:shd w:fill="CCEEFF" w:val="clear"/>
            <w:vAlign w:val="bottom"/>
          </w:tcPr>
          <w:p>
            <w:pPr>
              <w:pStyle w:val="TableContents"/>
              <w:bidi w:val="0"/>
              <w:spacing w:before="0" w:after="283"/>
              <w:jc w:val="left"/>
              <w:rPr/>
            </w:pPr>
            <w:r>
              <w:rPr/>
              <w:t> </w:t>
            </w:r>
          </w:p>
        </w:tc>
      </w:tr>
      <w:tr>
        <w:trPr/>
        <w:tc>
          <w:tcPr>
            <w:tcW w:w="5894"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related</w:t>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883</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1,854</w:t>
            </w:r>
          </w:p>
        </w:tc>
        <w:tc>
          <w:tcPr>
            <w:tcW w:w="157" w:type="dxa"/>
            <w:tcBorders/>
            <w:vAlign w:val="bottom"/>
          </w:tcPr>
          <w:p>
            <w:pPr>
              <w:pStyle w:val="TableContents"/>
              <w:bidi w:val="0"/>
              <w:spacing w:before="0" w:after="283"/>
              <w:jc w:val="left"/>
              <w:rPr/>
            </w:pPr>
            <w:r>
              <w:rPr/>
              <w:t> </w:t>
            </w:r>
          </w:p>
        </w:tc>
      </w:tr>
      <w:tr>
        <w:trPr/>
        <w:tc>
          <w:tcPr>
            <w:tcW w:w="58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4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463</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471</w:t>
            </w:r>
          </w:p>
        </w:tc>
        <w:tc>
          <w:tcPr>
            <w:tcW w:w="157" w:type="dxa"/>
            <w:tcBorders/>
            <w:shd w:fill="CCEEFF" w:val="clear"/>
            <w:vAlign w:val="bottom"/>
          </w:tcPr>
          <w:p>
            <w:pPr>
              <w:pStyle w:val="TableContents"/>
              <w:bidi w:val="0"/>
              <w:spacing w:before="0" w:after="283"/>
              <w:jc w:val="left"/>
              <w:rPr/>
            </w:pPr>
            <w:r>
              <w:rPr/>
              <w:t> </w:t>
            </w:r>
          </w:p>
        </w:tc>
      </w:tr>
      <w:tr>
        <w:trPr/>
        <w:tc>
          <w:tcPr>
            <w:tcW w:w="5894"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291</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317</w:t>
            </w:r>
          </w:p>
        </w:tc>
        <w:tc>
          <w:tcPr>
            <w:tcW w:w="157" w:type="dxa"/>
            <w:tcBorders/>
            <w:vAlign w:val="bottom"/>
          </w:tcPr>
          <w:p>
            <w:pPr>
              <w:pStyle w:val="TableContents"/>
              <w:bidi w:val="0"/>
              <w:spacing w:before="0" w:after="283"/>
              <w:jc w:val="left"/>
              <w:rPr/>
            </w:pPr>
            <w:r>
              <w:rPr/>
              <w:t> </w:t>
            </w:r>
          </w:p>
        </w:tc>
      </w:tr>
      <w:tr>
        <w:trPr/>
        <w:tc>
          <w:tcPr>
            <w:tcW w:w="5894"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8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4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45,530</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104,919</w:t>
            </w:r>
          </w:p>
        </w:tc>
        <w:tc>
          <w:tcPr>
            <w:tcW w:w="157" w:type="dxa"/>
            <w:tcBorders/>
            <w:shd w:fill="CCEEFF" w:val="clear"/>
            <w:vAlign w:val="bottom"/>
          </w:tcPr>
          <w:p>
            <w:pPr>
              <w:pStyle w:val="TableContents"/>
              <w:bidi w:val="0"/>
              <w:spacing w:before="0" w:after="283"/>
              <w:jc w:val="left"/>
              <w:rPr/>
            </w:pPr>
            <w:r>
              <w:rPr/>
              <w:t> </w:t>
            </w:r>
          </w:p>
        </w:tc>
      </w:tr>
      <w:tr>
        <w:trPr/>
        <w:tc>
          <w:tcPr>
            <w:tcW w:w="5894" w:type="dxa"/>
            <w:tcBorders/>
          </w:tcPr>
          <w:p>
            <w:pPr>
              <w:pStyle w:val="TableContents"/>
              <w:bidi w:val="0"/>
              <w:spacing w:before="0" w:after="0"/>
              <w:jc w:val="left"/>
              <w:rPr>
                <w:rFonts w:ascii="Times New Roman" w:hAnsi="Times New Roman"/>
                <w:sz w:val="20"/>
              </w:rPr>
            </w:pPr>
            <w:r>
              <w:rPr>
                <w:rFonts w:ascii="Times New Roman" w:hAnsi="Times New Roman"/>
                <w:sz w:val="20"/>
              </w:rPr>
              <w:t>Less: valuation allowance</w:t>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(44,080</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(104,446</w:t>
            </w:r>
          </w:p>
        </w:tc>
        <w:tc>
          <w:tcPr>
            <w:tcW w:w="157" w:type="dxa"/>
            <w:tcBorders/>
            <w:vAlign w:val="bottom"/>
          </w:tcPr>
          <w:p>
            <w:pPr>
              <w:pStyle w:val="TableContents"/>
              <w:bidi w:val="0"/>
              <w:spacing w:before="0" w:after="283"/>
              <w:jc w:val="left"/>
              <w:rPr/>
            </w:pPr>
            <w:r>
              <w:rPr/>
              <w:t>) </w:t>
            </w:r>
          </w:p>
        </w:tc>
      </w:tr>
      <w:tr>
        <w:trPr/>
        <w:tc>
          <w:tcPr>
            <w:tcW w:w="5894"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8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assets less valuation allowance</w:t>
            </w:r>
          </w:p>
        </w:tc>
        <w:tc>
          <w:tcPr>
            <w:tcW w:w="4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450</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473</w:t>
            </w:r>
          </w:p>
        </w:tc>
        <w:tc>
          <w:tcPr>
            <w:tcW w:w="157" w:type="dxa"/>
            <w:tcBorders/>
            <w:shd w:fill="CCEEFF" w:val="clear"/>
            <w:vAlign w:val="bottom"/>
          </w:tcPr>
          <w:p>
            <w:pPr>
              <w:pStyle w:val="TableContents"/>
              <w:bidi w:val="0"/>
              <w:spacing w:before="0" w:after="283"/>
              <w:jc w:val="left"/>
              <w:rPr/>
            </w:pPr>
            <w:r>
              <w:rPr/>
              <w:t> </w:t>
            </w:r>
          </w:p>
        </w:tc>
      </w:tr>
      <w:tr>
        <w:trPr/>
        <w:tc>
          <w:tcPr>
            <w:tcW w:w="5894"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58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4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(450</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(429</w:t>
            </w:r>
          </w:p>
        </w:tc>
        <w:tc>
          <w:tcPr>
            <w:tcW w:w="157" w:type="dxa"/>
            <w:tcBorders/>
            <w:shd w:fill="CCEEFF" w:val="clear"/>
            <w:vAlign w:val="bottom"/>
          </w:tcPr>
          <w:p>
            <w:pPr>
              <w:pStyle w:val="TableContents"/>
              <w:bidi w:val="0"/>
              <w:spacing w:before="0" w:after="283"/>
              <w:jc w:val="left"/>
              <w:rPr/>
            </w:pPr>
            <w:r>
              <w:rPr/>
              <w:t>) </w:t>
            </w:r>
          </w:p>
        </w:tc>
      </w:tr>
      <w:tr>
        <w:trPr/>
        <w:tc>
          <w:tcPr>
            <w:tcW w:w="5894" w:type="dxa"/>
            <w:tcBorders/>
          </w:tcPr>
          <w:p>
            <w:pPr>
              <w:pStyle w:val="TableContents"/>
              <w:bidi w:val="0"/>
              <w:spacing w:before="0" w:after="0"/>
              <w:jc w:val="left"/>
              <w:rPr>
                <w:rFonts w:ascii="Times New Roman" w:hAnsi="Times New Roman"/>
                <w:sz w:val="20"/>
              </w:rPr>
            </w:pPr>
            <w:r>
              <w:rPr>
                <w:rFonts w:ascii="Times New Roman" w:hAnsi="Times New Roman"/>
                <w:sz w:val="20"/>
              </w:rPr>
              <w:t>Fixed assets</w:t>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(44</w:t>
            </w:r>
          </w:p>
        </w:tc>
        <w:tc>
          <w:tcPr>
            <w:tcW w:w="157" w:type="dxa"/>
            <w:tcBorders/>
            <w:vAlign w:val="bottom"/>
          </w:tcPr>
          <w:p>
            <w:pPr>
              <w:pStyle w:val="TableContents"/>
              <w:bidi w:val="0"/>
              <w:spacing w:before="0" w:after="283"/>
              <w:jc w:val="left"/>
              <w:rPr/>
            </w:pPr>
            <w:r>
              <w:rPr/>
              <w:t>) </w:t>
            </w:r>
          </w:p>
        </w:tc>
      </w:tr>
      <w:tr>
        <w:trPr/>
        <w:tc>
          <w:tcPr>
            <w:tcW w:w="5894"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8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4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(450</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(473</w:t>
            </w:r>
          </w:p>
        </w:tc>
        <w:tc>
          <w:tcPr>
            <w:tcW w:w="157" w:type="dxa"/>
            <w:tcBorders/>
            <w:shd w:fill="CCEEFF" w:val="clear"/>
            <w:vAlign w:val="bottom"/>
          </w:tcPr>
          <w:p>
            <w:pPr>
              <w:pStyle w:val="TableContents"/>
              <w:bidi w:val="0"/>
              <w:spacing w:before="0" w:after="283"/>
              <w:jc w:val="left"/>
              <w:rPr/>
            </w:pPr>
            <w:r>
              <w:rPr/>
              <w:t>) </w:t>
            </w:r>
          </w:p>
        </w:tc>
      </w:tr>
      <w:tr>
        <w:trPr/>
        <w:tc>
          <w:tcPr>
            <w:tcW w:w="5894"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894" w:type="dxa"/>
            <w:tcBorders/>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6"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5894"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6"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determines its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 timing and amount of which are uncertain. Due to the Companys recent history of operating losses, the Company believes that recognition of the deferred tax assets arising from the above-mentioned future tax benefits is currently not likely to be realized and, accordingly, has provided a valuation allowance on its deferred tax assets. The valuation allowance increased by $44.1 million and $60.4 million for the years ended December 31, 2020 and 2021, respectively, primarily due to the increase in the Companys net operating losses (NOL) during the periods and deferred tax assets related to acquired NOL carryforwards from the acquisitions of assets. </w:t>
      </w:r>
    </w:p>
    <w:p>
      <w:pPr>
        <w:pStyle w:val="TextBody"/>
        <w:bidi w:val="0"/>
        <w:spacing w:before="240" w:after="0"/>
        <w:jc w:val="left"/>
        <w:rPr>
          <w:rFonts w:ascii="Times New Roman" w:hAnsi="Times New Roman"/>
          <w:sz w:val="20"/>
        </w:rPr>
      </w:pPr>
      <w:r>
        <w:rPr>
          <w:rFonts w:ascii="Times New Roman" w:hAnsi="Times New Roman"/>
          <w:sz w:val="20"/>
        </w:rPr>
        <w:t xml:space="preserve">NOLs and tax credit carryforwards as of December 31, 2021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18"/>
        <w:gridCol w:w="218"/>
        <w:gridCol w:w="142"/>
        <w:gridCol w:w="1105"/>
        <w:gridCol w:w="60"/>
        <w:gridCol w:w="218"/>
        <w:gridCol w:w="1944"/>
      </w:tblGrid>
      <w:tr>
        <w:trPr/>
        <w:tc>
          <w:tcPr>
            <w:tcW w:w="6518"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r>
      <w:tr>
        <w:trPr/>
        <w:tc>
          <w:tcPr>
            <w:tcW w:w="651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944" w:type="dxa"/>
            <w:tcBorders>
              <w:bottom w:val="single" w:sz="8" w:space="0" w:color="000000"/>
            </w:tcBorders>
            <w:tcMar>
              <w:bottom w:w="28" w:type="dxa"/>
            </w:tcMar>
            <w:vAlign w:val="bottom"/>
          </w:tcPr>
          <w:p>
            <w:pPr>
              <w:pStyle w:val="TableContents"/>
              <w:bidi w:val="0"/>
              <w:spacing w:before="0" w:after="283"/>
              <w:jc w:val="center"/>
              <w:rPr>
                <w:b/>
              </w:rPr>
            </w:pPr>
            <w:r>
              <w:rPr>
                <w:b/>
              </w:rPr>
              <w:t>Expiration Years</w:t>
            </w:r>
          </w:p>
        </w:tc>
      </w:tr>
      <w:tr>
        <w:trPr/>
        <w:tc>
          <w:tcPr>
            <w:tcW w:w="65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NOLs, federal (post-December 31, 2017)</w:t>
            </w:r>
          </w:p>
        </w:tc>
        <w:tc>
          <w:tcPr>
            <w:tcW w:w="21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    </w:t>
            </w:r>
            <w:r>
              <w:rPr/>
              <w:t>170,109</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944" w:type="dxa"/>
            <w:tcBorders/>
            <w:shd w:fill="CCEEFF" w:val="clear"/>
            <w:vAlign w:val="bottom"/>
          </w:tcPr>
          <w:p>
            <w:pPr>
              <w:pStyle w:val="TableContents"/>
              <w:bidi w:val="0"/>
              <w:spacing w:before="0" w:after="283"/>
              <w:jc w:val="center"/>
              <w:rPr/>
            </w:pPr>
            <w:r>
              <w:rPr/>
              <w:t>Indefinite(1)</w:t>
            </w:r>
          </w:p>
        </w:tc>
      </w:tr>
      <w:tr>
        <w:trPr/>
        <w:tc>
          <w:tcPr>
            <w:tcW w:w="6518" w:type="dxa"/>
            <w:tcBorders/>
          </w:tcPr>
          <w:p>
            <w:pPr>
              <w:pStyle w:val="TableContents"/>
              <w:bidi w:val="0"/>
              <w:spacing w:before="0" w:after="0"/>
              <w:jc w:val="left"/>
              <w:rPr>
                <w:rFonts w:ascii="Times New Roman" w:hAnsi="Times New Roman"/>
                <w:sz w:val="20"/>
              </w:rPr>
            </w:pPr>
            <w:r>
              <w:rPr>
                <w:rFonts w:ascii="Times New Roman" w:hAnsi="Times New Roman"/>
                <w:sz w:val="20"/>
              </w:rPr>
              <w:t>NOLs, federal (pre-January 1, 2018)</w:t>
            </w:r>
          </w:p>
        </w:tc>
        <w:tc>
          <w:tcPr>
            <w:tcW w:w="21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40,370</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944" w:type="dxa"/>
            <w:tcBorders/>
            <w:vAlign w:val="bottom"/>
          </w:tcPr>
          <w:p>
            <w:pPr>
              <w:pStyle w:val="TableContents"/>
              <w:bidi w:val="0"/>
              <w:spacing w:before="0" w:after="283"/>
              <w:jc w:val="center"/>
              <w:rPr/>
            </w:pPr>
            <w:r>
              <w:rPr/>
              <w:t>2034 through 2036</w:t>
            </w:r>
          </w:p>
        </w:tc>
      </w:tr>
      <w:tr>
        <w:trPr/>
        <w:tc>
          <w:tcPr>
            <w:tcW w:w="65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NOLs, state</w:t>
            </w:r>
          </w:p>
        </w:tc>
        <w:tc>
          <w:tcPr>
            <w:tcW w:w="21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181,263</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944" w:type="dxa"/>
            <w:tcBorders/>
            <w:shd w:fill="CCEEFF" w:val="clear"/>
            <w:vAlign w:val="bottom"/>
          </w:tcPr>
          <w:p>
            <w:pPr>
              <w:pStyle w:val="TableContents"/>
              <w:bidi w:val="0"/>
              <w:spacing w:before="0" w:after="283"/>
              <w:jc w:val="center"/>
              <w:rPr/>
            </w:pPr>
            <w:r>
              <w:rPr/>
              <w:t>2034 through 2041</w:t>
            </w:r>
          </w:p>
        </w:tc>
      </w:tr>
      <w:tr>
        <w:trPr/>
        <w:tc>
          <w:tcPr>
            <w:tcW w:w="651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tax credits, federal</w:t>
            </w:r>
          </w:p>
        </w:tc>
        <w:tc>
          <w:tcPr>
            <w:tcW w:w="21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6,338</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944" w:type="dxa"/>
            <w:tcBorders/>
            <w:vAlign w:val="bottom"/>
          </w:tcPr>
          <w:p>
            <w:pPr>
              <w:pStyle w:val="TableContents"/>
              <w:bidi w:val="0"/>
              <w:spacing w:before="0" w:after="283"/>
              <w:jc w:val="center"/>
              <w:rPr/>
            </w:pPr>
            <w:r>
              <w:rPr/>
              <w:t>2034 through 2041</w:t>
            </w:r>
          </w:p>
        </w:tc>
      </w:tr>
      <w:tr>
        <w:trPr/>
        <w:tc>
          <w:tcPr>
            <w:tcW w:w="65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tax credits, state</w:t>
            </w:r>
          </w:p>
        </w:tc>
        <w:tc>
          <w:tcPr>
            <w:tcW w:w="21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3,023</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944" w:type="dxa"/>
            <w:tcBorders/>
            <w:shd w:fill="CCEEFF" w:val="clear"/>
            <w:vAlign w:val="bottom"/>
          </w:tcPr>
          <w:p>
            <w:pPr>
              <w:pStyle w:val="TableContents"/>
              <w:bidi w:val="0"/>
              <w:spacing w:before="0" w:after="283"/>
              <w:jc w:val="center"/>
              <w:rPr/>
            </w:pPr>
            <w:r>
              <w:rPr/>
              <w:t>Indefinite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NOL carryforward generated after 2017 which can be carried forward indefinitely and can generally be used to offset up to 80% of future taxable income.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Utilization of the NOL carryforwards and research and development tax credit carryforwards may be subject to a substantial annual limitation under Section 382 of the Internal Revenue Code of 1986, as amended (Section 382)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including changes of control associated with the acquisitions of assets. Any limitation may result in expiration of a portion of the NOL carryforwards or research and development tax credit carryforwards before utilization; however, such limitation, if any, would not have an impact on the Companys financial statement due to the full valuation. Until a study is completed and any limitation is known, no amounts are being presented as an uncertain tax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 Tax Positions </w:t>
      </w:r>
    </w:p>
    <w:p>
      <w:pPr>
        <w:pStyle w:val="TextBody"/>
        <w:bidi w:val="0"/>
        <w:spacing w:before="120" w:after="0"/>
        <w:jc w:val="left"/>
        <w:rPr>
          <w:rFonts w:ascii="Times New Roman" w:hAnsi="Times New Roman"/>
          <w:sz w:val="20"/>
        </w:rPr>
      </w:pPr>
      <w:r>
        <w:rPr>
          <w:rFonts w:ascii="Times New Roman" w:hAnsi="Times New Roman"/>
          <w:sz w:val="20"/>
        </w:rPr>
        <w:t xml:space="preserve">A reconciliation of the beginning and ending balance of total gross unrecognized tax benefits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493"/>
        <w:gridCol w:w="445"/>
        <w:gridCol w:w="140"/>
        <w:gridCol w:w="800"/>
        <w:gridCol w:w="60"/>
        <w:gridCol w:w="445"/>
        <w:gridCol w:w="140"/>
        <w:gridCol w:w="800"/>
        <w:gridCol w:w="65"/>
      </w:tblGrid>
      <w:tr>
        <w:trPr/>
        <w:tc>
          <w:tcPr>
            <w:tcW w:w="6493" w:type="dxa"/>
            <w:tcBorders/>
            <w:vAlign w:val="center"/>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493"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23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5" w:type="dxa"/>
            <w:tcBorders/>
            <w:vAlign w:val="bottom"/>
          </w:tcPr>
          <w:p>
            <w:pPr>
              <w:pStyle w:val="TableContents"/>
              <w:bidi w:val="0"/>
              <w:spacing w:before="0" w:after="283"/>
              <w:jc w:val="left"/>
              <w:rPr/>
            </w:pPr>
            <w:r>
              <w:rPr/>
              <w:t> </w:t>
            </w:r>
          </w:p>
        </w:tc>
      </w:tr>
      <w:tr>
        <w:trPr/>
        <w:tc>
          <w:tcPr>
            <w:tcW w:w="6493"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5" w:type="dxa"/>
            <w:tcBorders/>
            <w:vAlign w:val="bottom"/>
          </w:tcPr>
          <w:p>
            <w:pPr>
              <w:pStyle w:val="TableContents"/>
              <w:bidi w:val="0"/>
              <w:spacing w:before="0" w:after="283"/>
              <w:jc w:val="left"/>
              <w:rPr/>
            </w:pPr>
            <w:r>
              <w:rPr/>
              <w:t> </w:t>
            </w:r>
          </w:p>
        </w:tc>
      </w:tr>
      <w:tr>
        <w:trPr/>
        <w:tc>
          <w:tcPr>
            <w:tcW w:w="6493"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2385" w:type="dxa"/>
            <w:gridSpan w:val="6"/>
            <w:tcBorders/>
            <w:vAlign w:val="bottom"/>
          </w:tcPr>
          <w:p>
            <w:pPr>
              <w:pStyle w:val="TableContents"/>
              <w:bidi w:val="0"/>
              <w:spacing w:before="0" w:after="283"/>
              <w:jc w:val="center"/>
              <w:rPr>
                <w:b/>
              </w:rPr>
            </w:pPr>
            <w:r>
              <w:rPr>
                <w:b/>
              </w:rPr>
              <w:t>(in thousands)</w:t>
            </w:r>
          </w:p>
        </w:tc>
        <w:tc>
          <w:tcPr>
            <w:tcW w:w="65" w:type="dxa"/>
            <w:tcBorders/>
            <w:vAlign w:val="bottom"/>
          </w:tcPr>
          <w:p>
            <w:pPr>
              <w:pStyle w:val="TableContents"/>
              <w:bidi w:val="0"/>
              <w:spacing w:before="0" w:after="283"/>
              <w:jc w:val="left"/>
              <w:rPr/>
            </w:pPr>
            <w:r>
              <w:rPr/>
              <w:t> </w:t>
            </w:r>
          </w:p>
        </w:tc>
      </w:tr>
      <w:tr>
        <w:trPr/>
        <w:tc>
          <w:tcPr>
            <w:tcW w:w="64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 of unrecognized tax benefits</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    </w:t>
            </w:r>
            <w:r>
              <w:rPr/>
              <w:t>7,440</w:t>
            </w:r>
          </w:p>
        </w:tc>
        <w:tc>
          <w:tcPr>
            <w:tcW w:w="65" w:type="dxa"/>
            <w:tcBorders/>
            <w:shd w:fill="CCEEFF" w:val="clear"/>
            <w:vAlign w:val="bottom"/>
          </w:tcPr>
          <w:p>
            <w:pPr>
              <w:pStyle w:val="TableContents"/>
              <w:bidi w:val="0"/>
              <w:spacing w:before="0" w:after="283"/>
              <w:jc w:val="left"/>
              <w:rPr/>
            </w:pPr>
            <w:r>
              <w:rPr/>
              <w:t> </w:t>
            </w:r>
          </w:p>
        </w:tc>
      </w:tr>
      <w:tr>
        <w:trPr/>
        <w:tc>
          <w:tcPr>
            <w:tcW w:w="6493" w:type="dxa"/>
            <w:tcBorders/>
          </w:tcPr>
          <w:p>
            <w:pPr>
              <w:pStyle w:val="TableContents"/>
              <w:bidi w:val="0"/>
              <w:spacing w:before="0" w:after="0"/>
              <w:jc w:val="left"/>
              <w:rPr>
                <w:rFonts w:ascii="Times New Roman" w:hAnsi="Times New Roman"/>
                <w:sz w:val="20"/>
              </w:rPr>
            </w:pPr>
            <w:r>
              <w:rPr>
                <w:rFonts w:ascii="Times New Roman" w:hAnsi="Times New Roman"/>
                <w:sz w:val="20"/>
              </w:rPr>
              <w:t>Gross increases based on tax positions related to current year</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1,178</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319</w:t>
            </w:r>
          </w:p>
        </w:tc>
        <w:tc>
          <w:tcPr>
            <w:tcW w:w="65" w:type="dxa"/>
            <w:tcBorders/>
            <w:vAlign w:val="bottom"/>
          </w:tcPr>
          <w:p>
            <w:pPr>
              <w:pStyle w:val="TableContents"/>
              <w:bidi w:val="0"/>
              <w:spacing w:before="0" w:after="283"/>
              <w:jc w:val="left"/>
              <w:rPr/>
            </w:pPr>
            <w:r>
              <w:rPr/>
              <w:t> </w:t>
            </w:r>
          </w:p>
        </w:tc>
      </w:tr>
      <w:tr>
        <w:trPr/>
        <w:tc>
          <w:tcPr>
            <w:tcW w:w="64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increases based on tax positions related to prior years</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62</w:t>
            </w:r>
          </w:p>
        </w:tc>
        <w:tc>
          <w:tcPr>
            <w:tcW w:w="65" w:type="dxa"/>
            <w:tcBorders/>
            <w:shd w:fill="CCEEFF" w:val="clear"/>
            <w:vAlign w:val="bottom"/>
          </w:tcPr>
          <w:p>
            <w:pPr>
              <w:pStyle w:val="TableContents"/>
              <w:bidi w:val="0"/>
              <w:spacing w:before="0" w:after="283"/>
              <w:jc w:val="left"/>
              <w:rPr/>
            </w:pPr>
            <w:r>
              <w:rPr/>
              <w:t> </w:t>
            </w:r>
          </w:p>
        </w:tc>
      </w:tr>
      <w:tr>
        <w:trPr/>
        <w:tc>
          <w:tcPr>
            <w:tcW w:w="6493" w:type="dxa"/>
            <w:tcBorders/>
          </w:tcPr>
          <w:p>
            <w:pPr>
              <w:pStyle w:val="TableContents"/>
              <w:bidi w:val="0"/>
              <w:spacing w:before="0" w:after="0"/>
              <w:jc w:val="left"/>
              <w:rPr>
                <w:rFonts w:ascii="Times New Roman" w:hAnsi="Times New Roman"/>
                <w:sz w:val="20"/>
              </w:rPr>
            </w:pPr>
            <w:r>
              <w:rPr>
                <w:rFonts w:ascii="Times New Roman" w:hAnsi="Times New Roman"/>
                <w:sz w:val="20"/>
              </w:rPr>
              <w:t>Gross increases based on tax positions related to acquired entities</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r>
              <w:rPr/>
              <w:t>6,262</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6493"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Ending balance of unrecognized tax benefits</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7,440</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7,821</w:t>
            </w:r>
          </w:p>
        </w:tc>
        <w:tc>
          <w:tcPr>
            <w:tcW w:w="65" w:type="dxa"/>
            <w:tcBorders/>
            <w:shd w:fill="CCEEFF" w:val="clear"/>
            <w:vAlign w:val="bottom"/>
          </w:tcPr>
          <w:p>
            <w:pPr>
              <w:pStyle w:val="TableContents"/>
              <w:bidi w:val="0"/>
              <w:spacing w:before="0" w:after="283"/>
              <w:jc w:val="left"/>
              <w:rPr/>
            </w:pPr>
            <w:r>
              <w:rPr/>
              <w:t> </w:t>
            </w:r>
          </w:p>
        </w:tc>
      </w:tr>
      <w:tr>
        <w:trPr/>
        <w:tc>
          <w:tcPr>
            <w:tcW w:w="6493"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unrecognized tax benefits, if recognized, would not have an impact on the Companys effective tax rate assuming the Company continues to maintain a full valuation allowance position. As of December 31, 2021, no significant increases or decreases are expected to the Companys uncertain tax positions within the next twelve months. </w:t>
      </w:r>
    </w:p>
    <w:p>
      <w:pPr>
        <w:pStyle w:val="TextBody"/>
        <w:bidi w:val="0"/>
        <w:spacing w:before="240" w:after="0"/>
        <w:jc w:val="left"/>
        <w:rPr>
          <w:rFonts w:ascii="Times New Roman" w:hAnsi="Times New Roman"/>
          <w:sz w:val="20"/>
        </w:rPr>
      </w:pPr>
      <w:r>
        <w:rPr>
          <w:rFonts w:ascii="Times New Roman" w:hAnsi="Times New Roman"/>
          <w:sz w:val="20"/>
        </w:rPr>
        <w:t xml:space="preserve">The Company files income tax returns in the United States, and the states of California and Massachusetts. Due to NOL carryforwards, all years effectively remain open for income tax examination by tax authorities in the United States and states in which the Company files tax returns.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Net Loss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computation of basic and diluted net loss per share: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14"/>
        <w:gridCol w:w="460"/>
        <w:gridCol w:w="145"/>
        <w:gridCol w:w="1058"/>
        <w:gridCol w:w="155"/>
        <w:gridCol w:w="460"/>
        <w:gridCol w:w="145"/>
        <w:gridCol w:w="1058"/>
        <w:gridCol w:w="160"/>
      </w:tblGrid>
      <w:tr>
        <w:trPr/>
        <w:tc>
          <w:tcPr>
            <w:tcW w:w="4114" w:type="dxa"/>
            <w:tcBorders/>
            <w:vAlign w:val="center"/>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4"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30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4114"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2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2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4114"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3021" w:type="dxa"/>
            <w:gridSpan w:val="6"/>
            <w:tcBorders/>
            <w:vAlign w:val="bottom"/>
          </w:tcPr>
          <w:p>
            <w:pPr>
              <w:pStyle w:val="TableContents"/>
              <w:bidi w:val="0"/>
              <w:spacing w:before="0" w:after="283"/>
              <w:jc w:val="center"/>
              <w:rPr>
                <w:b/>
              </w:rPr>
            </w:pPr>
            <w:r>
              <w:rPr>
                <w:b/>
              </w:rPr>
              <w:t>(in thousands, except per share</w:t>
              <w:br/>
              <w:t>amounts)</w:t>
            </w:r>
          </w:p>
        </w:tc>
        <w:tc>
          <w:tcPr>
            <w:tcW w:w="160" w:type="dxa"/>
            <w:tcBorders/>
            <w:vAlign w:val="bottom"/>
          </w:tcPr>
          <w:p>
            <w:pPr>
              <w:pStyle w:val="TableContents"/>
              <w:bidi w:val="0"/>
              <w:spacing w:before="0" w:after="283"/>
              <w:jc w:val="left"/>
              <w:rPr/>
            </w:pPr>
            <w:r>
              <w:rPr/>
              <w:t> </w:t>
            </w:r>
          </w:p>
        </w:tc>
      </w:tr>
      <w:tr>
        <w:trPr/>
        <w:tc>
          <w:tcPr>
            <w:tcW w:w="41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4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2876" w:type="dxa"/>
            <w:gridSpan w:val="5"/>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114"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58" w:type="dxa"/>
            <w:tcBorders/>
            <w:vAlign w:val="bottom"/>
          </w:tcPr>
          <w:p>
            <w:pPr>
              <w:pStyle w:val="TableContents"/>
              <w:bidi w:val="0"/>
              <w:spacing w:before="0" w:after="283"/>
              <w:jc w:val="right"/>
              <w:rPr/>
            </w:pPr>
            <w:r>
              <w:rPr/>
              <w:t>(99,272</w:t>
            </w:r>
          </w:p>
        </w:tc>
        <w:tc>
          <w:tcPr>
            <w:tcW w:w="15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58" w:type="dxa"/>
            <w:tcBorders/>
            <w:vAlign w:val="bottom"/>
          </w:tcPr>
          <w:p>
            <w:pPr>
              <w:pStyle w:val="TableContents"/>
              <w:bidi w:val="0"/>
              <w:spacing w:before="0" w:after="283"/>
              <w:jc w:val="right"/>
              <w:rPr/>
            </w:pPr>
            <w:r>
              <w:rPr/>
              <w:t>(237,312</w:t>
            </w:r>
          </w:p>
        </w:tc>
        <w:tc>
          <w:tcPr>
            <w:tcW w:w="160" w:type="dxa"/>
            <w:tcBorders/>
            <w:vAlign w:val="bottom"/>
          </w:tcPr>
          <w:p>
            <w:pPr>
              <w:pStyle w:val="TableContents"/>
              <w:bidi w:val="0"/>
              <w:spacing w:before="0" w:after="283"/>
              <w:jc w:val="left"/>
              <w:rPr/>
            </w:pPr>
            <w:r>
              <w:rPr/>
              <w:t>) </w:t>
            </w:r>
          </w:p>
        </w:tc>
      </w:tr>
      <w:tr>
        <w:trPr/>
        <w:tc>
          <w:tcPr>
            <w:tcW w:w="4114"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5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1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4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114"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    </w:t>
            </w:r>
            <w:r>
              <w:rPr/>
              <w:t>101,992</w:t>
            </w:r>
          </w:p>
        </w:tc>
        <w:tc>
          <w:tcPr>
            <w:tcW w:w="15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    </w:t>
            </w:r>
            <w:r>
              <w:rPr/>
              <w:t>171,815</w:t>
            </w:r>
          </w:p>
        </w:tc>
        <w:tc>
          <w:tcPr>
            <w:tcW w:w="160" w:type="dxa"/>
            <w:tcBorders/>
            <w:vAlign w:val="bottom"/>
          </w:tcPr>
          <w:p>
            <w:pPr>
              <w:pStyle w:val="TableContents"/>
              <w:bidi w:val="0"/>
              <w:spacing w:before="0" w:after="283"/>
              <w:jc w:val="left"/>
              <w:rPr/>
            </w:pPr>
            <w:r>
              <w:rPr/>
              <w:t> </w:t>
            </w:r>
          </w:p>
        </w:tc>
      </w:tr>
      <w:tr>
        <w:trPr/>
        <w:tc>
          <w:tcPr>
            <w:tcW w:w="4114"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5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1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58" w:type="dxa"/>
            <w:tcBorders/>
            <w:shd w:fill="CCEEFF" w:val="clear"/>
            <w:vAlign w:val="bottom"/>
          </w:tcPr>
          <w:p>
            <w:pPr>
              <w:pStyle w:val="TableContents"/>
              <w:bidi w:val="0"/>
              <w:spacing w:before="0" w:after="283"/>
              <w:jc w:val="right"/>
              <w:rPr/>
            </w:pPr>
            <w:r>
              <w:rPr/>
              <w:t>(0.97</w:t>
            </w:r>
          </w:p>
        </w:tc>
        <w:tc>
          <w:tcPr>
            <w:tcW w:w="155"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58" w:type="dxa"/>
            <w:tcBorders/>
            <w:shd w:fill="CCEEFF" w:val="clear"/>
            <w:vAlign w:val="bottom"/>
          </w:tcPr>
          <w:p>
            <w:pPr>
              <w:pStyle w:val="TableContents"/>
              <w:bidi w:val="0"/>
              <w:spacing w:before="0" w:after="283"/>
              <w:jc w:val="right"/>
              <w:rPr/>
            </w:pPr>
            <w:r>
              <w:rPr/>
              <w:t>(1.38</w:t>
            </w:r>
          </w:p>
        </w:tc>
        <w:tc>
          <w:tcPr>
            <w:tcW w:w="160" w:type="dxa"/>
            <w:tcBorders/>
            <w:shd w:fill="CCEEFF" w:val="clear"/>
            <w:vAlign w:val="bottom"/>
          </w:tcPr>
          <w:p>
            <w:pPr>
              <w:pStyle w:val="TableContents"/>
              <w:bidi w:val="0"/>
              <w:spacing w:before="0" w:after="283"/>
              <w:jc w:val="left"/>
              <w:rPr/>
            </w:pPr>
            <w:r>
              <w:rPr/>
              <w:t>) </w:t>
            </w:r>
          </w:p>
        </w:tc>
      </w:tr>
      <w:tr>
        <w:trPr/>
        <w:tc>
          <w:tcPr>
            <w:tcW w:w="4114"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5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outstanding potentially dilutive common stock equivalents were excluded from the computation of diluted net loss per share for the periods presented because including them would have been antidilutive: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24"/>
        <w:gridCol w:w="244"/>
        <w:gridCol w:w="60"/>
        <w:gridCol w:w="800"/>
        <w:gridCol w:w="60"/>
        <w:gridCol w:w="244"/>
        <w:gridCol w:w="60"/>
        <w:gridCol w:w="800"/>
        <w:gridCol w:w="63"/>
      </w:tblGrid>
      <w:tr>
        <w:trPr/>
        <w:tc>
          <w:tcPr>
            <w:tcW w:w="5424"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2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02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3" w:type="dxa"/>
            <w:tcBorders/>
            <w:vAlign w:val="bottom"/>
          </w:tcPr>
          <w:p>
            <w:pPr>
              <w:pStyle w:val="TableContents"/>
              <w:bidi w:val="0"/>
              <w:spacing w:before="0" w:after="283"/>
              <w:jc w:val="left"/>
              <w:rPr/>
            </w:pPr>
            <w:r>
              <w:rPr/>
              <w:t> </w:t>
            </w:r>
          </w:p>
        </w:tc>
      </w:tr>
      <w:tr>
        <w:trPr/>
        <w:tc>
          <w:tcPr>
            <w:tcW w:w="542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3" w:type="dxa"/>
            <w:tcBorders/>
            <w:vAlign w:val="bottom"/>
          </w:tcPr>
          <w:p>
            <w:pPr>
              <w:pStyle w:val="TableContents"/>
              <w:bidi w:val="0"/>
              <w:spacing w:before="0" w:after="283"/>
              <w:jc w:val="left"/>
              <w:rPr/>
            </w:pPr>
            <w:r>
              <w:rPr/>
              <w:t> </w:t>
            </w:r>
          </w:p>
        </w:tc>
      </w:tr>
      <w:tr>
        <w:trPr/>
        <w:tc>
          <w:tcPr>
            <w:tcW w:w="542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024" w:type="dxa"/>
            <w:gridSpan w:val="6"/>
            <w:tcBorders/>
            <w:vAlign w:val="bottom"/>
          </w:tcPr>
          <w:p>
            <w:pPr>
              <w:pStyle w:val="TableContents"/>
              <w:bidi w:val="0"/>
              <w:spacing w:before="0" w:after="283"/>
              <w:jc w:val="center"/>
              <w:rPr>
                <w:b/>
              </w:rPr>
            </w:pPr>
            <w:r>
              <w:rPr>
                <w:b/>
              </w:rPr>
              <w:t>(in thousands)</w:t>
            </w:r>
          </w:p>
        </w:tc>
        <w:tc>
          <w:tcPr>
            <w:tcW w:w="63" w:type="dxa"/>
            <w:tcBorders/>
            <w:vAlign w:val="bottom"/>
          </w:tcPr>
          <w:p>
            <w:pPr>
              <w:pStyle w:val="TableContents"/>
              <w:bidi w:val="0"/>
              <w:spacing w:before="0" w:after="283"/>
              <w:jc w:val="left"/>
              <w:rPr/>
            </w:pPr>
            <w:r>
              <w:rPr/>
              <w:t> </w:t>
            </w:r>
          </w:p>
        </w:tc>
      </w:tr>
      <w:tr>
        <w:trPr/>
        <w:tc>
          <w:tcPr>
            <w:tcW w:w="5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294,876</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743,126</w:t>
            </w:r>
          </w:p>
        </w:tc>
        <w:tc>
          <w:tcPr>
            <w:tcW w:w="63" w:type="dxa"/>
            <w:tcBorders/>
            <w:shd w:fill="CCEEFF" w:val="clear"/>
            <w:vAlign w:val="bottom"/>
          </w:tcPr>
          <w:p>
            <w:pPr>
              <w:pStyle w:val="TableContents"/>
              <w:bidi w:val="0"/>
              <w:spacing w:before="0" w:after="283"/>
              <w:jc w:val="left"/>
              <w:rPr/>
            </w:pPr>
            <w:r>
              <w:rPr/>
              <w:t> </w:t>
            </w:r>
          </w:p>
        </w:tc>
      </w:tr>
      <w:tr>
        <w:trPr/>
        <w:tc>
          <w:tcPr>
            <w:tcW w:w="5424"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warrants</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2,293</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2,293</w:t>
            </w:r>
          </w:p>
        </w:tc>
        <w:tc>
          <w:tcPr>
            <w:tcW w:w="63" w:type="dxa"/>
            <w:tcBorders/>
            <w:vAlign w:val="bottom"/>
          </w:tcPr>
          <w:p>
            <w:pPr>
              <w:pStyle w:val="TableContents"/>
              <w:bidi w:val="0"/>
              <w:spacing w:before="0" w:after="283"/>
              <w:jc w:val="left"/>
              <w:rPr/>
            </w:pPr>
            <w:r>
              <w:rPr/>
              <w:t> </w:t>
            </w:r>
          </w:p>
        </w:tc>
      </w:tr>
      <w:tr>
        <w:trPr/>
        <w:tc>
          <w:tcPr>
            <w:tcW w:w="5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options</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26,775</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46,265</w:t>
            </w:r>
          </w:p>
        </w:tc>
        <w:tc>
          <w:tcPr>
            <w:tcW w:w="63" w:type="dxa"/>
            <w:tcBorders/>
            <w:shd w:fill="CCEEFF" w:val="clear"/>
            <w:vAlign w:val="bottom"/>
          </w:tcPr>
          <w:p>
            <w:pPr>
              <w:pStyle w:val="TableContents"/>
              <w:bidi w:val="0"/>
              <w:spacing w:before="0" w:after="283"/>
              <w:jc w:val="left"/>
              <w:rPr/>
            </w:pPr>
            <w:r>
              <w:rPr/>
              <w:t> </w:t>
            </w:r>
          </w:p>
        </w:tc>
      </w:tr>
      <w:tr>
        <w:trPr/>
        <w:tc>
          <w:tcPr>
            <w:tcW w:w="5424" w:type="dxa"/>
            <w:tcBorders/>
          </w:tcPr>
          <w:p>
            <w:pPr>
              <w:pStyle w:val="TableContents"/>
              <w:bidi w:val="0"/>
              <w:spacing w:before="0" w:after="0"/>
              <w:jc w:val="left"/>
              <w:rPr>
                <w:rFonts w:ascii="Times New Roman" w:hAnsi="Times New Roman"/>
                <w:sz w:val="20"/>
              </w:rPr>
            </w:pPr>
            <w:r>
              <w:rPr>
                <w:rFonts w:ascii="Times New Roman" w:hAnsi="Times New Roman"/>
                <w:sz w:val="20"/>
              </w:rPr>
              <w:t>Performance stock options</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5,500</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5,500</w:t>
            </w:r>
          </w:p>
        </w:tc>
        <w:tc>
          <w:tcPr>
            <w:tcW w:w="63" w:type="dxa"/>
            <w:tcBorders/>
            <w:vAlign w:val="bottom"/>
          </w:tcPr>
          <w:p>
            <w:pPr>
              <w:pStyle w:val="TableContents"/>
              <w:bidi w:val="0"/>
              <w:spacing w:before="0" w:after="283"/>
              <w:jc w:val="left"/>
              <w:rPr/>
            </w:pPr>
            <w:r>
              <w:rPr/>
              <w:t> </w:t>
            </w:r>
          </w:p>
        </w:tc>
      </w:tr>
      <w:tr>
        <w:trPr/>
        <w:tc>
          <w:tcPr>
            <w:tcW w:w="5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Early exercised stock options subject to future vesting</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4,144</w:t>
            </w:r>
          </w:p>
        </w:tc>
        <w:tc>
          <w:tcPr>
            <w:tcW w:w="63" w:type="dxa"/>
            <w:tcBorders/>
            <w:shd w:fill="CCEEFF" w:val="clear"/>
            <w:vAlign w:val="bottom"/>
          </w:tcPr>
          <w:p>
            <w:pPr>
              <w:pStyle w:val="TableContents"/>
              <w:bidi w:val="0"/>
              <w:spacing w:before="0" w:after="283"/>
              <w:jc w:val="left"/>
              <w:rPr/>
            </w:pPr>
            <w:r>
              <w:rPr/>
              <w:t> </w:t>
            </w:r>
          </w:p>
        </w:tc>
      </w:tr>
      <w:tr>
        <w:trPr/>
        <w:tc>
          <w:tcPr>
            <w:tcW w:w="5424" w:type="dxa"/>
            <w:tcBorders/>
          </w:tcPr>
          <w:p>
            <w:pPr>
              <w:pStyle w:val="TableContents"/>
              <w:bidi w:val="0"/>
              <w:spacing w:before="0" w:after="0"/>
              <w:jc w:val="left"/>
              <w:rPr>
                <w:rFonts w:ascii="Times New Roman" w:hAnsi="Times New Roman"/>
                <w:sz w:val="20"/>
              </w:rPr>
            </w:pPr>
            <w:r>
              <w:rPr>
                <w:rFonts w:ascii="Times New Roman" w:hAnsi="Times New Roman"/>
                <w:sz w:val="20"/>
              </w:rPr>
              <w:t>Unvested restricted stock subject to repurchase</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86,897</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39,222</w:t>
            </w:r>
          </w:p>
        </w:tc>
        <w:tc>
          <w:tcPr>
            <w:tcW w:w="63" w:type="dxa"/>
            <w:tcBorders/>
            <w:vAlign w:val="bottom"/>
          </w:tcPr>
          <w:p>
            <w:pPr>
              <w:pStyle w:val="TableContents"/>
              <w:bidi w:val="0"/>
              <w:spacing w:before="0" w:after="283"/>
              <w:jc w:val="left"/>
              <w:rPr/>
            </w:pPr>
            <w:r>
              <w:rPr/>
              <w:t> </w:t>
            </w:r>
          </w:p>
        </w:tc>
      </w:tr>
      <w:tr>
        <w:trPr/>
        <w:tc>
          <w:tcPr>
            <w:tcW w:w="5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Performance restricted stock</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7,160</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7,000</w:t>
            </w:r>
          </w:p>
        </w:tc>
        <w:tc>
          <w:tcPr>
            <w:tcW w:w="63" w:type="dxa"/>
            <w:tcBorders/>
            <w:shd w:fill="CCEEFF" w:val="clear"/>
            <w:vAlign w:val="bottom"/>
          </w:tcPr>
          <w:p>
            <w:pPr>
              <w:pStyle w:val="TableContents"/>
              <w:bidi w:val="0"/>
              <w:spacing w:before="0" w:after="283"/>
              <w:jc w:val="left"/>
              <w:rPr/>
            </w:pPr>
            <w:r>
              <w:rPr/>
              <w:t> </w:t>
            </w:r>
          </w:p>
        </w:tc>
      </w:tr>
      <w:tr>
        <w:trPr/>
        <w:tc>
          <w:tcPr>
            <w:tcW w:w="5424"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subject to right of forfeiture</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20,833</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5424"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444,334</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847,550</w:t>
            </w:r>
          </w:p>
        </w:tc>
        <w:tc>
          <w:tcPr>
            <w:tcW w:w="63" w:type="dxa"/>
            <w:tcBorders/>
            <w:shd w:fill="CCEEFF" w:val="clear"/>
            <w:vAlign w:val="bottom"/>
          </w:tcPr>
          <w:p>
            <w:pPr>
              <w:pStyle w:val="TableContents"/>
              <w:bidi w:val="0"/>
              <w:spacing w:before="0" w:after="283"/>
              <w:jc w:val="left"/>
              <w:rPr/>
            </w:pPr>
            <w:r>
              <w:rPr/>
              <w:t> </w:t>
            </w:r>
          </w:p>
        </w:tc>
      </w:tr>
      <w:tr>
        <w:trPr/>
        <w:tc>
          <w:tcPr>
            <w:tcW w:w="5424"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August 2020, the Company repurchased 16,666,667 shares of common stock from an investor who is a related party, at the original purchase price of $0.0001. The repurchased shares of common stock were cancelled and retired. The Company determined there was no accounting impact of this repurchase as at that time, there was only one class of the Companys equity outstanding.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2020, the Company issued 13,531,561 shares of its Series A-1 Preferred as consideration for an acquisition of assets and 65,700,828 shares of its Series A-2 Preferred for total cash proceeds of $30.0 million and settlement of convertible promissory notes amounting to $30.3 million to a significant stockholder that has designated members of the Companys board of directors and who is considered to be a related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One of BlackThorns investors and two of its board members at the time of the acquisition by the Company were related parties of the Company. A stockholder of Alairion at the time of the merger with the Company was a related party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During 2020, the Company issued 2020 Bridge Notes and Series A-2 convertible preferred stock to investors who were considered to be related parties (see Note 7 and Note 11). </w:t>
      </w:r>
    </w:p>
    <w:p>
      <w:pPr>
        <w:pStyle w:val="TextBody"/>
        <w:bidi w:val="0"/>
        <w:spacing w:before="240" w:after="0"/>
        <w:jc w:val="left"/>
        <w:rPr>
          <w:rFonts w:ascii="Times New Roman" w:hAnsi="Times New Roman"/>
          <w:sz w:val="20"/>
        </w:rPr>
      </w:pPr>
      <w:r>
        <w:rPr>
          <w:rFonts w:ascii="Times New Roman" w:hAnsi="Times New Roman"/>
          <w:sz w:val="20"/>
        </w:rPr>
        <w:t xml:space="preserve">In August 2021, the Company issued 40,000,000 shares of its Series A-2 convertible preferred stock for total cash proceeds of $40.0 million to a significant stockholder that has designated members on the Companys board of directors and who is considered to be a related party.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2021, the Company was obligated to pay Amgen $6.3 million under the Amgen Collaboration Agreement (see Note 10). Subject to certain conditions, Amgen is also obligated to provide the Company additional financing of up to $100.0 million (see Note 11).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2020 and 2021, out of the total, 820,434 Preferred Stock Warrants were held by a related party (see Note 12).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Defined Contribution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began sponsoring a 401(k) Plan in 2020 whereby eligible employees can elect to contribute to the 401(k) Plan, subject to certain limitations, on a pretax basis. The Company does not match any employee contributions.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through May 2, 2022, the date these consolidated financial statements were available to be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Vanderbilt License Agreement and Sponsored Research Agreement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2022, the Company and Vanderbilt University (Vanderbilt) entered into a license agreement (Vanderbilt License Agreement). Pursuant to the Vanderbilt License Agreement, the Company obtained an exclusive, worldwide royalty-bearing, sublicensable (subject to certain restrictions) license under certain patent rights and a non-exclusive, worldwide, royalty-bearing, sublicensable (subject to certain restrictions) license under certain know-how covering small molecule positive allosteric modulators (PAMs) predominantly of the muscarinic acetylcholine receptor subtype 4 (M4) to develop, manufacture, and commercialize products, processes and services covered by such patent rights or that incorporate or use such know-how, for any and uses. The Company also has an exclusive option, exercisable for a specified period of time, to obtain an exclusive license to certain patent rights conceived or developed by Vanderbilt in the course of carrying out the sponsored research pursuant to a sponsored research agreement the between the Company and Vanderbilt, which was entered into at the same time as the Vanderbilt License Agreement. The licensed patent rights are subject to Vanderbilts right to use the patent rights for research, internal non-commercial use, and educational purposes. The Company intends to develop the PAMs for the treatment of schizophrenia and other neuropsychiatric disorders. The Company has agreed to use commercially reasonable efforts to develop and commercial licensed products, and to achieve certain development milestones.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Under the Vanderbilt License Agreement, the Company agreed to pay Vanderbilt a non-refundable, non-creditable upfront cash fee of $13.0 million. The Company is also obligated to pay Vanderbilt cash payments up to $42.0 million upon the achievement of specified development milestones and up to $380.0 million upon the achievement of commercial milestone events as well as and tiered royalties at mid-single digit percentages on potential future net sales, subject to specified reductions for the lack of patent coverage, generic entry and payment obligations for third-party licenses. In addition, the Company is obligated to pay Vanderbilt low-double-digit percentage of sublicense income it receives for sublicenses entered into before the achievement of a specified event.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the right to terminate the Vanderbilt License Agreement at any time by providing Vanderbilt with 90 days prior notice. Vanderbilt has the right to terminate the Vanderbilt License Agreement if the Company files for bankruptcy. The Vanderbilt License Agreement will automatically terminate if the Companys insurance coverage lapses and is not cured within 90 days. Vanderbilt also has the right to terminate if the Company fails to make payments, breaches its diligence obligations or breaches any other material term upon 60 days prior notice.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2022 Equity Awards </w:t>
      </w:r>
    </w:p>
    <w:p>
      <w:pPr>
        <w:pStyle w:val="TextBody"/>
        <w:bidi w:val="0"/>
        <w:spacing w:before="120" w:after="0"/>
        <w:jc w:val="left"/>
        <w:rPr>
          <w:rFonts w:ascii="Times New Roman" w:hAnsi="Times New Roman"/>
          <w:sz w:val="20"/>
        </w:rPr>
      </w:pPr>
      <w:r>
        <w:rPr>
          <w:rFonts w:ascii="Times New Roman" w:hAnsi="Times New Roman"/>
          <w:sz w:val="20"/>
        </w:rPr>
        <w:t xml:space="preserve">During the first quarter of 2022, the Company granted options to purchase 30,431,669 shares of the Companys common stock to employees and non-employee service providers with an exercise price of $0.59 per share that vest over a three- or four-year vesting schedule, including 9,550,000 options granted to the Companys executives.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bookmarkStart w:id="35" w:name="fin241143_101"/>
      <w:bookmarkStart w:id="36" w:name="fin241143_7"/>
      <w:bookmarkEnd w:id="35"/>
      <w:bookmarkEnd w:id="36"/>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par values)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55"/>
        <w:gridCol w:w="304"/>
        <w:gridCol w:w="198"/>
        <w:gridCol w:w="1221"/>
        <w:gridCol w:w="155"/>
        <w:gridCol w:w="267"/>
        <w:gridCol w:w="155"/>
        <w:gridCol w:w="991"/>
        <w:gridCol w:w="159"/>
      </w:tblGrid>
      <w:tr>
        <w:trPr/>
        <w:tc>
          <w:tcPr>
            <w:tcW w:w="6755"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2021</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2022</w:t>
            </w:r>
          </w:p>
        </w:tc>
        <w:tc>
          <w:tcPr>
            <w:tcW w:w="159" w:type="dxa"/>
            <w:tcBorders/>
            <w:vAlign w:val="bottom"/>
          </w:tcPr>
          <w:p>
            <w:pPr>
              <w:pStyle w:val="TableContents"/>
              <w:bidi w:val="0"/>
              <w:spacing w:before="0" w:after="283"/>
              <w:jc w:val="left"/>
              <w:rPr/>
            </w:pPr>
            <w:r>
              <w:rPr/>
              <w:t> </w:t>
            </w:r>
          </w:p>
        </w:tc>
      </w:tr>
      <w:tr>
        <w:trPr/>
        <w:tc>
          <w:tcPr>
            <w:tcW w:w="6755" w:type="dxa"/>
            <w:tcBorders/>
            <w:vAlign w:val="bottom"/>
          </w:tcPr>
          <w:p>
            <w:pPr>
              <w:pStyle w:val="TableContents"/>
              <w:bidi w:val="0"/>
              <w:spacing w:before="0" w:after="283"/>
              <w:jc w:val="left"/>
              <w:rPr>
                <w:b/>
                <w:sz w:val="20"/>
              </w:rPr>
            </w:pPr>
            <w:r>
              <w:rPr>
                <w:b/>
                <w:sz w:val="20"/>
              </w:rPr>
              <w:t>Assets</w:t>
            </w:r>
          </w:p>
        </w:tc>
        <w:tc>
          <w:tcPr>
            <w:tcW w:w="304" w:type="dxa"/>
            <w:tcBorders/>
            <w:vAlign w:val="bottom"/>
          </w:tcPr>
          <w:p>
            <w:pPr>
              <w:pStyle w:val="TableContents"/>
              <w:bidi w:val="0"/>
              <w:spacing w:before="0" w:after="283"/>
              <w:jc w:val="left"/>
              <w:rPr/>
            </w:pPr>
            <w:r>
              <w:rPr/>
              <w:t>  </w:t>
            </w:r>
          </w:p>
        </w:tc>
        <w:tc>
          <w:tcPr>
            <w:tcW w:w="1419"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146" w:type="dxa"/>
            <w:gridSpan w:val="2"/>
            <w:tcBorders/>
            <w:vAlign w:val="bottom"/>
          </w:tcPr>
          <w:p>
            <w:pPr>
              <w:pStyle w:val="TableContents"/>
              <w:bidi w:val="0"/>
              <w:spacing w:before="0" w:after="283"/>
              <w:jc w:val="center"/>
              <w:rPr>
                <w:b/>
              </w:rPr>
            </w:pPr>
            <w:r>
              <w:rPr>
                <w:b/>
              </w:rPr>
              <w:t>(unaudited)</w:t>
            </w:r>
          </w:p>
        </w:tc>
        <w:tc>
          <w:tcPr>
            <w:tcW w:w="159" w:type="dxa"/>
            <w:tcBorders/>
            <w:vAlign w:val="bottom"/>
          </w:tcPr>
          <w:p>
            <w:pPr>
              <w:pStyle w:val="TableContents"/>
              <w:bidi w:val="0"/>
              <w:spacing w:before="0" w:after="283"/>
              <w:jc w:val="left"/>
              <w:rPr/>
            </w:pPr>
            <w:r>
              <w:rPr/>
              <w:t> </w:t>
            </w:r>
          </w:p>
        </w:tc>
      </w:tr>
      <w:tr>
        <w:trPr/>
        <w:tc>
          <w:tcPr>
            <w:tcW w:w="6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0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5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0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409,247</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291,179</w:t>
            </w:r>
          </w:p>
        </w:tc>
        <w:tc>
          <w:tcPr>
            <w:tcW w:w="159" w:type="dxa"/>
            <w:tcBorders/>
            <w:vAlign w:val="bottom"/>
          </w:tcPr>
          <w:p>
            <w:pPr>
              <w:pStyle w:val="TableContents"/>
              <w:bidi w:val="0"/>
              <w:spacing w:before="0" w:after="283"/>
              <w:jc w:val="left"/>
              <w:rPr/>
            </w:pPr>
            <w:r>
              <w:rPr/>
              <w:t> </w:t>
            </w:r>
          </w:p>
        </w:tc>
      </w:tr>
      <w:tr>
        <w:trPr/>
        <w:tc>
          <w:tcPr>
            <w:tcW w:w="6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marketable securities</w:t>
            </w:r>
          </w:p>
        </w:tc>
        <w:tc>
          <w:tcPr>
            <w:tcW w:w="30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58,444</w:t>
            </w:r>
          </w:p>
        </w:tc>
        <w:tc>
          <w:tcPr>
            <w:tcW w:w="159" w:type="dxa"/>
            <w:tcBorders/>
            <w:shd w:fill="CCEEFF" w:val="clear"/>
            <w:vAlign w:val="bottom"/>
          </w:tcPr>
          <w:p>
            <w:pPr>
              <w:pStyle w:val="TableContents"/>
              <w:bidi w:val="0"/>
              <w:spacing w:before="0" w:after="283"/>
              <w:jc w:val="left"/>
              <w:rPr/>
            </w:pPr>
            <w:r>
              <w:rPr/>
              <w:t> </w:t>
            </w:r>
          </w:p>
        </w:tc>
      </w:tr>
      <w:tr>
        <w:trPr/>
        <w:tc>
          <w:tcPr>
            <w:tcW w:w="6755"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0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125</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50</w:t>
            </w:r>
          </w:p>
        </w:tc>
        <w:tc>
          <w:tcPr>
            <w:tcW w:w="159" w:type="dxa"/>
            <w:tcBorders/>
            <w:vAlign w:val="bottom"/>
          </w:tcPr>
          <w:p>
            <w:pPr>
              <w:pStyle w:val="TableContents"/>
              <w:bidi w:val="0"/>
              <w:spacing w:before="0" w:after="283"/>
              <w:jc w:val="left"/>
              <w:rPr/>
            </w:pPr>
            <w:r>
              <w:rPr/>
              <w:t> </w:t>
            </w:r>
          </w:p>
        </w:tc>
      </w:tr>
      <w:tr>
        <w:trPr/>
        <w:tc>
          <w:tcPr>
            <w:tcW w:w="6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0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6,231</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13,250</w:t>
            </w:r>
          </w:p>
        </w:tc>
        <w:tc>
          <w:tcPr>
            <w:tcW w:w="159" w:type="dxa"/>
            <w:tcBorders/>
            <w:shd w:fill="CCEEFF" w:val="clear"/>
            <w:vAlign w:val="bottom"/>
          </w:tcPr>
          <w:p>
            <w:pPr>
              <w:pStyle w:val="TableContents"/>
              <w:bidi w:val="0"/>
              <w:spacing w:before="0" w:after="283"/>
              <w:jc w:val="left"/>
              <w:rPr/>
            </w:pPr>
            <w:r>
              <w:rPr/>
              <w:t> </w:t>
            </w:r>
          </w:p>
        </w:tc>
      </w:tr>
      <w:tr>
        <w:trPr/>
        <w:tc>
          <w:tcPr>
            <w:tcW w:w="6755"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55"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0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415,603</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362,923</w:t>
            </w:r>
          </w:p>
        </w:tc>
        <w:tc>
          <w:tcPr>
            <w:tcW w:w="159" w:type="dxa"/>
            <w:tcBorders/>
            <w:vAlign w:val="bottom"/>
          </w:tcPr>
          <w:p>
            <w:pPr>
              <w:pStyle w:val="TableContents"/>
              <w:bidi w:val="0"/>
              <w:spacing w:before="0" w:after="283"/>
              <w:jc w:val="left"/>
              <w:rPr/>
            </w:pPr>
            <w:r>
              <w:rPr/>
              <w:t> </w:t>
            </w:r>
          </w:p>
        </w:tc>
      </w:tr>
      <w:tr>
        <w:trPr/>
        <w:tc>
          <w:tcPr>
            <w:tcW w:w="6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marketable securities</w:t>
            </w:r>
          </w:p>
        </w:tc>
        <w:tc>
          <w:tcPr>
            <w:tcW w:w="30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13,807</w:t>
            </w:r>
          </w:p>
        </w:tc>
        <w:tc>
          <w:tcPr>
            <w:tcW w:w="159" w:type="dxa"/>
            <w:tcBorders/>
            <w:shd w:fill="CCEEFF" w:val="clear"/>
            <w:vAlign w:val="bottom"/>
          </w:tcPr>
          <w:p>
            <w:pPr>
              <w:pStyle w:val="TableContents"/>
              <w:bidi w:val="0"/>
              <w:spacing w:before="0" w:after="283"/>
              <w:jc w:val="left"/>
              <w:rPr/>
            </w:pPr>
            <w:r>
              <w:rPr/>
              <w:t> </w:t>
            </w:r>
          </w:p>
        </w:tc>
      </w:tr>
      <w:tr>
        <w:trPr/>
        <w:tc>
          <w:tcPr>
            <w:tcW w:w="6755"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0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2,170</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2,199</w:t>
            </w:r>
          </w:p>
        </w:tc>
        <w:tc>
          <w:tcPr>
            <w:tcW w:w="159" w:type="dxa"/>
            <w:tcBorders/>
            <w:vAlign w:val="bottom"/>
          </w:tcPr>
          <w:p>
            <w:pPr>
              <w:pStyle w:val="TableContents"/>
              <w:bidi w:val="0"/>
              <w:spacing w:before="0" w:after="283"/>
              <w:jc w:val="left"/>
              <w:rPr/>
            </w:pPr>
            <w:r>
              <w:rPr/>
              <w:t> </w:t>
            </w:r>
          </w:p>
        </w:tc>
      </w:tr>
      <w:tr>
        <w:trPr/>
        <w:tc>
          <w:tcPr>
            <w:tcW w:w="6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30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1,871</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1,605</w:t>
            </w:r>
          </w:p>
        </w:tc>
        <w:tc>
          <w:tcPr>
            <w:tcW w:w="159" w:type="dxa"/>
            <w:tcBorders/>
            <w:shd w:fill="CCEEFF" w:val="clear"/>
            <w:vAlign w:val="bottom"/>
          </w:tcPr>
          <w:p>
            <w:pPr>
              <w:pStyle w:val="TableContents"/>
              <w:bidi w:val="0"/>
              <w:spacing w:before="0" w:after="283"/>
              <w:jc w:val="left"/>
              <w:rPr/>
            </w:pPr>
            <w:r>
              <w:rPr/>
              <w:t> </w:t>
            </w:r>
          </w:p>
        </w:tc>
      </w:tr>
      <w:tr>
        <w:trPr/>
        <w:tc>
          <w:tcPr>
            <w:tcW w:w="6755"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0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9,653</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2,303</w:t>
            </w:r>
          </w:p>
        </w:tc>
        <w:tc>
          <w:tcPr>
            <w:tcW w:w="159" w:type="dxa"/>
            <w:tcBorders/>
            <w:vAlign w:val="bottom"/>
          </w:tcPr>
          <w:p>
            <w:pPr>
              <w:pStyle w:val="TableContents"/>
              <w:bidi w:val="0"/>
              <w:spacing w:before="0" w:after="283"/>
              <w:jc w:val="left"/>
              <w:rPr/>
            </w:pPr>
            <w:r>
              <w:rPr/>
              <w:t> </w:t>
            </w:r>
          </w:p>
        </w:tc>
      </w:tr>
      <w:tr>
        <w:trPr/>
        <w:tc>
          <w:tcPr>
            <w:tcW w:w="6755"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0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429,297</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991" w:type="dxa"/>
            <w:tcBorders/>
            <w:shd w:fill="CCEEFF" w:val="clear"/>
            <w:vAlign w:val="bottom"/>
          </w:tcPr>
          <w:p>
            <w:pPr>
              <w:pStyle w:val="TableContents"/>
              <w:bidi w:val="0"/>
              <w:spacing w:before="0" w:after="283"/>
              <w:jc w:val="right"/>
              <w:rPr/>
            </w:pPr>
            <w:r>
              <w:rPr/>
              <w:t>382,837</w:t>
            </w:r>
          </w:p>
        </w:tc>
        <w:tc>
          <w:tcPr>
            <w:tcW w:w="159" w:type="dxa"/>
            <w:tcBorders/>
            <w:shd w:fill="CCEEFF" w:val="clear"/>
            <w:vAlign w:val="bottom"/>
          </w:tcPr>
          <w:p>
            <w:pPr>
              <w:pStyle w:val="TableContents"/>
              <w:bidi w:val="0"/>
              <w:spacing w:before="0" w:after="283"/>
              <w:jc w:val="left"/>
              <w:rPr/>
            </w:pPr>
            <w:r>
              <w:rPr/>
              <w:t> </w:t>
            </w:r>
          </w:p>
        </w:tc>
      </w:tr>
      <w:tr>
        <w:trPr/>
        <w:tc>
          <w:tcPr>
            <w:tcW w:w="6755"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99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55"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 Stockholders Deficit</w:t>
            </w:r>
          </w:p>
        </w:tc>
        <w:tc>
          <w:tcPr>
            <w:tcW w:w="30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9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0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5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1,639</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1,647</w:t>
            </w:r>
          </w:p>
        </w:tc>
        <w:tc>
          <w:tcPr>
            <w:tcW w:w="159" w:type="dxa"/>
            <w:tcBorders/>
            <w:vAlign w:val="bottom"/>
          </w:tcPr>
          <w:p>
            <w:pPr>
              <w:pStyle w:val="TableContents"/>
              <w:bidi w:val="0"/>
              <w:spacing w:before="0" w:after="283"/>
              <w:jc w:val="left"/>
              <w:rPr/>
            </w:pPr>
            <w:r>
              <w:rPr/>
              <w:t> </w:t>
            </w:r>
          </w:p>
        </w:tc>
      </w:tr>
      <w:tr>
        <w:trPr/>
        <w:tc>
          <w:tcPr>
            <w:tcW w:w="6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30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19,096</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14,410</w:t>
            </w:r>
          </w:p>
        </w:tc>
        <w:tc>
          <w:tcPr>
            <w:tcW w:w="159" w:type="dxa"/>
            <w:tcBorders/>
            <w:shd w:fill="CCEEFF" w:val="clear"/>
            <w:vAlign w:val="bottom"/>
          </w:tcPr>
          <w:p>
            <w:pPr>
              <w:pStyle w:val="TableContents"/>
              <w:bidi w:val="0"/>
              <w:spacing w:before="0" w:after="283"/>
              <w:jc w:val="left"/>
              <w:rPr/>
            </w:pPr>
            <w:r>
              <w:rPr/>
              <w:t> </w:t>
            </w:r>
          </w:p>
        </w:tc>
      </w:tr>
      <w:tr>
        <w:trPr/>
        <w:tc>
          <w:tcPr>
            <w:tcW w:w="6755" w:type="dxa"/>
            <w:tcBorders/>
          </w:tcPr>
          <w:p>
            <w:pPr>
              <w:pStyle w:val="TableContents"/>
              <w:bidi w:val="0"/>
              <w:spacing w:before="0" w:after="0"/>
              <w:jc w:val="left"/>
              <w:rPr>
                <w:rFonts w:ascii="Times New Roman" w:hAnsi="Times New Roman"/>
                <w:sz w:val="20"/>
              </w:rPr>
            </w:pPr>
            <w:r>
              <w:rPr>
                <w:rFonts w:ascii="Times New Roman" w:hAnsi="Times New Roman"/>
                <w:sz w:val="20"/>
              </w:rPr>
              <w:t>Early exercise liability, current portion</w:t>
            </w:r>
          </w:p>
        </w:tc>
        <w:tc>
          <w:tcPr>
            <w:tcW w:w="30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928</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380</w:t>
            </w:r>
          </w:p>
        </w:tc>
        <w:tc>
          <w:tcPr>
            <w:tcW w:w="159" w:type="dxa"/>
            <w:tcBorders/>
            <w:vAlign w:val="bottom"/>
          </w:tcPr>
          <w:p>
            <w:pPr>
              <w:pStyle w:val="TableContents"/>
              <w:bidi w:val="0"/>
              <w:spacing w:before="0" w:after="283"/>
              <w:jc w:val="left"/>
              <w:rPr/>
            </w:pPr>
            <w:r>
              <w:rPr/>
              <w:t> </w:t>
            </w:r>
          </w:p>
        </w:tc>
      </w:tr>
      <w:tr>
        <w:trPr/>
        <w:tc>
          <w:tcPr>
            <w:tcW w:w="6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 portion</w:t>
            </w:r>
          </w:p>
        </w:tc>
        <w:tc>
          <w:tcPr>
            <w:tcW w:w="30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1,056</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1,042</w:t>
            </w:r>
          </w:p>
        </w:tc>
        <w:tc>
          <w:tcPr>
            <w:tcW w:w="159" w:type="dxa"/>
            <w:tcBorders/>
            <w:shd w:fill="CCEEFF" w:val="clear"/>
            <w:vAlign w:val="bottom"/>
          </w:tcPr>
          <w:p>
            <w:pPr>
              <w:pStyle w:val="TableContents"/>
              <w:bidi w:val="0"/>
              <w:spacing w:before="0" w:after="283"/>
              <w:jc w:val="left"/>
              <w:rPr/>
            </w:pPr>
            <w:r>
              <w:rPr/>
              <w:t> </w:t>
            </w:r>
          </w:p>
        </w:tc>
      </w:tr>
      <w:tr>
        <w:trPr/>
        <w:tc>
          <w:tcPr>
            <w:tcW w:w="6755"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preferred stock warrant liability</w:t>
            </w:r>
          </w:p>
        </w:tc>
        <w:tc>
          <w:tcPr>
            <w:tcW w:w="30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559</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448</w:t>
            </w:r>
          </w:p>
        </w:tc>
        <w:tc>
          <w:tcPr>
            <w:tcW w:w="159" w:type="dxa"/>
            <w:tcBorders/>
            <w:vAlign w:val="bottom"/>
          </w:tcPr>
          <w:p>
            <w:pPr>
              <w:pStyle w:val="TableContents"/>
              <w:bidi w:val="0"/>
              <w:spacing w:before="0" w:after="283"/>
              <w:jc w:val="left"/>
              <w:rPr/>
            </w:pPr>
            <w:r>
              <w:rPr/>
              <w:t> </w:t>
            </w:r>
          </w:p>
        </w:tc>
      </w:tr>
      <w:tr>
        <w:trPr/>
        <w:tc>
          <w:tcPr>
            <w:tcW w:w="6755"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0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23,278</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17,927</w:t>
            </w:r>
          </w:p>
        </w:tc>
        <w:tc>
          <w:tcPr>
            <w:tcW w:w="159" w:type="dxa"/>
            <w:tcBorders/>
            <w:shd w:fill="CCEEFF" w:val="clear"/>
            <w:vAlign w:val="bottom"/>
          </w:tcPr>
          <w:p>
            <w:pPr>
              <w:pStyle w:val="TableContents"/>
              <w:bidi w:val="0"/>
              <w:spacing w:before="0" w:after="283"/>
              <w:jc w:val="left"/>
              <w:rPr/>
            </w:pPr>
            <w:r>
              <w:rPr/>
              <w:t> </w:t>
            </w:r>
          </w:p>
        </w:tc>
      </w:tr>
      <w:tr>
        <w:trPr/>
        <w:tc>
          <w:tcPr>
            <w:tcW w:w="675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net of current portion</w:t>
            </w:r>
          </w:p>
        </w:tc>
        <w:tc>
          <w:tcPr>
            <w:tcW w:w="30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996</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723</w:t>
            </w:r>
          </w:p>
        </w:tc>
        <w:tc>
          <w:tcPr>
            <w:tcW w:w="159" w:type="dxa"/>
            <w:tcBorders/>
            <w:vAlign w:val="bottom"/>
          </w:tcPr>
          <w:p>
            <w:pPr>
              <w:pStyle w:val="TableContents"/>
              <w:bidi w:val="0"/>
              <w:spacing w:before="0" w:after="283"/>
              <w:jc w:val="left"/>
              <w:rPr/>
            </w:pPr>
            <w:r>
              <w:rPr/>
              <w:t> </w:t>
            </w:r>
          </w:p>
        </w:tc>
      </w:tr>
      <w:tr>
        <w:trPr/>
        <w:tc>
          <w:tcPr>
            <w:tcW w:w="6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Early exercise liability, net of current portion</w:t>
            </w:r>
          </w:p>
        </w:tc>
        <w:tc>
          <w:tcPr>
            <w:tcW w:w="30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386</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346</w:t>
            </w:r>
          </w:p>
        </w:tc>
        <w:tc>
          <w:tcPr>
            <w:tcW w:w="159" w:type="dxa"/>
            <w:tcBorders/>
            <w:shd w:fill="CCEEFF" w:val="clear"/>
            <w:vAlign w:val="bottom"/>
          </w:tcPr>
          <w:p>
            <w:pPr>
              <w:pStyle w:val="TableContents"/>
              <w:bidi w:val="0"/>
              <w:spacing w:before="0" w:after="283"/>
              <w:jc w:val="left"/>
              <w:rPr/>
            </w:pPr>
            <w:r>
              <w:rPr/>
              <w:t> </w:t>
            </w:r>
          </w:p>
        </w:tc>
      </w:tr>
      <w:tr>
        <w:trPr/>
        <w:tc>
          <w:tcPr>
            <w:tcW w:w="6755"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55"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0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24,660</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18,996</w:t>
            </w:r>
          </w:p>
        </w:tc>
        <w:tc>
          <w:tcPr>
            <w:tcW w:w="159" w:type="dxa"/>
            <w:tcBorders/>
            <w:vAlign w:val="bottom"/>
          </w:tcPr>
          <w:p>
            <w:pPr>
              <w:pStyle w:val="TableContents"/>
              <w:bidi w:val="0"/>
              <w:spacing w:before="0" w:after="283"/>
              <w:jc w:val="left"/>
              <w:rPr/>
            </w:pPr>
            <w:r>
              <w:rPr/>
              <w:t> </w:t>
            </w:r>
          </w:p>
        </w:tc>
      </w:tr>
      <w:tr>
        <w:trPr/>
        <w:tc>
          <w:tcPr>
            <w:tcW w:w="6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8)</w:t>
            </w:r>
          </w:p>
        </w:tc>
        <w:tc>
          <w:tcPr>
            <w:tcW w:w="30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55"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preferred stock, $0.0001 par value; 755,000 shares authorized as of December 31, 2021 and March 31, 2022; 743,126 shares issued and outstanding as of December 31, 2021 and March 31, 2022; aggregate liquidation preference of $743,126 as of March 31, 2022</w:t>
            </w:r>
          </w:p>
        </w:tc>
        <w:tc>
          <w:tcPr>
            <w:tcW w:w="30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729,858</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729,858</w:t>
            </w:r>
          </w:p>
        </w:tc>
        <w:tc>
          <w:tcPr>
            <w:tcW w:w="159" w:type="dxa"/>
            <w:tcBorders/>
            <w:vAlign w:val="bottom"/>
          </w:tcPr>
          <w:p>
            <w:pPr>
              <w:pStyle w:val="TableContents"/>
              <w:bidi w:val="0"/>
              <w:spacing w:before="0" w:after="283"/>
              <w:jc w:val="left"/>
              <w:rPr/>
            </w:pPr>
            <w:r>
              <w:rPr/>
              <w:t> </w:t>
            </w:r>
          </w:p>
        </w:tc>
      </w:tr>
      <w:tr>
        <w:trPr/>
        <w:tc>
          <w:tcPr>
            <w:tcW w:w="6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30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55"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$0.0001 par value; 1,125,000 shares authorized as of December 31, 2021 and March 31, 2022; 250,962 and 251,475 shares issued and outstanding as of December 31, 2021 and March 31, 2022, respectively</w:t>
            </w:r>
          </w:p>
        </w:tc>
        <w:tc>
          <w:tcPr>
            <w:tcW w:w="30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15</w:t>
            </w:r>
          </w:p>
        </w:tc>
        <w:tc>
          <w:tcPr>
            <w:tcW w:w="159" w:type="dxa"/>
            <w:tcBorders/>
            <w:vAlign w:val="bottom"/>
          </w:tcPr>
          <w:p>
            <w:pPr>
              <w:pStyle w:val="TableContents"/>
              <w:bidi w:val="0"/>
              <w:spacing w:before="0" w:after="283"/>
              <w:jc w:val="left"/>
              <w:rPr/>
            </w:pPr>
            <w:r>
              <w:rPr/>
              <w:t> </w:t>
            </w:r>
          </w:p>
        </w:tc>
      </w:tr>
      <w:tr>
        <w:trPr/>
        <w:tc>
          <w:tcPr>
            <w:tcW w:w="6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0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11,370</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13,793</w:t>
            </w:r>
          </w:p>
        </w:tc>
        <w:tc>
          <w:tcPr>
            <w:tcW w:w="159" w:type="dxa"/>
            <w:tcBorders/>
            <w:shd w:fill="CCEEFF" w:val="clear"/>
            <w:vAlign w:val="bottom"/>
          </w:tcPr>
          <w:p>
            <w:pPr>
              <w:pStyle w:val="TableContents"/>
              <w:bidi w:val="0"/>
              <w:spacing w:before="0" w:after="283"/>
              <w:jc w:val="left"/>
              <w:rPr/>
            </w:pPr>
            <w:r>
              <w:rPr/>
              <w:t> </w:t>
            </w:r>
          </w:p>
        </w:tc>
      </w:tr>
      <w:tr>
        <w:trPr/>
        <w:tc>
          <w:tcPr>
            <w:tcW w:w="6755"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30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(178</w:t>
            </w:r>
          </w:p>
        </w:tc>
        <w:tc>
          <w:tcPr>
            <w:tcW w:w="159" w:type="dxa"/>
            <w:tcBorders/>
            <w:vAlign w:val="bottom"/>
          </w:tcPr>
          <w:p>
            <w:pPr>
              <w:pStyle w:val="TableContents"/>
              <w:bidi w:val="0"/>
              <w:spacing w:before="0" w:after="283"/>
              <w:jc w:val="left"/>
              <w:rPr/>
            </w:pPr>
            <w:r>
              <w:rPr/>
              <w:t>) </w:t>
            </w:r>
          </w:p>
        </w:tc>
      </w:tr>
      <w:tr>
        <w:trPr/>
        <w:tc>
          <w:tcPr>
            <w:tcW w:w="6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0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(336,605</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(379,647</w:t>
            </w:r>
          </w:p>
        </w:tc>
        <w:tc>
          <w:tcPr>
            <w:tcW w:w="159" w:type="dxa"/>
            <w:tcBorders/>
            <w:shd w:fill="CCEEFF" w:val="clear"/>
            <w:vAlign w:val="bottom"/>
          </w:tcPr>
          <w:p>
            <w:pPr>
              <w:pStyle w:val="TableContents"/>
              <w:bidi w:val="0"/>
              <w:spacing w:before="0" w:after="283"/>
              <w:jc w:val="left"/>
              <w:rPr/>
            </w:pPr>
            <w:r>
              <w:rPr/>
              <w:t>) </w:t>
            </w:r>
          </w:p>
        </w:tc>
      </w:tr>
      <w:tr>
        <w:trPr/>
        <w:tc>
          <w:tcPr>
            <w:tcW w:w="6755"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55"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30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(325,221</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(366,017</w:t>
            </w:r>
          </w:p>
        </w:tc>
        <w:tc>
          <w:tcPr>
            <w:tcW w:w="159" w:type="dxa"/>
            <w:tcBorders/>
            <w:vAlign w:val="bottom"/>
          </w:tcPr>
          <w:p>
            <w:pPr>
              <w:pStyle w:val="TableContents"/>
              <w:bidi w:val="0"/>
              <w:spacing w:before="0" w:after="283"/>
              <w:jc w:val="left"/>
              <w:rPr/>
            </w:pPr>
            <w:r>
              <w:rPr/>
              <w:t>) </w:t>
            </w:r>
          </w:p>
        </w:tc>
      </w:tr>
      <w:tr>
        <w:trPr/>
        <w:tc>
          <w:tcPr>
            <w:tcW w:w="6755"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30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429,297</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991" w:type="dxa"/>
            <w:tcBorders/>
            <w:shd w:fill="CCEEFF" w:val="clear"/>
            <w:vAlign w:val="bottom"/>
          </w:tcPr>
          <w:p>
            <w:pPr>
              <w:pStyle w:val="TableContents"/>
              <w:bidi w:val="0"/>
              <w:spacing w:before="0" w:after="283"/>
              <w:jc w:val="right"/>
              <w:rPr/>
            </w:pPr>
            <w:r>
              <w:rPr/>
              <w:t>382,837</w:t>
            </w:r>
          </w:p>
        </w:tc>
        <w:tc>
          <w:tcPr>
            <w:tcW w:w="159" w:type="dxa"/>
            <w:tcBorders/>
            <w:shd w:fill="CCEEFF" w:val="clear"/>
            <w:vAlign w:val="bottom"/>
          </w:tcPr>
          <w:p>
            <w:pPr>
              <w:pStyle w:val="TableContents"/>
              <w:bidi w:val="0"/>
              <w:spacing w:before="0" w:after="283"/>
              <w:jc w:val="left"/>
              <w:rPr/>
            </w:pPr>
            <w:r>
              <w:rPr/>
              <w:t> </w:t>
            </w:r>
          </w:p>
        </w:tc>
      </w:tr>
      <w:tr>
        <w:trPr/>
        <w:tc>
          <w:tcPr>
            <w:tcW w:w="6755"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99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bookmarkStart w:id="37" w:name="fin241143_102"/>
      <w:bookmarkStart w:id="38" w:name="fin241143_8"/>
      <w:bookmarkEnd w:id="37"/>
      <w:bookmarkEnd w:id="38"/>
      <w:r>
        <w:rPr>
          <w:rFonts w:ascii="Times New Roman" w:hAnsi="Times New Roman"/>
          <w:b/>
          <w:sz w:val="20"/>
        </w:rPr>
        <w:t xml:space="preserve">Condensed Consolidated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61"/>
        <w:gridCol w:w="225"/>
        <w:gridCol w:w="146"/>
        <w:gridCol w:w="851"/>
        <w:gridCol w:w="162"/>
        <w:gridCol w:w="195"/>
        <w:gridCol w:w="146"/>
        <w:gridCol w:w="861"/>
        <w:gridCol w:w="158"/>
      </w:tblGrid>
      <w:tr>
        <w:trPr/>
        <w:tc>
          <w:tcPr>
            <w:tcW w:w="7461"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61"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361"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March 31,</w:t>
            </w:r>
          </w:p>
        </w:tc>
        <w:tc>
          <w:tcPr>
            <w:tcW w:w="158" w:type="dxa"/>
            <w:tcBorders/>
            <w:vAlign w:val="bottom"/>
          </w:tcPr>
          <w:p>
            <w:pPr>
              <w:pStyle w:val="TableContents"/>
              <w:bidi w:val="0"/>
              <w:spacing w:before="0" w:after="283"/>
              <w:jc w:val="left"/>
              <w:rPr/>
            </w:pPr>
            <w:r>
              <w:rPr/>
              <w:t> </w:t>
            </w:r>
          </w:p>
        </w:tc>
      </w:tr>
      <w:tr>
        <w:trPr/>
        <w:tc>
          <w:tcPr>
            <w:tcW w:w="7461"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0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8" w:type="dxa"/>
            <w:tcBorders/>
            <w:vAlign w:val="bottom"/>
          </w:tcPr>
          <w:p>
            <w:pPr>
              <w:pStyle w:val="TableContents"/>
              <w:bidi w:val="0"/>
              <w:spacing w:before="0" w:after="283"/>
              <w:jc w:val="left"/>
              <w:rPr/>
            </w:pPr>
            <w:r>
              <w:rPr/>
              <w:t> </w:t>
            </w:r>
          </w:p>
        </w:tc>
      </w:tr>
      <w:tr>
        <w:trPr/>
        <w:tc>
          <w:tcPr>
            <w:tcW w:w="74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2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85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86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6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2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51" w:type="dxa"/>
            <w:tcBorders/>
            <w:vAlign w:val="bottom"/>
          </w:tcPr>
          <w:p>
            <w:pPr>
              <w:pStyle w:val="TableContents"/>
              <w:bidi w:val="0"/>
              <w:spacing w:before="0" w:after="283"/>
              <w:jc w:val="right"/>
              <w:rPr/>
            </w:pPr>
            <w:r>
              <w:rPr/>
              <w:t>11,503</w:t>
            </w:r>
          </w:p>
        </w:tc>
        <w:tc>
          <w:tcPr>
            <w:tcW w:w="16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61" w:type="dxa"/>
            <w:tcBorders/>
            <w:vAlign w:val="bottom"/>
          </w:tcPr>
          <w:p>
            <w:pPr>
              <w:pStyle w:val="TableContents"/>
              <w:bidi w:val="0"/>
              <w:spacing w:before="0" w:after="283"/>
              <w:jc w:val="right"/>
              <w:rPr/>
            </w:pPr>
            <w:r>
              <w:rPr/>
              <w:t>22,149</w:t>
            </w:r>
          </w:p>
        </w:tc>
        <w:tc>
          <w:tcPr>
            <w:tcW w:w="158" w:type="dxa"/>
            <w:tcBorders/>
            <w:vAlign w:val="bottom"/>
          </w:tcPr>
          <w:p>
            <w:pPr>
              <w:pStyle w:val="TableContents"/>
              <w:bidi w:val="0"/>
              <w:spacing w:before="0" w:after="283"/>
              <w:jc w:val="left"/>
              <w:rPr/>
            </w:pPr>
            <w:r>
              <w:rPr/>
              <w:t> </w:t>
            </w:r>
          </w:p>
        </w:tc>
      </w:tr>
      <w:tr>
        <w:trPr/>
        <w:tc>
          <w:tcPr>
            <w:tcW w:w="74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22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13,000</w:t>
            </w:r>
          </w:p>
        </w:tc>
        <w:tc>
          <w:tcPr>
            <w:tcW w:w="158" w:type="dxa"/>
            <w:tcBorders/>
            <w:shd w:fill="CCEEFF" w:val="clear"/>
            <w:vAlign w:val="bottom"/>
          </w:tcPr>
          <w:p>
            <w:pPr>
              <w:pStyle w:val="TableContents"/>
              <w:bidi w:val="0"/>
              <w:spacing w:before="0" w:after="283"/>
              <w:jc w:val="left"/>
              <w:rPr/>
            </w:pPr>
            <w:r>
              <w:rPr/>
              <w:t> </w:t>
            </w:r>
          </w:p>
        </w:tc>
      </w:tr>
      <w:tr>
        <w:trPr/>
        <w:tc>
          <w:tcPr>
            <w:tcW w:w="7461"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2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3,942</w:t>
            </w:r>
          </w:p>
        </w:tc>
        <w:tc>
          <w:tcPr>
            <w:tcW w:w="16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8,087</w:t>
            </w:r>
          </w:p>
        </w:tc>
        <w:tc>
          <w:tcPr>
            <w:tcW w:w="158" w:type="dxa"/>
            <w:tcBorders/>
            <w:vAlign w:val="bottom"/>
          </w:tcPr>
          <w:p>
            <w:pPr>
              <w:pStyle w:val="TableContents"/>
              <w:bidi w:val="0"/>
              <w:spacing w:before="0" w:after="283"/>
              <w:jc w:val="left"/>
              <w:rPr/>
            </w:pPr>
            <w:r>
              <w:rPr/>
              <w:t> </w:t>
            </w:r>
          </w:p>
        </w:tc>
      </w:tr>
      <w:tr>
        <w:trPr/>
        <w:tc>
          <w:tcPr>
            <w:tcW w:w="74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2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283"/>
              <w:jc w:val="right"/>
              <w:rPr/>
            </w:pPr>
            <w:r>
              <w:rPr/>
              <w:t>15,445</w:t>
            </w:r>
          </w:p>
        </w:tc>
        <w:tc>
          <w:tcPr>
            <w:tcW w:w="16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43,236</w:t>
            </w:r>
          </w:p>
        </w:tc>
        <w:tc>
          <w:tcPr>
            <w:tcW w:w="158" w:type="dxa"/>
            <w:tcBorders/>
            <w:shd w:fill="CCEEFF" w:val="clear"/>
            <w:vAlign w:val="bottom"/>
          </w:tcPr>
          <w:p>
            <w:pPr>
              <w:pStyle w:val="TableContents"/>
              <w:bidi w:val="0"/>
              <w:spacing w:before="0" w:after="283"/>
              <w:jc w:val="left"/>
              <w:rPr/>
            </w:pPr>
            <w:r>
              <w:rPr/>
              <w:t> </w:t>
            </w:r>
          </w:p>
        </w:tc>
      </w:tr>
      <w:tr>
        <w:trPr/>
        <w:tc>
          <w:tcPr>
            <w:tcW w:w="74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61"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2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(15,445</w:t>
            </w:r>
          </w:p>
        </w:tc>
        <w:tc>
          <w:tcPr>
            <w:tcW w:w="16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(43,236</w:t>
            </w:r>
          </w:p>
        </w:tc>
        <w:tc>
          <w:tcPr>
            <w:tcW w:w="158" w:type="dxa"/>
            <w:tcBorders/>
            <w:vAlign w:val="bottom"/>
          </w:tcPr>
          <w:p>
            <w:pPr>
              <w:pStyle w:val="TableContents"/>
              <w:bidi w:val="0"/>
              <w:spacing w:before="0" w:after="283"/>
              <w:jc w:val="left"/>
              <w:rPr/>
            </w:pPr>
            <w:r>
              <w:rPr/>
              <w:t>) </w:t>
            </w:r>
          </w:p>
        </w:tc>
      </w:tr>
      <w:tr>
        <w:trPr>
          <w:trHeight w:val="120" w:hRule="atLeast"/>
        </w:trPr>
        <w:tc>
          <w:tcPr>
            <w:tcW w:w="7461" w:type="dxa"/>
            <w:tcBorders/>
            <w:vAlign w:val="center"/>
          </w:tcPr>
          <w:p>
            <w:pPr>
              <w:pStyle w:val="TableContents"/>
              <w:bidi w:val="0"/>
              <w:spacing w:before="0" w:after="283"/>
              <w:jc w:val="left"/>
              <w:rPr>
                <w:sz w:val="4"/>
                <w:szCs w:val="4"/>
              </w:rPr>
            </w:pPr>
            <w:r>
              <w:rPr>
                <w:sz w:val="4"/>
                <w:szCs w:val="4"/>
              </w:rPr>
            </w:r>
          </w:p>
        </w:tc>
        <w:tc>
          <w:tcPr>
            <w:tcW w:w="1384"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r>
      <w:tr>
        <w:trPr/>
        <w:tc>
          <w:tcPr>
            <w:tcW w:w="74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22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85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86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61"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2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86</w:t>
            </w:r>
          </w:p>
        </w:tc>
        <w:tc>
          <w:tcPr>
            <w:tcW w:w="158" w:type="dxa"/>
            <w:tcBorders/>
            <w:vAlign w:val="bottom"/>
          </w:tcPr>
          <w:p>
            <w:pPr>
              <w:pStyle w:val="TableContents"/>
              <w:bidi w:val="0"/>
              <w:spacing w:before="0" w:after="283"/>
              <w:jc w:val="left"/>
              <w:rPr/>
            </w:pPr>
            <w:r>
              <w:rPr/>
              <w:t> </w:t>
            </w:r>
          </w:p>
        </w:tc>
      </w:tr>
      <w:tr>
        <w:trPr/>
        <w:tc>
          <w:tcPr>
            <w:tcW w:w="74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2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283"/>
              <w:jc w:val="right"/>
              <w:rPr/>
            </w:pPr>
            <w:r>
              <w:rPr/>
              <w:t>141</w:t>
            </w:r>
          </w:p>
        </w:tc>
        <w:tc>
          <w:tcPr>
            <w:tcW w:w="16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108</w:t>
            </w:r>
          </w:p>
        </w:tc>
        <w:tc>
          <w:tcPr>
            <w:tcW w:w="158" w:type="dxa"/>
            <w:tcBorders/>
            <w:shd w:fill="CCEEFF" w:val="clear"/>
            <w:vAlign w:val="bottom"/>
          </w:tcPr>
          <w:p>
            <w:pPr>
              <w:pStyle w:val="TableContents"/>
              <w:bidi w:val="0"/>
              <w:spacing w:before="0" w:after="283"/>
              <w:jc w:val="left"/>
              <w:rPr/>
            </w:pPr>
            <w:r>
              <w:rPr/>
              <w:t> </w:t>
            </w:r>
          </w:p>
        </w:tc>
      </w:tr>
      <w:tr>
        <w:trPr/>
        <w:tc>
          <w:tcPr>
            <w:tcW w:w="74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61"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(expense)</w:t>
            </w:r>
          </w:p>
        </w:tc>
        <w:tc>
          <w:tcPr>
            <w:tcW w:w="22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141</w:t>
            </w:r>
          </w:p>
        </w:tc>
        <w:tc>
          <w:tcPr>
            <w:tcW w:w="16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194</w:t>
            </w:r>
          </w:p>
        </w:tc>
        <w:tc>
          <w:tcPr>
            <w:tcW w:w="158" w:type="dxa"/>
            <w:tcBorders/>
            <w:vAlign w:val="bottom"/>
          </w:tcPr>
          <w:p>
            <w:pPr>
              <w:pStyle w:val="TableContents"/>
              <w:bidi w:val="0"/>
              <w:spacing w:before="0" w:after="283"/>
              <w:jc w:val="left"/>
              <w:rPr/>
            </w:pPr>
            <w:r>
              <w:rPr/>
              <w:t> </w:t>
            </w:r>
          </w:p>
        </w:tc>
      </w:tr>
      <w:tr>
        <w:trPr/>
        <w:tc>
          <w:tcPr>
            <w:tcW w:w="74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2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283"/>
              <w:jc w:val="right"/>
              <w:rPr/>
            </w:pPr>
            <w:r>
              <w:rPr/>
              <w:t>(15,304</w:t>
            </w:r>
          </w:p>
        </w:tc>
        <w:tc>
          <w:tcPr>
            <w:tcW w:w="16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(43,042</w:t>
            </w:r>
          </w:p>
        </w:tc>
        <w:tc>
          <w:tcPr>
            <w:tcW w:w="158" w:type="dxa"/>
            <w:tcBorders/>
            <w:shd w:fill="CCEEFF" w:val="clear"/>
            <w:vAlign w:val="bottom"/>
          </w:tcPr>
          <w:p>
            <w:pPr>
              <w:pStyle w:val="TableContents"/>
              <w:bidi w:val="0"/>
              <w:spacing w:before="0" w:after="283"/>
              <w:jc w:val="left"/>
              <w:rPr/>
            </w:pPr>
            <w:r>
              <w:rPr/>
              <w:t>) </w:t>
            </w:r>
          </w:p>
        </w:tc>
      </w:tr>
      <w:tr>
        <w:trPr/>
        <w:tc>
          <w:tcPr>
            <w:tcW w:w="74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61"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gain (loss):</w:t>
            </w:r>
          </w:p>
        </w:tc>
        <w:tc>
          <w:tcPr>
            <w:tcW w:w="22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85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86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4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loss on marketable securities</w:t>
            </w:r>
          </w:p>
        </w:tc>
        <w:tc>
          <w:tcPr>
            <w:tcW w:w="22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(178</w:t>
            </w:r>
          </w:p>
        </w:tc>
        <w:tc>
          <w:tcPr>
            <w:tcW w:w="158" w:type="dxa"/>
            <w:tcBorders/>
            <w:shd w:fill="CCEEFF" w:val="clear"/>
            <w:vAlign w:val="bottom"/>
          </w:tcPr>
          <w:p>
            <w:pPr>
              <w:pStyle w:val="TableContents"/>
              <w:bidi w:val="0"/>
              <w:spacing w:before="0" w:after="283"/>
              <w:jc w:val="left"/>
              <w:rPr/>
            </w:pPr>
            <w:r>
              <w:rPr/>
              <w:t>) </w:t>
            </w:r>
          </w:p>
        </w:tc>
      </w:tr>
      <w:tr>
        <w:trPr/>
        <w:tc>
          <w:tcPr>
            <w:tcW w:w="74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61"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22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51" w:type="dxa"/>
            <w:tcBorders/>
            <w:vAlign w:val="bottom"/>
          </w:tcPr>
          <w:p>
            <w:pPr>
              <w:pStyle w:val="TableContents"/>
              <w:bidi w:val="0"/>
              <w:spacing w:before="0" w:after="283"/>
              <w:jc w:val="right"/>
              <w:rPr/>
            </w:pPr>
            <w:r>
              <w:rPr/>
              <w:t>(15,304</w:t>
            </w:r>
          </w:p>
        </w:tc>
        <w:tc>
          <w:tcPr>
            <w:tcW w:w="16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61" w:type="dxa"/>
            <w:tcBorders/>
            <w:vAlign w:val="bottom"/>
          </w:tcPr>
          <w:p>
            <w:pPr>
              <w:pStyle w:val="TableContents"/>
              <w:bidi w:val="0"/>
              <w:spacing w:before="0" w:after="283"/>
              <w:jc w:val="right"/>
              <w:rPr/>
            </w:pPr>
            <w:r>
              <w:rPr/>
              <w:t> </w:t>
            </w:r>
            <w:r>
              <w:rPr/>
              <w:t>(43,220</w:t>
            </w:r>
          </w:p>
        </w:tc>
        <w:tc>
          <w:tcPr>
            <w:tcW w:w="158" w:type="dxa"/>
            <w:tcBorders/>
            <w:vAlign w:val="bottom"/>
          </w:tcPr>
          <w:p>
            <w:pPr>
              <w:pStyle w:val="TableContents"/>
              <w:bidi w:val="0"/>
              <w:spacing w:before="0" w:after="283"/>
              <w:jc w:val="left"/>
              <w:rPr/>
            </w:pPr>
            <w:r>
              <w:rPr/>
              <w:t>) </w:t>
            </w:r>
          </w:p>
        </w:tc>
      </w:tr>
      <w:tr>
        <w:trPr/>
        <w:tc>
          <w:tcPr>
            <w:tcW w:w="74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5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6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2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51" w:type="dxa"/>
            <w:tcBorders/>
            <w:shd w:fill="CCEEFF" w:val="clear"/>
            <w:vAlign w:val="bottom"/>
          </w:tcPr>
          <w:p>
            <w:pPr>
              <w:pStyle w:val="TableContents"/>
              <w:bidi w:val="0"/>
              <w:spacing w:before="0" w:after="283"/>
              <w:jc w:val="right"/>
              <w:rPr/>
            </w:pPr>
            <w:r>
              <w:rPr/>
              <w:t>(0.10</w:t>
            </w:r>
          </w:p>
        </w:tc>
        <w:tc>
          <w:tcPr>
            <w:tcW w:w="16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61" w:type="dxa"/>
            <w:tcBorders/>
            <w:shd w:fill="CCEEFF" w:val="clear"/>
            <w:vAlign w:val="bottom"/>
          </w:tcPr>
          <w:p>
            <w:pPr>
              <w:pStyle w:val="TableContents"/>
              <w:bidi w:val="0"/>
              <w:spacing w:before="0" w:after="283"/>
              <w:jc w:val="right"/>
              <w:rPr/>
            </w:pPr>
            <w:r>
              <w:rPr/>
              <w:t>(0.21</w:t>
            </w:r>
          </w:p>
        </w:tc>
        <w:tc>
          <w:tcPr>
            <w:tcW w:w="158" w:type="dxa"/>
            <w:tcBorders/>
            <w:shd w:fill="CCEEFF" w:val="clear"/>
            <w:vAlign w:val="bottom"/>
          </w:tcPr>
          <w:p>
            <w:pPr>
              <w:pStyle w:val="TableContents"/>
              <w:bidi w:val="0"/>
              <w:spacing w:before="0" w:after="283"/>
              <w:jc w:val="left"/>
              <w:rPr/>
            </w:pPr>
            <w:r>
              <w:rPr/>
              <w:t>) </w:t>
            </w:r>
          </w:p>
        </w:tc>
      </w:tr>
      <w:tr>
        <w:trPr/>
        <w:tc>
          <w:tcPr>
            <w:tcW w:w="74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5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6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61"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basic and diluted</w:t>
            </w:r>
          </w:p>
        </w:tc>
        <w:tc>
          <w:tcPr>
            <w:tcW w:w="22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150,730</w:t>
            </w:r>
          </w:p>
        </w:tc>
        <w:tc>
          <w:tcPr>
            <w:tcW w:w="16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204,122</w:t>
            </w:r>
          </w:p>
        </w:tc>
        <w:tc>
          <w:tcPr>
            <w:tcW w:w="158" w:type="dxa"/>
            <w:tcBorders/>
            <w:vAlign w:val="bottom"/>
          </w:tcPr>
          <w:p>
            <w:pPr>
              <w:pStyle w:val="TableContents"/>
              <w:bidi w:val="0"/>
              <w:spacing w:before="0" w:after="283"/>
              <w:jc w:val="left"/>
              <w:rPr/>
            </w:pPr>
            <w:r>
              <w:rPr/>
              <w:t> </w:t>
            </w:r>
          </w:p>
        </w:tc>
      </w:tr>
      <w:tr>
        <w:trPr/>
        <w:tc>
          <w:tcPr>
            <w:tcW w:w="74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5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6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bookmarkStart w:id="39" w:name="fin241143_103"/>
      <w:bookmarkStart w:id="40" w:name="fin241143_9"/>
      <w:bookmarkEnd w:id="39"/>
      <w:bookmarkEnd w:id="40"/>
      <w:r>
        <w:rPr>
          <w:rFonts w:ascii="Times New Roman" w:hAnsi="Times New Roman"/>
          <w:b/>
          <w:sz w:val="20"/>
        </w:rPr>
        <w:t xml:space="preserve">Condensed Consolidated Statements of Convertible Preferred Stock and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in thousands) </w:t>
      </w:r>
    </w:p>
    <w:p>
      <w:pPr>
        <w:pStyle w:val="TextBody"/>
        <w:bidi w:val="0"/>
        <w:spacing w:before="0" w:after="0"/>
        <w:jc w:val="left"/>
        <w:rPr/>
      </w:pPr>
      <w:r>
        <w:rPr/>
        <w:t> </w:t>
      </w:r>
    </w:p>
    <w:tbl>
      <w:tblPr>
        <w:tblW w:w="11520" w:type="dxa"/>
        <w:jc w:val="center"/>
        <w:tblInd w:w="0" w:type="dxa"/>
        <w:tblLayout w:type="fixed"/>
        <w:tblCellMar>
          <w:top w:w="0" w:type="dxa"/>
          <w:left w:w="0" w:type="dxa"/>
          <w:bottom w:w="0" w:type="dxa"/>
          <w:right w:w="0" w:type="dxa"/>
        </w:tblCellMar>
      </w:tblPr>
      <w:tblGrid>
        <w:gridCol w:w="1070"/>
        <w:gridCol w:w="60"/>
        <w:gridCol w:w="60"/>
        <w:gridCol w:w="800"/>
        <w:gridCol w:w="60"/>
        <w:gridCol w:w="60"/>
        <w:gridCol w:w="140"/>
        <w:gridCol w:w="920"/>
        <w:gridCol w:w="60"/>
        <w:gridCol w:w="60"/>
        <w:gridCol w:w="60"/>
        <w:gridCol w:w="60"/>
        <w:gridCol w:w="60"/>
        <w:gridCol w:w="60"/>
        <w:gridCol w:w="60"/>
        <w:gridCol w:w="800"/>
        <w:gridCol w:w="60"/>
        <w:gridCol w:w="60"/>
        <w:gridCol w:w="188"/>
        <w:gridCol w:w="672"/>
        <w:gridCol w:w="60"/>
        <w:gridCol w:w="60"/>
        <w:gridCol w:w="187"/>
        <w:gridCol w:w="913"/>
        <w:gridCol w:w="60"/>
        <w:gridCol w:w="60"/>
        <w:gridCol w:w="173"/>
        <w:gridCol w:w="1437"/>
        <w:gridCol w:w="60"/>
        <w:gridCol w:w="60"/>
        <w:gridCol w:w="168"/>
        <w:gridCol w:w="1202"/>
        <w:gridCol w:w="155"/>
        <w:gridCol w:w="60"/>
        <w:gridCol w:w="165"/>
        <w:gridCol w:w="1175"/>
        <w:gridCol w:w="155"/>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0" w:type="dxa"/>
            <w:gridSpan w:val="6"/>
            <w:tcBorders>
              <w:bottom w:val="single" w:sz="8" w:space="0" w:color="000000"/>
            </w:tcBorders>
            <w:tcMar>
              <w:bottom w:w="28" w:type="dxa"/>
            </w:tcMar>
            <w:vAlign w:val="bottom"/>
          </w:tcPr>
          <w:p>
            <w:pPr>
              <w:pStyle w:val="TableContents"/>
              <w:bidi w:val="0"/>
              <w:spacing w:before="0" w:after="283"/>
              <w:jc w:val="center"/>
              <w:rPr/>
            </w:pPr>
            <w:r>
              <w:rPr>
                <w:b/>
              </w:rPr>
              <w:t>Convertible</w:t>
            </w:r>
            <w:r>
              <w:rPr/>
              <w:br/>
            </w:r>
            <w:r>
              <w:rPr>
                <w:b/>
              </w:rP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gridSpan w:val="2"/>
            <w:tcBorders/>
            <w:vAlign w:val="bottom"/>
          </w:tcPr>
          <w:p>
            <w:pPr>
              <w:pStyle w:val="TableContents"/>
              <w:bidi w:val="0"/>
              <w:spacing w:before="0" w:after="283"/>
              <w:jc w:val="center"/>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br/>
              <w:t>Deficit</w:t>
            </w:r>
          </w:p>
        </w:tc>
        <w:tc>
          <w:tcPr>
            <w:tcW w:w="155" w:type="dxa"/>
            <w:vMerge w:val="restart"/>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7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Balance as of December 31, 2020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294,876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281,679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240,152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672"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4,896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437" w:type="dxa"/>
            <w:tcBorders/>
            <w:shd w:fill="CCEEFF" w:val="clear"/>
            <w:vAlign w:val="bottom"/>
          </w:tcPr>
          <w:p>
            <w:pPr>
              <w:pStyle w:val="TableContents"/>
              <w:bidi w:val="0"/>
              <w:spacing w:before="0" w:after="283"/>
              <w:jc w:val="right"/>
              <w:rPr/>
            </w:pPr>
            <w:r>
              <w:rPr/>
              <w:t>                 </w:t>
            </w: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202" w:type="dxa"/>
            <w:tcBorders/>
            <w:shd w:fill="CCEEFF" w:val="clear"/>
            <w:vAlign w:val="bottom"/>
          </w:tcPr>
          <w:p>
            <w:pPr>
              <w:pStyle w:val="TableContents"/>
              <w:bidi w:val="0"/>
              <w:spacing w:before="0" w:after="283"/>
              <w:jc w:val="right"/>
              <w:rPr/>
            </w:pPr>
            <w:r>
              <w:rPr/>
              <w:t>(99,293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(94,384</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7"/>
              </w:rPr>
            </w:pPr>
            <w:r>
              <w:rPr>
                <w:rFonts w:ascii="Times New Roman" w:hAnsi="Times New Roman"/>
                <w:sz w:val="17"/>
              </w:rPr>
              <w:t>Issuance of 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960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960</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Issuance of common stock upon early exercise of stock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7"/>
              </w:rPr>
            </w:pPr>
            <w:r>
              <w:rPr>
                <w:rFonts w:ascii="Times New Roman" w:hAnsi="Times New Roman"/>
                <w:sz w:val="17"/>
              </w:rPr>
              <w:t>Issuance of common stock upon exercise of stock options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Vesting of restricted common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7"/>
              </w:rPr>
            </w:pPr>
            <w:r>
              <w:rPr>
                <w:rFonts w:ascii="Times New Roman" w:hAnsi="Times New Roman"/>
                <w:sz w:val="17"/>
              </w:rPr>
              <w:t>Stock-based 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810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810</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Net loss and comprehensive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(15,304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(15,304</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6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7"/>
              </w:rPr>
            </w:pPr>
            <w:r>
              <w:rPr>
                <w:rFonts w:ascii="Times New Roman" w:hAnsi="Times New Roman"/>
                <w:sz w:val="17"/>
              </w:rPr>
              <w:t>Balance as of March 31, 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294,876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0" w:type="dxa"/>
            <w:tcBorders/>
            <w:vAlign w:val="bottom"/>
          </w:tcPr>
          <w:p>
            <w:pPr>
              <w:pStyle w:val="TableContents"/>
              <w:bidi w:val="0"/>
              <w:spacing w:before="0" w:after="283"/>
              <w:jc w:val="right"/>
              <w:rPr/>
            </w:pPr>
            <w:r>
              <w:rPr/>
              <w:t>  </w:t>
            </w:r>
            <w:r>
              <w:rPr/>
              <w:t>281,679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243,965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672"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  </w:t>
            </w:r>
            <w:r>
              <w:rPr/>
              <w:t>6,699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437" w:type="dxa"/>
            <w:tcBorders/>
            <w:vAlign w:val="bottom"/>
          </w:tcPr>
          <w:p>
            <w:pPr>
              <w:pStyle w:val="TableContents"/>
              <w:bidi w:val="0"/>
              <w:spacing w:before="0" w:after="283"/>
              <w:jc w:val="right"/>
              <w:rPr/>
            </w:pPr>
            <w:r>
              <w:rPr/>
              <w:t>  </w:t>
            </w: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202" w:type="dxa"/>
            <w:tcBorders/>
            <w:vAlign w:val="bottom"/>
          </w:tcPr>
          <w:p>
            <w:pPr>
              <w:pStyle w:val="TableContents"/>
              <w:bidi w:val="0"/>
              <w:spacing w:before="0" w:after="283"/>
              <w:jc w:val="right"/>
              <w:rPr/>
            </w:pPr>
            <w:r>
              <w:rPr/>
              <w:t>  </w:t>
            </w:r>
            <w:r>
              <w:rPr/>
              <w:t>(114,597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175" w:type="dxa"/>
            <w:tcBorders/>
            <w:vAlign w:val="bottom"/>
          </w:tcPr>
          <w:p>
            <w:pPr>
              <w:pStyle w:val="TableContents"/>
              <w:bidi w:val="0"/>
              <w:spacing w:before="0" w:after="283"/>
              <w:jc w:val="right"/>
              <w:rPr/>
            </w:pPr>
            <w:r>
              <w:rPr/>
              <w:t>  </w:t>
            </w:r>
            <w:r>
              <w:rPr/>
              <w:t>(107,885</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6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9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4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2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1615" w:type="dxa"/>
        <w:jc w:val="center"/>
        <w:tblInd w:w="0" w:type="dxa"/>
        <w:tblLayout w:type="fixed"/>
        <w:tblCellMar>
          <w:top w:w="0" w:type="dxa"/>
          <w:left w:w="0" w:type="dxa"/>
          <w:bottom w:w="0" w:type="dxa"/>
          <w:right w:w="0" w:type="dxa"/>
        </w:tblCellMar>
      </w:tblPr>
      <w:tblGrid>
        <w:gridCol w:w="1070"/>
        <w:gridCol w:w="60"/>
        <w:gridCol w:w="60"/>
        <w:gridCol w:w="800"/>
        <w:gridCol w:w="60"/>
        <w:gridCol w:w="60"/>
        <w:gridCol w:w="140"/>
        <w:gridCol w:w="920"/>
        <w:gridCol w:w="60"/>
        <w:gridCol w:w="60"/>
        <w:gridCol w:w="60"/>
        <w:gridCol w:w="60"/>
        <w:gridCol w:w="60"/>
        <w:gridCol w:w="60"/>
        <w:gridCol w:w="60"/>
        <w:gridCol w:w="800"/>
        <w:gridCol w:w="60"/>
        <w:gridCol w:w="60"/>
        <w:gridCol w:w="188"/>
        <w:gridCol w:w="672"/>
        <w:gridCol w:w="60"/>
        <w:gridCol w:w="60"/>
        <w:gridCol w:w="163"/>
        <w:gridCol w:w="937"/>
        <w:gridCol w:w="60"/>
        <w:gridCol w:w="60"/>
        <w:gridCol w:w="173"/>
        <w:gridCol w:w="1437"/>
        <w:gridCol w:w="155"/>
        <w:gridCol w:w="60"/>
        <w:gridCol w:w="168"/>
        <w:gridCol w:w="1202"/>
        <w:gridCol w:w="155"/>
        <w:gridCol w:w="60"/>
        <w:gridCol w:w="165"/>
        <w:gridCol w:w="1175"/>
        <w:gridCol w:w="155"/>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0" w:type="dxa"/>
            <w:gridSpan w:val="6"/>
            <w:tcBorders>
              <w:bottom w:val="single" w:sz="8" w:space="0" w:color="000000"/>
            </w:tcBorders>
            <w:tcMar>
              <w:bottom w:w="28" w:type="dxa"/>
            </w:tcMar>
            <w:vAlign w:val="bottom"/>
          </w:tcPr>
          <w:p>
            <w:pPr>
              <w:pStyle w:val="TableContents"/>
              <w:bidi w:val="0"/>
              <w:spacing w:before="0" w:after="283"/>
              <w:jc w:val="center"/>
              <w:rPr/>
            </w:pPr>
            <w:r>
              <w:rPr>
                <w:b/>
              </w:rPr>
              <w:t>Convertible</w:t>
            </w:r>
            <w:r>
              <w:rPr/>
              <w:br/>
            </w:r>
            <w:r>
              <w:rPr>
                <w:b/>
              </w:rP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gridSpan w:val="2"/>
            <w:tcBorders/>
            <w:vAlign w:val="bottom"/>
          </w:tcPr>
          <w:p>
            <w:pPr>
              <w:pStyle w:val="TableContents"/>
              <w:bidi w:val="0"/>
              <w:spacing w:before="0" w:after="283"/>
              <w:jc w:val="center"/>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br/>
              <w:t>Deficit</w:t>
            </w:r>
          </w:p>
        </w:tc>
        <w:tc>
          <w:tcPr>
            <w:tcW w:w="155" w:type="dxa"/>
            <w:vMerge w:val="restart"/>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7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Balance as of December 31, 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743,126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729,858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250,962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672"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11,370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437" w:type="dxa"/>
            <w:tcBorders/>
            <w:shd w:fill="CCEEFF" w:val="clear"/>
            <w:vAlign w:val="bottom"/>
          </w:tcPr>
          <w:p>
            <w:pPr>
              <w:pStyle w:val="TableContents"/>
              <w:bidi w:val="0"/>
              <w:spacing w:before="0" w:after="283"/>
              <w:jc w:val="right"/>
              <w:rPr/>
            </w:pPr>
            <w:r>
              <w:rPr/>
              <w:t>                 </w:t>
            </w: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202" w:type="dxa"/>
            <w:tcBorders/>
            <w:shd w:fill="CCEEFF" w:val="clear"/>
            <w:vAlign w:val="bottom"/>
          </w:tcPr>
          <w:p>
            <w:pPr>
              <w:pStyle w:val="TableContents"/>
              <w:bidi w:val="0"/>
              <w:spacing w:before="0" w:after="283"/>
              <w:jc w:val="right"/>
              <w:rPr/>
            </w:pPr>
            <w:r>
              <w:rPr/>
              <w:t>(336,605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(325,221</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7"/>
              </w:rPr>
            </w:pPr>
            <w:r>
              <w:rPr>
                <w:rFonts w:ascii="Times New Roman" w:hAnsi="Times New Roman"/>
                <w:sz w:val="17"/>
              </w:rPr>
              <w:t>Issuance of common stock upon exercise of stock options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164</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Vesting of restricted common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606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606</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7"/>
              </w:rPr>
            </w:pPr>
            <w:r>
              <w:rPr>
                <w:rFonts w:ascii="Times New Roman" w:hAnsi="Times New Roman"/>
                <w:sz w:val="17"/>
              </w:rPr>
              <w:t>Unrealized loss on marketable debt securities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(178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(178</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Stock-based compensation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1,654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1,654</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7"/>
              </w:rPr>
            </w:pPr>
            <w:r>
              <w:rPr>
                <w:rFonts w:ascii="Times New Roman" w:hAnsi="Times New Roman"/>
                <w:sz w:val="17"/>
              </w:rPr>
              <w:t>Net loss and comprehensive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(43,042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(43,042</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6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Balance as of March 31, 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743,126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  </w:t>
            </w:r>
            <w:r>
              <w:rPr/>
              <w:t>729,858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251,475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672"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  </w:t>
            </w:r>
            <w:r>
              <w:rPr/>
              <w:t>13,793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437" w:type="dxa"/>
            <w:tcBorders/>
            <w:shd w:fill="CCEEFF" w:val="clear"/>
            <w:vAlign w:val="bottom"/>
          </w:tcPr>
          <w:p>
            <w:pPr>
              <w:pStyle w:val="TableContents"/>
              <w:bidi w:val="0"/>
              <w:spacing w:before="0" w:after="283"/>
              <w:jc w:val="right"/>
              <w:rPr/>
            </w:pPr>
            <w:r>
              <w:rPr/>
              <w:t>      </w:t>
            </w:r>
            <w:r>
              <w:rPr/>
              <w:t>(178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202" w:type="dxa"/>
            <w:tcBorders/>
            <w:shd w:fill="CCEEFF" w:val="clear"/>
            <w:vAlign w:val="bottom"/>
          </w:tcPr>
          <w:p>
            <w:pPr>
              <w:pStyle w:val="TableContents"/>
              <w:bidi w:val="0"/>
              <w:spacing w:before="0" w:after="283"/>
              <w:jc w:val="right"/>
              <w:rPr/>
            </w:pPr>
            <w:r>
              <w:rPr/>
              <w:t>  </w:t>
            </w:r>
            <w:r>
              <w:rPr/>
              <w:t>(379,647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  </w:t>
            </w:r>
            <w:r>
              <w:rPr/>
              <w:t>(366,017</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6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4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2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bookmarkStart w:id="41" w:name="fin241143_104"/>
      <w:bookmarkStart w:id="42" w:name="fin241143_10"/>
      <w:bookmarkEnd w:id="41"/>
      <w:bookmarkEnd w:id="42"/>
      <w:r>
        <w:rPr>
          <w:rFonts w:ascii="Times New Roman" w:hAnsi="Times New Roman"/>
          <w:b/>
          <w:sz w:val="20"/>
        </w:rPr>
        <w:t xml:space="preserve">Condensed Consolidated 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38"/>
        <w:gridCol w:w="230"/>
        <w:gridCol w:w="140"/>
        <w:gridCol w:w="867"/>
        <w:gridCol w:w="164"/>
        <w:gridCol w:w="199"/>
        <w:gridCol w:w="140"/>
        <w:gridCol w:w="959"/>
        <w:gridCol w:w="168"/>
      </w:tblGrid>
      <w:tr>
        <w:trPr/>
        <w:tc>
          <w:tcPr>
            <w:tcW w:w="7338"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33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4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68" w:type="dxa"/>
            <w:tcBorders/>
            <w:vAlign w:val="bottom"/>
          </w:tcPr>
          <w:p>
            <w:pPr>
              <w:pStyle w:val="TableContents"/>
              <w:bidi w:val="0"/>
              <w:spacing w:before="0" w:after="283"/>
              <w:jc w:val="left"/>
              <w:rPr/>
            </w:pPr>
            <w:r>
              <w:rPr/>
              <w:t> </w:t>
            </w:r>
          </w:p>
        </w:tc>
      </w:tr>
      <w:tr>
        <w:trPr/>
        <w:tc>
          <w:tcPr>
            <w:tcW w:w="733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8" w:type="dxa"/>
            <w:tcBorders/>
            <w:vAlign w:val="bottom"/>
          </w:tcPr>
          <w:p>
            <w:pPr>
              <w:pStyle w:val="TableContents"/>
              <w:bidi w:val="0"/>
              <w:spacing w:before="0" w:after="283"/>
              <w:jc w:val="left"/>
              <w:rPr/>
            </w:pPr>
            <w:r>
              <w:rPr/>
              <w:t> </w:t>
            </w:r>
          </w:p>
        </w:tc>
      </w:tr>
      <w:tr>
        <w:trPr/>
        <w:tc>
          <w:tcPr>
            <w:tcW w:w="73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activities: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9"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733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7" w:type="dxa"/>
            <w:tcBorders/>
            <w:vAlign w:val="bottom"/>
          </w:tcPr>
          <w:p>
            <w:pPr>
              <w:pStyle w:val="TableContents"/>
              <w:bidi w:val="0"/>
              <w:spacing w:before="0" w:after="283"/>
              <w:jc w:val="right"/>
              <w:rPr/>
            </w:pPr>
            <w:r>
              <w:rPr/>
              <w:t> </w:t>
            </w:r>
            <w:r>
              <w:rPr/>
              <w:t>(15,304</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9" w:type="dxa"/>
            <w:tcBorders/>
            <w:vAlign w:val="bottom"/>
          </w:tcPr>
          <w:p>
            <w:pPr>
              <w:pStyle w:val="TableContents"/>
              <w:bidi w:val="0"/>
              <w:spacing w:before="0" w:after="283"/>
              <w:jc w:val="right"/>
              <w:rPr/>
            </w:pPr>
            <w:r>
              <w:rPr/>
              <w:t> </w:t>
            </w:r>
            <w:r>
              <w:rPr/>
              <w:t>(43,042</w:t>
            </w:r>
          </w:p>
        </w:tc>
        <w:tc>
          <w:tcPr>
            <w:tcW w:w="168" w:type="dxa"/>
            <w:tcBorders/>
            <w:vAlign w:val="bottom"/>
          </w:tcPr>
          <w:p>
            <w:pPr>
              <w:pStyle w:val="TableContents"/>
              <w:bidi w:val="0"/>
              <w:spacing w:before="0" w:after="283"/>
              <w:jc w:val="left"/>
              <w:rPr/>
            </w:pPr>
            <w:r>
              <w:rPr/>
              <w:t>) </w:t>
            </w:r>
          </w:p>
        </w:tc>
      </w:tr>
      <w:tr>
        <w:trPr/>
        <w:tc>
          <w:tcPr>
            <w:tcW w:w="7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9"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7338" w:type="dxa"/>
            <w:tcBorders/>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13,000</w:t>
            </w:r>
          </w:p>
        </w:tc>
        <w:tc>
          <w:tcPr>
            <w:tcW w:w="168" w:type="dxa"/>
            <w:tcBorders/>
            <w:vAlign w:val="bottom"/>
          </w:tcPr>
          <w:p>
            <w:pPr>
              <w:pStyle w:val="TableContents"/>
              <w:bidi w:val="0"/>
              <w:spacing w:before="0" w:after="283"/>
              <w:jc w:val="left"/>
              <w:rPr/>
            </w:pPr>
            <w:r>
              <w:rPr/>
              <w:t> </w:t>
            </w:r>
          </w:p>
        </w:tc>
      </w:tr>
      <w:tr>
        <w:trPr/>
        <w:tc>
          <w:tcPr>
            <w:tcW w:w="7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810</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1,654</w:t>
            </w:r>
          </w:p>
        </w:tc>
        <w:tc>
          <w:tcPr>
            <w:tcW w:w="168" w:type="dxa"/>
            <w:tcBorders/>
            <w:shd w:fill="CCEEFF" w:val="clear"/>
            <w:vAlign w:val="bottom"/>
          </w:tcPr>
          <w:p>
            <w:pPr>
              <w:pStyle w:val="TableContents"/>
              <w:bidi w:val="0"/>
              <w:spacing w:before="0" w:after="283"/>
              <w:jc w:val="left"/>
              <w:rPr/>
            </w:pPr>
            <w:r>
              <w:rPr/>
              <w:t> </w:t>
            </w:r>
          </w:p>
        </w:tc>
      </w:tr>
      <w:tr>
        <w:trPr/>
        <w:tc>
          <w:tcPr>
            <w:tcW w:w="7338" w:type="dxa"/>
            <w:tcBorders/>
          </w:tcPr>
          <w:p>
            <w:pPr>
              <w:pStyle w:val="TableContents"/>
              <w:bidi w:val="0"/>
              <w:spacing w:before="0" w:after="0"/>
              <w:jc w:val="left"/>
              <w:rPr>
                <w:rFonts w:ascii="Times New Roman" w:hAnsi="Times New Roman"/>
                <w:sz w:val="20"/>
              </w:rPr>
            </w:pPr>
            <w:r>
              <w:rPr>
                <w:rFonts w:ascii="Times New Roman" w:hAnsi="Times New Roman"/>
                <w:sz w:val="20"/>
              </w:rPr>
              <w:t>Noncash operating lease expense</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183</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222</w:t>
            </w:r>
          </w:p>
        </w:tc>
        <w:tc>
          <w:tcPr>
            <w:tcW w:w="168" w:type="dxa"/>
            <w:tcBorders/>
            <w:vAlign w:val="bottom"/>
          </w:tcPr>
          <w:p>
            <w:pPr>
              <w:pStyle w:val="TableContents"/>
              <w:bidi w:val="0"/>
              <w:spacing w:before="0" w:after="283"/>
              <w:jc w:val="left"/>
              <w:rPr/>
            </w:pPr>
            <w:r>
              <w:rPr/>
              <w:t> </w:t>
            </w:r>
          </w:p>
        </w:tc>
      </w:tr>
      <w:tr>
        <w:trPr/>
        <w:tc>
          <w:tcPr>
            <w:tcW w:w="7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132</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147</w:t>
            </w:r>
          </w:p>
        </w:tc>
        <w:tc>
          <w:tcPr>
            <w:tcW w:w="168" w:type="dxa"/>
            <w:tcBorders/>
            <w:shd w:fill="CCEEFF" w:val="clear"/>
            <w:vAlign w:val="bottom"/>
          </w:tcPr>
          <w:p>
            <w:pPr>
              <w:pStyle w:val="TableContents"/>
              <w:bidi w:val="0"/>
              <w:spacing w:before="0" w:after="283"/>
              <w:jc w:val="left"/>
              <w:rPr/>
            </w:pPr>
            <w:r>
              <w:rPr/>
              <w:t> </w:t>
            </w:r>
          </w:p>
        </w:tc>
      </w:tr>
      <w:tr>
        <w:trPr/>
        <w:tc>
          <w:tcPr>
            <w:tcW w:w="7338" w:type="dxa"/>
            <w:tcBorders/>
          </w:tcPr>
          <w:p>
            <w:pPr>
              <w:pStyle w:val="TableContents"/>
              <w:bidi w:val="0"/>
              <w:spacing w:before="0" w:after="0"/>
              <w:jc w:val="left"/>
              <w:rPr>
                <w:rFonts w:ascii="Times New Roman" w:hAnsi="Times New Roman"/>
                <w:sz w:val="20"/>
              </w:rPr>
            </w:pPr>
            <w:r>
              <w:rPr>
                <w:rFonts w:ascii="Times New Roman" w:hAnsi="Times New Roman"/>
                <w:sz w:val="20"/>
              </w:rPr>
              <w:t>Net accretion and amortization of investments in marketable securities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2</w:t>
            </w:r>
          </w:p>
        </w:tc>
        <w:tc>
          <w:tcPr>
            <w:tcW w:w="168" w:type="dxa"/>
            <w:tcBorders/>
            <w:vAlign w:val="bottom"/>
          </w:tcPr>
          <w:p>
            <w:pPr>
              <w:pStyle w:val="TableContents"/>
              <w:bidi w:val="0"/>
              <w:spacing w:before="0" w:after="283"/>
              <w:jc w:val="left"/>
              <w:rPr/>
            </w:pPr>
            <w:r>
              <w:rPr/>
              <w:t> </w:t>
            </w:r>
          </w:p>
        </w:tc>
      </w:tr>
      <w:tr>
        <w:trPr/>
        <w:tc>
          <w:tcPr>
            <w:tcW w:w="7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preferred stock warrants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(118</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(111</w:t>
            </w:r>
          </w:p>
        </w:tc>
        <w:tc>
          <w:tcPr>
            <w:tcW w:w="168" w:type="dxa"/>
            <w:tcBorders/>
            <w:shd w:fill="CCEEFF" w:val="clear"/>
            <w:vAlign w:val="bottom"/>
          </w:tcPr>
          <w:p>
            <w:pPr>
              <w:pStyle w:val="TableContents"/>
              <w:bidi w:val="0"/>
              <w:spacing w:before="0" w:after="283"/>
              <w:jc w:val="left"/>
              <w:rPr/>
            </w:pPr>
            <w:r>
              <w:rPr/>
              <w:t>) </w:t>
            </w:r>
          </w:p>
        </w:tc>
      </w:tr>
      <w:tr>
        <w:trPr/>
        <w:tc>
          <w:tcPr>
            <w:tcW w:w="7338"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(23</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(2</w:t>
            </w:r>
          </w:p>
        </w:tc>
        <w:tc>
          <w:tcPr>
            <w:tcW w:w="168" w:type="dxa"/>
            <w:tcBorders/>
            <w:vAlign w:val="bottom"/>
          </w:tcPr>
          <w:p>
            <w:pPr>
              <w:pStyle w:val="TableContents"/>
              <w:bidi w:val="0"/>
              <w:spacing w:before="0" w:after="283"/>
              <w:jc w:val="left"/>
              <w:rPr/>
            </w:pPr>
            <w:r>
              <w:rPr/>
              <w:t>) </w:t>
            </w:r>
          </w:p>
        </w:tc>
      </w:tr>
      <w:tr>
        <w:trPr/>
        <w:tc>
          <w:tcPr>
            <w:tcW w:w="7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9"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7338"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509</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(769</w:t>
            </w:r>
          </w:p>
        </w:tc>
        <w:tc>
          <w:tcPr>
            <w:tcW w:w="168" w:type="dxa"/>
            <w:tcBorders/>
            <w:vAlign w:val="bottom"/>
          </w:tcPr>
          <w:p>
            <w:pPr>
              <w:pStyle w:val="TableContents"/>
              <w:bidi w:val="0"/>
              <w:spacing w:before="0" w:after="283"/>
              <w:jc w:val="left"/>
              <w:rPr/>
            </w:pPr>
            <w:r>
              <w:rPr/>
              <w:t>) </w:t>
            </w:r>
          </w:p>
        </w:tc>
      </w:tr>
      <w:tr>
        <w:trPr/>
        <w:tc>
          <w:tcPr>
            <w:tcW w:w="7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15</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7,672</w:t>
            </w:r>
          </w:p>
        </w:tc>
        <w:tc>
          <w:tcPr>
            <w:tcW w:w="168" w:type="dxa"/>
            <w:tcBorders/>
            <w:shd w:fill="CCEEFF" w:val="clear"/>
            <w:vAlign w:val="bottom"/>
          </w:tcPr>
          <w:p>
            <w:pPr>
              <w:pStyle w:val="TableContents"/>
              <w:bidi w:val="0"/>
              <w:spacing w:before="0" w:after="283"/>
              <w:jc w:val="left"/>
              <w:rPr/>
            </w:pPr>
            <w:r>
              <w:rPr/>
              <w:t> </w:t>
            </w:r>
          </w:p>
        </w:tc>
      </w:tr>
      <w:tr>
        <w:trPr/>
        <w:tc>
          <w:tcPr>
            <w:tcW w:w="733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25</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(13</w:t>
            </w:r>
          </w:p>
        </w:tc>
        <w:tc>
          <w:tcPr>
            <w:tcW w:w="168" w:type="dxa"/>
            <w:tcBorders/>
            <w:vAlign w:val="bottom"/>
          </w:tcPr>
          <w:p>
            <w:pPr>
              <w:pStyle w:val="TableContents"/>
              <w:bidi w:val="0"/>
              <w:spacing w:before="0" w:after="283"/>
              <w:jc w:val="left"/>
              <w:rPr/>
            </w:pPr>
            <w:r>
              <w:rPr/>
              <w:t>) </w:t>
            </w:r>
          </w:p>
        </w:tc>
      </w:tr>
      <w:tr>
        <w:trPr/>
        <w:tc>
          <w:tcPr>
            <w:tcW w:w="7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(1,334</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(10,703</w:t>
            </w:r>
          </w:p>
        </w:tc>
        <w:tc>
          <w:tcPr>
            <w:tcW w:w="168" w:type="dxa"/>
            <w:tcBorders/>
            <w:shd w:fill="CCEEFF" w:val="clear"/>
            <w:vAlign w:val="bottom"/>
          </w:tcPr>
          <w:p>
            <w:pPr>
              <w:pStyle w:val="TableContents"/>
              <w:bidi w:val="0"/>
              <w:spacing w:before="0" w:after="283"/>
              <w:jc w:val="left"/>
              <w:rPr/>
            </w:pPr>
            <w:r>
              <w:rPr/>
              <w:t>) </w:t>
            </w:r>
          </w:p>
        </w:tc>
      </w:tr>
      <w:tr>
        <w:trPr/>
        <w:tc>
          <w:tcPr>
            <w:tcW w:w="733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(139</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(243</w:t>
            </w:r>
          </w:p>
        </w:tc>
        <w:tc>
          <w:tcPr>
            <w:tcW w:w="168" w:type="dxa"/>
            <w:tcBorders/>
            <w:vAlign w:val="bottom"/>
          </w:tcPr>
          <w:p>
            <w:pPr>
              <w:pStyle w:val="TableContents"/>
              <w:bidi w:val="0"/>
              <w:spacing w:before="0" w:after="283"/>
              <w:jc w:val="left"/>
              <w:rPr/>
            </w:pPr>
            <w:r>
              <w:rPr/>
              <w:t>) </w:t>
            </w:r>
          </w:p>
        </w:tc>
      </w:tr>
      <w:tr>
        <w:trPr/>
        <w:tc>
          <w:tcPr>
            <w:tcW w:w="733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(15,244</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(32,186</w:t>
            </w:r>
          </w:p>
        </w:tc>
        <w:tc>
          <w:tcPr>
            <w:tcW w:w="168" w:type="dxa"/>
            <w:tcBorders/>
            <w:shd w:fill="CCEEFF" w:val="clear"/>
            <w:vAlign w:val="bottom"/>
          </w:tcPr>
          <w:p>
            <w:pPr>
              <w:pStyle w:val="TableContents"/>
              <w:bidi w:val="0"/>
              <w:spacing w:before="0" w:after="283"/>
              <w:jc w:val="left"/>
              <w:rPr/>
            </w:pPr>
            <w:r>
              <w:rPr/>
              <w:t>)</w:t>
            </w:r>
          </w:p>
        </w:tc>
      </w:tr>
      <w:tr>
        <w:trPr/>
        <w:tc>
          <w:tcPr>
            <w:tcW w:w="733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338" w:type="dxa"/>
            <w:tcBorders/>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6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59"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marketable securities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(72,430</w:t>
            </w:r>
          </w:p>
        </w:tc>
        <w:tc>
          <w:tcPr>
            <w:tcW w:w="168" w:type="dxa"/>
            <w:tcBorders/>
            <w:shd w:fill="CCEEFF" w:val="clear"/>
            <w:vAlign w:val="bottom"/>
          </w:tcPr>
          <w:p>
            <w:pPr>
              <w:pStyle w:val="TableContents"/>
              <w:bidi w:val="0"/>
              <w:spacing w:before="0" w:after="283"/>
              <w:jc w:val="left"/>
              <w:rPr/>
            </w:pPr>
            <w:r>
              <w:rPr/>
              <w:t>) </w:t>
            </w:r>
          </w:p>
        </w:tc>
      </w:tr>
      <w:tr>
        <w:trPr/>
        <w:tc>
          <w:tcPr>
            <w:tcW w:w="7338"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an acquisition of assets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(13,000</w:t>
            </w:r>
          </w:p>
        </w:tc>
        <w:tc>
          <w:tcPr>
            <w:tcW w:w="168" w:type="dxa"/>
            <w:tcBorders/>
            <w:vAlign w:val="bottom"/>
          </w:tcPr>
          <w:p>
            <w:pPr>
              <w:pStyle w:val="TableContents"/>
              <w:bidi w:val="0"/>
              <w:spacing w:before="0" w:after="283"/>
              <w:jc w:val="left"/>
              <w:rPr/>
            </w:pPr>
            <w:r>
              <w:rPr/>
              <w:t>) </w:t>
            </w:r>
          </w:p>
        </w:tc>
      </w:tr>
      <w:tr>
        <w:trPr/>
        <w:tc>
          <w:tcPr>
            <w:tcW w:w="7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property and equipment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300</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7338"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(273</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(176</w:t>
            </w:r>
          </w:p>
        </w:tc>
        <w:tc>
          <w:tcPr>
            <w:tcW w:w="168" w:type="dxa"/>
            <w:tcBorders/>
            <w:vAlign w:val="bottom"/>
          </w:tcPr>
          <w:p>
            <w:pPr>
              <w:pStyle w:val="TableContents"/>
              <w:bidi w:val="0"/>
              <w:spacing w:before="0" w:after="283"/>
              <w:jc w:val="left"/>
              <w:rPr/>
            </w:pPr>
            <w:r>
              <w:rPr/>
              <w:t>) </w:t>
            </w:r>
          </w:p>
        </w:tc>
      </w:tr>
      <w:tr>
        <w:trPr/>
        <w:tc>
          <w:tcPr>
            <w:tcW w:w="733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27</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(85,606</w:t>
            </w:r>
          </w:p>
        </w:tc>
        <w:tc>
          <w:tcPr>
            <w:tcW w:w="168" w:type="dxa"/>
            <w:tcBorders/>
            <w:shd w:fill="CCEEFF" w:val="clear"/>
            <w:vAlign w:val="bottom"/>
          </w:tcPr>
          <w:p>
            <w:pPr>
              <w:pStyle w:val="TableContents"/>
              <w:bidi w:val="0"/>
              <w:spacing w:before="0" w:after="283"/>
              <w:jc w:val="left"/>
              <w:rPr/>
            </w:pPr>
            <w:r>
              <w:rPr/>
              <w:t>) </w:t>
            </w:r>
          </w:p>
        </w:tc>
      </w:tr>
      <w:tr>
        <w:trPr/>
        <w:tc>
          <w:tcPr>
            <w:tcW w:w="733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338"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6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59"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960</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7338"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280</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164</w:t>
            </w:r>
          </w:p>
        </w:tc>
        <w:tc>
          <w:tcPr>
            <w:tcW w:w="168" w:type="dxa"/>
            <w:tcBorders/>
            <w:vAlign w:val="bottom"/>
          </w:tcPr>
          <w:p>
            <w:pPr>
              <w:pStyle w:val="TableContents"/>
              <w:bidi w:val="0"/>
              <w:spacing w:before="0" w:after="283"/>
              <w:jc w:val="left"/>
              <w:rPr/>
            </w:pPr>
            <w:r>
              <w:rPr/>
              <w:t> </w:t>
            </w:r>
          </w:p>
        </w:tc>
      </w:tr>
      <w:tr>
        <w:trPr/>
        <w:tc>
          <w:tcPr>
            <w:tcW w:w="7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for deferred offering costs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(515</w:t>
            </w:r>
          </w:p>
        </w:tc>
        <w:tc>
          <w:tcPr>
            <w:tcW w:w="168" w:type="dxa"/>
            <w:tcBorders/>
            <w:shd w:fill="CCEEFF" w:val="clear"/>
            <w:vAlign w:val="bottom"/>
          </w:tcPr>
          <w:p>
            <w:pPr>
              <w:pStyle w:val="TableContents"/>
              <w:bidi w:val="0"/>
              <w:spacing w:before="0" w:after="283"/>
              <w:jc w:val="left"/>
              <w:rPr/>
            </w:pPr>
            <w:r>
              <w:rPr/>
              <w:t>) </w:t>
            </w:r>
          </w:p>
        </w:tc>
      </w:tr>
      <w:tr>
        <w:trPr/>
        <w:tc>
          <w:tcPr>
            <w:tcW w:w="733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338"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1,240</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(351</w:t>
            </w:r>
          </w:p>
        </w:tc>
        <w:tc>
          <w:tcPr>
            <w:tcW w:w="168" w:type="dxa"/>
            <w:tcBorders/>
            <w:vAlign w:val="bottom"/>
          </w:tcPr>
          <w:p>
            <w:pPr>
              <w:pStyle w:val="TableContents"/>
              <w:bidi w:val="0"/>
              <w:spacing w:before="0" w:after="283"/>
              <w:jc w:val="left"/>
              <w:rPr/>
            </w:pPr>
            <w:r>
              <w:rPr/>
              <w:t>) </w:t>
            </w:r>
          </w:p>
        </w:tc>
      </w:tr>
      <w:tr>
        <w:trPr/>
        <w:tc>
          <w:tcPr>
            <w:tcW w:w="733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cash and cash equivalents and restricted cash</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(13,977</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(118,143</w:t>
            </w:r>
          </w:p>
        </w:tc>
        <w:tc>
          <w:tcPr>
            <w:tcW w:w="168" w:type="dxa"/>
            <w:tcBorders/>
            <w:shd w:fill="CCEEFF" w:val="clear"/>
            <w:vAlign w:val="bottom"/>
          </w:tcPr>
          <w:p>
            <w:pPr>
              <w:pStyle w:val="TableContents"/>
              <w:bidi w:val="0"/>
              <w:spacing w:before="0" w:after="283"/>
              <w:jc w:val="left"/>
              <w:rPr/>
            </w:pPr>
            <w:r>
              <w:rPr/>
              <w:t>) </w:t>
            </w:r>
          </w:p>
        </w:tc>
      </w:tr>
      <w:tr>
        <w:trPr/>
        <w:tc>
          <w:tcPr>
            <w:tcW w:w="7338"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at beginning of year</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192,102</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409,372</w:t>
            </w:r>
          </w:p>
        </w:tc>
        <w:tc>
          <w:tcPr>
            <w:tcW w:w="168" w:type="dxa"/>
            <w:tcBorders/>
            <w:vAlign w:val="bottom"/>
          </w:tcPr>
          <w:p>
            <w:pPr>
              <w:pStyle w:val="TableContents"/>
              <w:bidi w:val="0"/>
              <w:spacing w:before="0" w:after="283"/>
              <w:jc w:val="left"/>
              <w:rPr/>
            </w:pPr>
            <w:r>
              <w:rPr/>
              <w:t> </w:t>
            </w:r>
          </w:p>
        </w:tc>
      </w:tr>
      <w:tr>
        <w:trPr/>
        <w:tc>
          <w:tcPr>
            <w:tcW w:w="733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at end of year</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7" w:type="dxa"/>
            <w:tcBorders/>
            <w:shd w:fill="CCEEFF" w:val="clear"/>
            <w:vAlign w:val="bottom"/>
          </w:tcPr>
          <w:p>
            <w:pPr>
              <w:pStyle w:val="TableContents"/>
              <w:bidi w:val="0"/>
              <w:spacing w:before="0" w:after="283"/>
              <w:jc w:val="right"/>
              <w:rPr/>
            </w:pPr>
            <w:r>
              <w:rPr/>
              <w:t> </w:t>
            </w:r>
            <w:r>
              <w:rPr/>
              <w:t>178,125</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291,229</w:t>
            </w:r>
          </w:p>
        </w:tc>
        <w:tc>
          <w:tcPr>
            <w:tcW w:w="168" w:type="dxa"/>
            <w:tcBorders/>
            <w:shd w:fill="CCEEFF" w:val="clear"/>
            <w:vAlign w:val="bottom"/>
          </w:tcPr>
          <w:p>
            <w:pPr>
              <w:pStyle w:val="TableContents"/>
              <w:bidi w:val="0"/>
              <w:spacing w:before="0" w:after="283"/>
              <w:jc w:val="left"/>
              <w:rPr/>
            </w:pPr>
            <w:r>
              <w:rPr/>
              <w:t> </w:t>
            </w:r>
          </w:p>
        </w:tc>
      </w:tr>
      <w:tr>
        <w:trPr/>
        <w:tc>
          <w:tcPr>
            <w:tcW w:w="733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7"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59"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338" w:type="dxa"/>
            <w:tcBorders/>
          </w:tcPr>
          <w:p>
            <w:pPr>
              <w:pStyle w:val="TableContents"/>
              <w:bidi w:val="0"/>
              <w:spacing w:before="0" w:after="0"/>
              <w:jc w:val="left"/>
              <w:rPr>
                <w:rFonts w:ascii="Times New Roman" w:hAnsi="Times New Roman"/>
                <w:b/>
                <w:sz w:val="20"/>
              </w:rPr>
            </w:pPr>
            <w:r>
              <w:rPr>
                <w:rFonts w:ascii="Times New Roman" w:hAnsi="Times New Roman"/>
                <w:b/>
                <w:sz w:val="20"/>
              </w:rPr>
              <w:t>Components of cash and restricted cash:</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6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59"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7" w:type="dxa"/>
            <w:tcBorders/>
            <w:shd w:fill="CCEEFF" w:val="clear"/>
            <w:vAlign w:val="bottom"/>
          </w:tcPr>
          <w:p>
            <w:pPr>
              <w:pStyle w:val="TableContents"/>
              <w:bidi w:val="0"/>
              <w:spacing w:before="0" w:after="283"/>
              <w:jc w:val="right"/>
              <w:rPr/>
            </w:pPr>
            <w:r>
              <w:rPr/>
              <w:t>178,000</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291,179</w:t>
            </w:r>
          </w:p>
        </w:tc>
        <w:tc>
          <w:tcPr>
            <w:tcW w:w="168" w:type="dxa"/>
            <w:tcBorders/>
            <w:shd w:fill="CCEEFF" w:val="clear"/>
            <w:vAlign w:val="bottom"/>
          </w:tcPr>
          <w:p>
            <w:pPr>
              <w:pStyle w:val="TableContents"/>
              <w:bidi w:val="0"/>
              <w:spacing w:before="0" w:after="283"/>
              <w:jc w:val="left"/>
              <w:rPr/>
            </w:pPr>
            <w:r>
              <w:rPr/>
              <w:t> </w:t>
            </w:r>
          </w:p>
        </w:tc>
      </w:tr>
      <w:tr>
        <w:trPr/>
        <w:tc>
          <w:tcPr>
            <w:tcW w:w="7338"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125</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50</w:t>
            </w:r>
          </w:p>
        </w:tc>
        <w:tc>
          <w:tcPr>
            <w:tcW w:w="168" w:type="dxa"/>
            <w:tcBorders/>
            <w:vAlign w:val="bottom"/>
          </w:tcPr>
          <w:p>
            <w:pPr>
              <w:pStyle w:val="TableContents"/>
              <w:bidi w:val="0"/>
              <w:spacing w:before="0" w:after="283"/>
              <w:jc w:val="left"/>
              <w:rPr/>
            </w:pPr>
            <w:r>
              <w:rPr/>
              <w:t> </w:t>
            </w:r>
          </w:p>
        </w:tc>
      </w:tr>
      <w:tr>
        <w:trPr/>
        <w:tc>
          <w:tcPr>
            <w:tcW w:w="733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and cash equivalents and restricted cash</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7" w:type="dxa"/>
            <w:tcBorders/>
            <w:shd w:fill="CCEEFF" w:val="clear"/>
            <w:vAlign w:val="bottom"/>
          </w:tcPr>
          <w:p>
            <w:pPr>
              <w:pStyle w:val="TableContents"/>
              <w:bidi w:val="0"/>
              <w:spacing w:before="0" w:after="283"/>
              <w:jc w:val="right"/>
              <w:rPr/>
            </w:pPr>
            <w:r>
              <w:rPr/>
              <w:t>178,125</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291,229</w:t>
            </w:r>
          </w:p>
        </w:tc>
        <w:tc>
          <w:tcPr>
            <w:tcW w:w="168" w:type="dxa"/>
            <w:tcBorders/>
            <w:shd w:fill="CCEEFF" w:val="clear"/>
            <w:vAlign w:val="bottom"/>
          </w:tcPr>
          <w:p>
            <w:pPr>
              <w:pStyle w:val="TableContents"/>
              <w:bidi w:val="0"/>
              <w:spacing w:before="0" w:after="283"/>
              <w:jc w:val="left"/>
              <w:rPr/>
            </w:pPr>
            <w:r>
              <w:rPr/>
              <w:t> </w:t>
            </w:r>
          </w:p>
        </w:tc>
      </w:tr>
      <w:tr>
        <w:trPr/>
        <w:tc>
          <w:tcPr>
            <w:tcW w:w="733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7"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59"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338"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investing and financing activities: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6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59"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 included in accounts payable</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7" w:type="dxa"/>
            <w:tcBorders/>
            <w:shd w:fill="CCEEFF" w:val="clear"/>
            <w:vAlign w:val="bottom"/>
          </w:tcPr>
          <w:p>
            <w:pPr>
              <w:pStyle w:val="TableContents"/>
              <w:bidi w:val="0"/>
              <w:spacing w:before="0" w:after="283"/>
              <w:jc w:val="right"/>
              <w:rPr/>
            </w:pPr>
            <w:r>
              <w:rPr/>
              <w:t>62</w:t>
            </w:r>
          </w:p>
        </w:tc>
        <w:tc>
          <w:tcPr>
            <w:tcW w:w="16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733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7"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59"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338" w:type="dxa"/>
            <w:tcBorders/>
          </w:tcPr>
          <w:p>
            <w:pPr>
              <w:pStyle w:val="TableContents"/>
              <w:bidi w:val="0"/>
              <w:spacing w:before="0" w:after="0"/>
              <w:jc w:val="left"/>
              <w:rPr>
                <w:rFonts w:ascii="Times New Roman" w:hAnsi="Times New Roman"/>
                <w:sz w:val="20"/>
              </w:rPr>
            </w:pPr>
            <w:r>
              <w:rPr>
                <w:rFonts w:ascii="Times New Roman" w:hAnsi="Times New Roman"/>
                <w:sz w:val="20"/>
              </w:rPr>
              <w:t>Deferred offering costs related to initial public offering included in accrued liabilities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7"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9" w:type="dxa"/>
            <w:tcBorders/>
            <w:vAlign w:val="bottom"/>
          </w:tcPr>
          <w:p>
            <w:pPr>
              <w:pStyle w:val="TableContents"/>
              <w:bidi w:val="0"/>
              <w:spacing w:before="0" w:after="283"/>
              <w:jc w:val="right"/>
              <w:rPr/>
            </w:pPr>
            <w:r>
              <w:rPr/>
              <w:t>(193</w:t>
            </w:r>
          </w:p>
        </w:tc>
        <w:tc>
          <w:tcPr>
            <w:tcW w:w="168" w:type="dxa"/>
            <w:tcBorders/>
            <w:vAlign w:val="bottom"/>
          </w:tcPr>
          <w:p>
            <w:pPr>
              <w:pStyle w:val="TableContents"/>
              <w:bidi w:val="0"/>
              <w:spacing w:before="0" w:after="283"/>
              <w:jc w:val="left"/>
              <w:rPr/>
            </w:pPr>
            <w:r>
              <w:rPr/>
              <w:t>) </w:t>
            </w:r>
          </w:p>
        </w:tc>
      </w:tr>
      <w:tr>
        <w:trPr/>
        <w:tc>
          <w:tcPr>
            <w:tcW w:w="733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7"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59"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bookmarkStart w:id="43" w:name="fin241143_105"/>
      <w:bookmarkStart w:id="44" w:name="fin241143_11"/>
      <w:bookmarkEnd w:id="43"/>
      <w:bookmarkEnd w:id="44"/>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Liquidity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Neumora Therapeutics, Inc. (the Company), formerly known as RBNC Therapeutics, Inc., was originally incorporated in the State of Delaware in November 2019, and is headquartered in Watertown, Massachusetts and also has operations in South San Francisco, California.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 clinical-stage biotechnology company pioneering a precision medicine approach for brain diseases through the integration of data science and neuroscience. The Companys approach aims to redefine neuroscience research and development by leveraging a proprietary artificial intelligence and machine learning enabled approach to patient enrichment, which the Company integrates with advanced translational neuroscience approaches to develop novel precision medicines.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2022, the Company has devoted substantially all of its efforts to building its organization, acquiring technologies and companies, developing its precision neuroscience platform, identifying and developing potential product candidates, executing clinical and preclinical studies, organizing and staffing the Company, business planning, establishing its intellectual property portfolio, raising capital and providing general and administrative support for these operations. The Company has not generated revenue from the sale of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incurred net losses and negative cash flows from operations since inception and, as of March 31, 2022, had an accumulated deficit of $379.6 million. The Company incurred a net loss of $15.3 million and $43.0 million during the three months ended March 31, 2021 and 2022, respectively. As of March 31, 2022, the Company had cash, cash equivalents and marketable securities of $363.4 million, which are available to fund future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to incur additional losses in the future as it continues its research and development efforts, advances its product candidates through preclinical and clinical development, enhances its precision neuroscience platform and programs, expands its product pipeline, seeks regulatory approval, prepares for commercialization, as well as hires additional personnel, protects its intellectual property and grows its business. The Company will need to raise additional capital to support its continuing operations and pursue its long-term business plan, including to complete the development and commercialization of its product candidates, if approved. Such activities are subject to significant risks and uncertainties, including clinical failure which can impact the Companys ability to secure additional funding. The Company has historically financed its operations primarily with the proceeds from the issuance of its convertible preferred stock, borrowings pursuant to convertible promissory notes and cash acquired in its acquisitions of assets. The Company may raise additional capital through public or private equity offerings or debt financings or other capital sources, which may include strategic collaborations or other arrangements with third parties, or other sources of financing. However, there is no guarantee that any of these financing or opportunities will be executed or realized on favorable terms, if at all, and some could be dilutive to existing stockholders. The Companys ability to raise additional capital through either the issuance of equity or debt is dependent on a number of factors including, but not limited to, Company prospects, which itself is subject to a number of development and business risks and uncertainties, as well as uncertainty about whether the Company would be able to raise such additional capital at a price or on terms that are favorable.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believes that its existing cash, cash equivalents and marketable securities as of March 31, 2022 will be sufficient to support operations for at least the next 12 months from the date these condensed consolidated financial statements were available to be 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and Basis of Presentation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Basis of Presentation and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condensed consolidated financial statements have been prepared in accordance with U.S. generally accepted accounting principles (U.S. GAAP) and applicable rules and regulations of the Securities and Exchange Commission (SEC) regarding annual financial reporting. The condensed consolidated financial statements include all accounts of the Company and its wholly-owned subsidiaries. All intercompany transactions and balances have been eliminated in consolidation.      </w:t>
      </w:r>
    </w:p>
    <w:p>
      <w:pPr>
        <w:pStyle w:val="TextBody"/>
        <w:bidi w:val="0"/>
        <w:spacing w:before="360" w:after="0"/>
        <w:jc w:val="left"/>
        <w:rPr>
          <w:rFonts w:ascii="Times New Roman" w:hAnsi="Times New Roman"/>
          <w:b/>
          <w:sz w:val="20"/>
        </w:rPr>
      </w:pPr>
      <w:r>
        <w:rPr>
          <w:rFonts w:ascii="Times New Roman" w:hAnsi="Times New Roman"/>
          <w:b/>
          <w:sz w:val="20"/>
        </w:rPr>
        <w:t xml:space="preserve">Unaudited Interim Condensed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The condensed consolidated balance sheet as of March 31, 2022, condensed consolidated statements of operations and comprehensive loss, statements of convertible preferred stock and stockholders deficit and cash flows for the three months ended March 31, 2021 and 2022 and related notes to condensed consolidated financial statements are unaudited. These unaudited interim condensed consolidated financial statements have been prepared on the same basis as the Companys annual consolidated financial statements and, in the opinion of management, reflect all adjustments (consisting only of normal recurring adjustments) that are necessary for the fair statement of the Companys consolidated financial position, results of operations and cash flows for the periods presented. The condensed consolidated results of operations for the three months ended March 31, 2022 are not necessarily indicative of the results to be expected for the full year or for any other future annual or interim period. The condensed consolidated balance sheet as of December 31, 2021 included herein was derived from the audited consolidated financial statements as of that date. These interim condensed consolidated financial statements should be read in conjunction with the Companys audited consolidated financial statements included elsewhere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U.S. GAAP requires management to make estimates and assumptions that affect the reported amounts in the condensed consolidated financial statements and accompanying notes. These estimates form the basis for judgments the Company makes about the carrying values of assets and liabilities that are not readily apparent from other sources. The Company bases its estimates and judgments on historical experience and on various other assumptions that the Company believes are reasonable under the circumstances. These estimates are based on managements knowledge about current events and expectations about actions the Company may undertake in the future. These judgments, estimates and assumptions are used for, but not limited to, accrued research and development expenses, accounting for acquisitions of assets, fair value of certain assets and liabilities, the fair value of the Companys convertible preferred stock, the fair value of the Companys convertible preferred stock warrant liability, the fair value of the Companys common stock, stock-based compensation, and uncertain tax positions and the valuation allowance for net deferred tax assets. Actual results may differ from the Companys estimates. </w:t>
      </w:r>
    </w:p>
    <w:p>
      <w:pPr>
        <w:pStyle w:val="TextBody"/>
        <w:bidi w:val="0"/>
        <w:spacing w:before="360" w:after="0"/>
        <w:jc w:val="left"/>
        <w:rPr>
          <w:rFonts w:ascii="Times New Roman" w:hAnsi="Times New Roman"/>
          <w:b/>
          <w:sz w:val="20"/>
        </w:rPr>
      </w:pPr>
      <w:r>
        <w:rPr>
          <w:rFonts w:ascii="Times New Roman" w:hAnsi="Times New Roman"/>
          <w:b/>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certain risks and uncertainties, including, but not limited to, changes in any of the following areas that the Company believes could have a material adverse effect on future financial position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results of operations: successfully develop, manufacture, and market any approved products; obtain regulatory approval from the U.S. Food and Drug Administration or foreign regulatory agencies prior to commercial sales; new technological innovations; dependence on key personnel, protection of intellectual property; compliance with governmental regulations; uncertainty of market acceptance of any approved products; product liability; and the need to obtain additional financing. </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Company is actively monitoring the impact of the ongoing COVID-19 pandemic on its business, the extent of the impact of the pandemic on the Companys business, operations, and clinical development timelines and plans remains uncertain. To date, the COVID-19 pandemic has delayed patient enrollment in the Companys ongoing clinical trials and may further delay the Companys initiation of preclinical studies and clinical trials, interrupt its supply chain, disrupt regulatory activities, or have other adverse effects on its business and operations. Given the surges in cases of COVID-19 experienced previously and uncertainty regarding variants, the extent of the impact of the COVID-19 pandemic on the Companys preclinical studies or clinical trials will depend on future developments, which are uncertain and cannot be predicted with confidence. In response to the COVID-19 pandemic the Company has taken temporary precautionary measures intended to help minimize its risk of exposure to the virus for its employees, including implementing policies that allow its employees to work remotely and suspending most non-essential travel for its employees, none of which had an adverse impact on the Companys business. Certain third-party service providers have also experienced and may continue to experience shutdowns or other business disruptions. However, as the COVID-19 pandemic continues to evolve, the Company cannot at this time predict the specific extent, duration, or full impact that the COVID-19 pandemic will have on its condensed consolidated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Fair value is defined as the price that would be received to sell an asset or paid to transfer a liability (an exit price) in the principal or most advantageous market for the asset or liability in an orderly transaction between market participants at the measurement date. The Company measures fair value by maximizing the use of observable inputs, where available, and minimizing the use of unobservable inputs when measuring fair value. Financial assets and liabilities recorded at fair value in the condensed consolidated balance sheets are categorized in the fair value hierarchy based upon the lowest level of input that is significant to the fair value as follows: </w:t>
      </w:r>
    </w:p>
    <w:p>
      <w:pPr>
        <w:pStyle w:val="TextBody"/>
        <w:bidi w:val="0"/>
        <w:spacing w:before="120" w:after="0"/>
        <w:jc w:val="left"/>
        <w:rPr>
          <w:rFonts w:ascii="Times New Roman" w:hAnsi="Times New Roman"/>
          <w:sz w:val="20"/>
        </w:rPr>
      </w:pPr>
      <w:r>
        <w:rPr>
          <w:rFonts w:ascii="Times New Roman" w:hAnsi="Times New Roman"/>
          <w:sz w:val="20"/>
        </w:rPr>
        <w:t xml:space="preserve">Level 1Observable inputs such as unadjusted, quoted prices in active markets for identical assets or liabilities at the measurement date. </w:t>
      </w:r>
    </w:p>
    <w:p>
      <w:pPr>
        <w:pStyle w:val="TextBody"/>
        <w:bidi w:val="0"/>
        <w:spacing w:before="120" w:after="0"/>
        <w:jc w:val="left"/>
        <w:rPr>
          <w:rFonts w:ascii="Times New Roman" w:hAnsi="Times New Roman"/>
          <w:sz w:val="20"/>
        </w:rPr>
      </w:pPr>
      <w:r>
        <w:rPr>
          <w:rFonts w:ascii="Times New Roman" w:hAnsi="Times New Roman"/>
          <w:sz w:val="20"/>
        </w:rPr>
        <w:t xml:space="preserve">Level 2Inputs (other than quoted prices included in Level 1) are either directly or indirectly observable inputs for similar assets or liabilities. These include quoted prices for identical or similar assets or liabilities in active markets and quoted prices for identical or similar assets of liabilities in markets that are not active. </w:t>
      </w:r>
    </w:p>
    <w:p>
      <w:pPr>
        <w:pStyle w:val="TextBody"/>
        <w:bidi w:val="0"/>
        <w:spacing w:before="120" w:after="0"/>
        <w:jc w:val="left"/>
        <w:rPr>
          <w:rFonts w:ascii="Times New Roman" w:hAnsi="Times New Roman"/>
          <w:sz w:val="20"/>
        </w:rPr>
      </w:pPr>
      <w:r>
        <w:rPr>
          <w:rFonts w:ascii="Times New Roman" w:hAnsi="Times New Roman"/>
          <w:sz w:val="20"/>
        </w:rPr>
        <w:t xml:space="preserve">Level 3Unobservable inputs that are supported by little or no market activity and that are significant to the fair value of the assets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(see Note 4). A financial instruments level within the fair value hierarchy is based on the lowest level of any input that is significant to the fair value of the instrument. </w:t>
      </w:r>
    </w:p>
    <w:p>
      <w:pPr>
        <w:pStyle w:val="TextBody"/>
        <w:bidi w:val="0"/>
        <w:spacing w:before="360" w:after="0"/>
        <w:jc w:val="left"/>
        <w:rPr>
          <w:rFonts w:ascii="Times New Roman" w:hAnsi="Times New Roman"/>
          <w:b/>
          <w:sz w:val="20"/>
        </w:rPr>
      </w:pPr>
      <w:r>
        <w:rPr>
          <w:rFonts w:ascii="Times New Roman" w:hAnsi="Times New Roman"/>
          <w:b/>
          <w:sz w:val="20"/>
        </w:rPr>
        <w:t xml:space="preserve">Marketable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invests it excess cash in marketable securities with high credit ratings including but not limited to money market funds, securities issued by the U.S. government and its agencies and commercial paper. All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Companys marketable securities have been accounted for as available-for-sale and carried at fair value. Marketable securities are classified as short-term or long-term based on the maturity date and their availability to meet current operating requirements. Marketable securities that mature less than one year from the balance sheet date are classified as short-term, while marketable securities with maturities in one year or beyond one year from the balance sheet date are classified as long-term. The amortized cost of debt securities is adjusted for amortization of premiums and accretion of discounts to maturity, which is included in interest income in the condensed consolidated statements of operations and comprehensive loss. Realized gains and losses on marketable securities, if any, are included in other income (expense), net. The cost of securities sold is determined based on the trade date using the specific identification method. </w:t>
      </w:r>
    </w:p>
    <w:p>
      <w:pPr>
        <w:pStyle w:val="TextBody"/>
        <w:bidi w:val="0"/>
        <w:spacing w:before="240" w:after="0"/>
        <w:jc w:val="left"/>
        <w:rPr>
          <w:rFonts w:ascii="Times New Roman" w:hAnsi="Times New Roman"/>
          <w:sz w:val="20"/>
        </w:rPr>
      </w:pPr>
      <w:r>
        <w:rPr>
          <w:rFonts w:ascii="Times New Roman" w:hAnsi="Times New Roman"/>
          <w:sz w:val="20"/>
        </w:rPr>
        <w:t xml:space="preserve">The Company periodically assesses its available-for-sale marketable securities for impairment. For debt securities in an unrealized loss position, this assessment first takes into account the Companys intent to sell, or whether it is more likely than not that it will be required to sell the security before recovery of its amortized cost basis. If either of these criteria are met, the debt securitys amortized cost basis is written down to fair value within other income (expense), net. For debt securities in an unrealized loss position that do not meet the aforementioned criteria, the Company assesses whether the decline in fair value has resulted from credit losses or other factors. In making this assessment, the extent to which fair value is less than amortized cost, any changes to the rating of the security by a rating agency, and any adverse conditions specifically related to the security is considered, among other factors. If this assessment indicates that a credit loss may exist,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will be recorded in other income (expense), net, limited by the amount that the fair value is less than the amortized cost basis. Any additional impairment not recorded through an allowance for credit losses is recognized in other comprehensive loss. Changes in the allowance for credit losses are recorded as provision for (or reversal of) credit loss expense. Losses are charged against the allowance when management believes the un-collectability of an available-for-sale security is confirmed or when either of the criteria regarding intent or requirement to sell is met. These changes are recorded in other income (expense), net. </w:t>
      </w:r>
    </w:p>
    <w:p>
      <w:pPr>
        <w:pStyle w:val="TextBody"/>
        <w:bidi w:val="0"/>
        <w:spacing w:before="360" w:after="0"/>
        <w:jc w:val="left"/>
        <w:rPr>
          <w:rFonts w:ascii="Times New Roman" w:hAnsi="Times New Roman"/>
          <w:b/>
          <w:sz w:val="20"/>
        </w:rPr>
      </w:pPr>
      <w:r>
        <w:rPr>
          <w:rFonts w:ascii="Times New Roman" w:hAnsi="Times New Roman"/>
          <w:b/>
          <w:sz w:val="20"/>
        </w:rPr>
        <w:t xml:space="preserve">Acquisitions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mergers, acquisitions and other similar transactions to assess whether or not the transaction should be accounted for as a business combination or an acquisition of assets. The Company first identifies who is the acquiring entity by determining if the target is a legal entity or a group of assets or liabilities. If control over a legal entity is being evaluated, the Company also evaluates if the target is a variable interest or voting interest entity. For acquisitions of voting interest entities, the Company applies a screen test to determine if substantially all of the fair value of the gross assets acquired is concentrated in a single identifiable asset or group of similar identifiable assets. If the screen test is met, the transaction is accounted for as an acquisition of assets. If the screen is not met, further determination is required as to whether or not the Company has acquired inputs and processes that have the ability to create outputs which would meet the definition of a business. Significant judgment is required in the application of the screen test to determine whether an acquisition is a business combination or an acquisition of assets. </w:t>
      </w:r>
    </w:p>
    <w:p>
      <w:pPr>
        <w:pStyle w:val="TextBody"/>
        <w:bidi w:val="0"/>
        <w:spacing w:before="240" w:after="0"/>
        <w:jc w:val="left"/>
        <w:rPr>
          <w:rFonts w:ascii="Times New Roman" w:hAnsi="Times New Roman"/>
          <w:sz w:val="20"/>
        </w:rPr>
      </w:pPr>
      <w:r>
        <w:rPr>
          <w:rFonts w:ascii="Times New Roman" w:hAnsi="Times New Roman"/>
          <w:sz w:val="20"/>
        </w:rPr>
        <w:t xml:space="preserve">For an acquisition of assets, a cost accumulation model is used to determine the cost of the acquisition. Common stock and convertible preferred stock issued as consideration in an acquisition of assets are generally measured based on the acquisition date fair value of the equity interests issued. Direct transaction costs are recognized as part of the cost of an acquisition of assets. The Company also evaluates which elements of a transaction should be accounted for as a part of an acquisition of assets and which should be accounted for separately.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cost of an acquisition of assets, including transaction costs, are allocated to identifiable assets acquired and liabilities assumed based on a relative fair value basis. Goodwill is not recognized in an acquisition of assets. Any difference between the cost of an acquisition of assets and the fair value of the net assets acquired is allocated to the non-monetary identifiable assets based on their relative fair values. Assets acquired as part of an acquisition of assets that are considered to be in-process research and development intangible assets (IPR&amp;D) are immediately expensed and recorded as a component of acquired in-process research and development expense in the condensed consolidated statements of operations and comprehensive loss unless there is an alternative future use in other research and development projects.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upfront consideration, the Companys acquisitions of assets may also include contingent consideration payments to be made for future milestone events or royalties on net sales of future products. The Company assesses whether such contingent consideration is subject to liability classification and fair value measurement or meets the definition of a derivative. Contingent consideration payments in an acquisition of assets not required to be classified as a liability at fair value, or are accounted for as derivatives that qualify for a scope exception from derivative accounting, are recognized when the contingency is resolved, and the consideration is paid or becomes payable. Contingent consideration payments required to be classified as a liability, or are accounted for as derivatives and do not qualify for a scope exception from derivative accounting, are recorded at fair value on the date of the acquisition and are subsequently remeasured to fair value at each reporting date. Contingent consideration payments made prior to regulatory approval are expensed as incurred. Any future payments that are contingent upon continued services to the Company are treated as compensation and recognized when it is probable such amounts will become payable. </w:t>
      </w:r>
    </w:p>
    <w:p>
      <w:pPr>
        <w:pStyle w:val="TextBody"/>
        <w:bidi w:val="0"/>
        <w:spacing w:before="240" w:after="0"/>
        <w:jc w:val="left"/>
        <w:rPr>
          <w:rFonts w:ascii="Times New Roman" w:hAnsi="Times New Roman"/>
          <w:sz w:val="20"/>
        </w:rPr>
      </w:pPr>
      <w:r>
        <w:rPr>
          <w:rFonts w:ascii="Times New Roman" w:hAnsi="Times New Roman"/>
          <w:sz w:val="20"/>
        </w:rPr>
        <w:t xml:space="preserve">If the target legal entity is determined to be a variable interest entity (VIE) and not a business, all tangible and intangible assets acquired, including any IPR&amp;D assets but excluding goodwill, and liabilities assumed, including contingent consideration, are recorded at their fair values. If the acquisition is determined to be a business combination, all tangible and intangible assets acquired, including any IPR&amp;D assets, and liabilities assumed, including contingent consideration, are recorded at their fair values. Goodwill is recognized for any difference between the consideration transferred and fair value determination. In addition, direct transaction costs in connection with business combinations are expensed as incurred, rather than capitalized. </w:t>
      </w:r>
    </w:p>
    <w:p>
      <w:pPr>
        <w:pStyle w:val="TextBody"/>
        <w:bidi w:val="0"/>
        <w:spacing w:before="240" w:after="0"/>
        <w:jc w:val="left"/>
        <w:rPr>
          <w:rFonts w:ascii="Times New Roman" w:hAnsi="Times New Roman"/>
          <w:sz w:val="20"/>
        </w:rPr>
      </w:pPr>
      <w:r>
        <w:rPr>
          <w:rFonts w:ascii="Times New Roman" w:hAnsi="Times New Roman"/>
          <w:sz w:val="20"/>
        </w:rPr>
        <w:t xml:space="preserve">The tax basis of assets acquired in either a business combination or acquisition of assets are compared to the book basis of such assets resulting in the recognition of deferred tax assets and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Deferred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Deferred offering costs, which consist of direct incremental legal, consulting, banking and accounting fees primarily relating to the Companys contemplated initial public offering (IPO) are capitalized and will be offset against proceeds upon the consummation of the offering within stockholders deficit. In the event an anticipated offering is terminated, deferred IPO offering costs will be expensed. As of December 31, 2021 and March 31, 2022, deferred offering costs included in other assets in the condensed consolidated balance sheet were $1.8 million and $2.2 million,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classified convertible preferred stock, which is contingently redeemable, as temporary equity in the condensed consolidated balance sheets due to terms that allow for the effective redemption of such shares in cash at the option of the holders upon certain liquidation events that are not solely within the Companys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carrying values of the convertible preferred stock are adjusted to their liquidation preferences if and when it becomes probable that such a liquidation event will occur. The Company did not accrete the value of the convertible preferred stock to its redemption value since a liquidation event was not considered probable as of March 31, 2022. Subsequent adjustments to the carrying values of the convertible preferred stock will be made only when it becomes probable that such liquidation events will occur, causing the shares to become redeemable.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evaluates the features of its convertible preferred stock to determine if the features require bifurcation from the underlying shares by evaluating whether they are clearly and closely related to the underlying shares and whether they meet the definition of a derivative.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if an extinguishment or modification of changes to mezzanine equity-classified preferred stock has occurred, the Company has elected a policy to evaluate if changes add, delete or significantly change a substantive contractual term (e.g., one that is at least reasonably possible of being exercised), or fundamentally change the nature of the convertible preferred stock. This evaluation includes the consideration of both the expected economics as well as the business purpose for the amendment.     </w:t>
      </w:r>
    </w:p>
    <w:p>
      <w:pPr>
        <w:pStyle w:val="TextBody"/>
        <w:bidi w:val="0"/>
        <w:spacing w:before="360" w:after="0"/>
        <w:jc w:val="left"/>
        <w:rPr>
          <w:rFonts w:ascii="Times New Roman" w:hAnsi="Times New Roman"/>
          <w:b/>
          <w:sz w:val="20"/>
        </w:rPr>
      </w:pPr>
      <w:r>
        <w:rPr>
          <w:rFonts w:ascii="Times New Roman" w:hAnsi="Times New Roman"/>
          <w:b/>
          <w:sz w:val="20"/>
        </w:rPr>
        <w:t xml:space="preserve">Research and Development Expenses and Related Prepaid Assets and Accrued Liabilities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costs are expensed as incurred. Research and development expenses primarily consist of internal research and development expense, including personnel-related expenses (such as salaries, benefits and noncash stock-based compensation) and other expenses, including laboratory supplies and other non-capital equipment utilized for in-house research, research and consulting expenses, software development costs, license fees and allocated expenses, including facilities costs and depreciation and amortization; external research and development expenses incurred under arrangements with vendors conducting research and development services on its behalf, such as contract research organizations (CROs), preclinical testing organizations and contract manufacturing organizations (CMOs). Costs to develop the Companys platform information technologies are recorded as research and development expense unless the criteria to be capitalized as internal-use software costs is met. Payments made prior to the receipt of goods or services to be used in research and development are capitalized, evaluated for current or long-term classification, and included in prepaid expenses and other current assets or other assets in the condensed consolidated balance sheets based on when the goods are received or the services are expected to be received or consumed, and recognized in research and development expenses when they are realized.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required to estimate expenses resulting from its obligations under contracts with vendors, service providers and clinical site agreements in connection with conducting clinical trials. The financial terms of these contracts are subject to negotiations which vary from contract to contract and may result in cash flows that do not match the periods over which materials or services are provided. The Company estimates and records accrued expenses for the related research and development activities based on the level of services performed but not yet invoiced pursuant to agreements established with its service providers, according to the progress of preclinical studies, clinical trials or related activities, and discussions with applicable personnel and service providers as to the progress or state of consummation of goods and services. </w:t>
      </w:r>
    </w:p>
    <w:p>
      <w:pPr>
        <w:pStyle w:val="TextBody"/>
        <w:bidi w:val="0"/>
        <w:spacing w:before="240" w:after="0"/>
        <w:jc w:val="left"/>
        <w:rPr>
          <w:rFonts w:ascii="Times New Roman" w:hAnsi="Times New Roman"/>
          <w:sz w:val="20"/>
        </w:rPr>
      </w:pPr>
      <w:r>
        <w:rPr>
          <w:rFonts w:ascii="Times New Roman" w:hAnsi="Times New Roman"/>
          <w:sz w:val="20"/>
        </w:rPr>
        <w:t xml:space="preserve">During the course of a clinical trial, the rate of expense recognition is adjusted if actual results differ from the Companys estimates. The Company makes judgments and estimates of accrued expenses as of each balance sheet date in its condensed consolidated financial statements based on the facts and circumstances known at that time. The clinical trial accrual is dependent in part upon the timely and accurate reporting of CROs, CMOs and other third-party vendors. Although the Company does not expect its estimates to be materially different from amounts actually incurred, its estimate may vary from the actual results. To date, the Company has not experienced material differences between its accrued expenses and actual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equity incentive plans (the Plans) as a long-term incentive for employees, directors, and non-employee service providers. The Company accounts for all stock-based awards based on their fair value on the date of the grant. For stock-based awards with service only vesting conditions, the Company recognizes expense on a straight-line basis over the requisite service period, which is generally the vesting period of the respective award. For awards with performance vesting conditions, the Company evaluates the probability of achieving the performance vesting condition at each reporting date. The Company begins to recognize expense for awards with performance- based vesting conditions using an accelerated attribution method when it is deemed probable that the performance condition will be met. For awards with both market and service vesting conditions, the Company recognizes expense using the accelerated attribution method over the derived requisite service period. Stock-based compensation is classified in the condensed consolidated statements of operations and comprehensive loss based on the function to which the related services are provided. Forfeitures are accounted for as they occur.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stock option awards with only service conditions and/or performance-based vesting conditions are estimated on the date of grant using the Black-Scholes option pricing model, which requires inputs based on certain subjective assumptions, including the expected stock price volatility, the expected term of the option, the risk-free interest rate for a period that approximates the expected term of the option, and the expected dividend yield. The fair value of stock options awards with market-based vesting conditions is estimated on the grant date using the Monte Carlo simulation model, which utilizes subjective assumptions, including volatility and the derived service periods, that determine the probability of satisfying the market condition stipulated in the award to estimate the fair value of the award. The fair value of restricted stock awards is based on the estimated fair value of the Companys common stock on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Companys common stock is determined by the Companys board of directors with the assistance of management. The fair value of common stock is determined using valuation methodologies which utilize certain assumptions. including probability weighting of events, volatility, time to an exit event, a risk-free interest rate and an assumption for a discount for lack of marketability. In determining the fair value of common stock, the methodologies used to estimate the enterprise value of the Company were performed using methodologies, approaches, and assumptions consistent with the American Institute of Certified Public Accountants Accounting and Valuation Guide, </w:t>
      </w:r>
      <w:r>
        <w:rPr>
          <w:rFonts w:ascii="Times New Roman" w:hAnsi="Times New Roman"/>
          <w:i/>
          <w:sz w:val="20"/>
        </w:rPr>
        <w:t>Valuation of Privately-Held-Company Equity Securities Issued as Compensation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Comprehensive loss includes net loss and certain changes in stockholders deficit that are excluded from net loss, such as unrealized losses on the Companys available-for-sale marketable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Recently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May 2021, the Financial Accounting Standards Board (FASB) issued Accounting Standards Update (ASU) 2021-04, </w:t>
      </w:r>
      <w:r>
        <w:rPr>
          <w:rFonts w:ascii="Times New Roman" w:hAnsi="Times New Roman"/>
          <w:i/>
          <w:sz w:val="20"/>
        </w:rPr>
        <w:t>Issuers Accounting for Certain Modifications or Exchanges of Freestanding Equity-Classified Written Call Options</w:t>
      </w:r>
      <w:r>
        <w:rPr>
          <w:rFonts w:ascii="Times New Roman" w:hAnsi="Times New Roman"/>
          <w:sz w:val="20"/>
        </w:rPr>
        <w:t xml:space="preserve"> (ASU 2021-04), which requires issuers to account for a modification or exchange of freestanding equity-classified written call options that remain equity classified after the modification or exchange based on the economic substance of the modification or exchange. The Company adopted ASU 2021-04 as of January 1, 2022. The adoption did not have a material impact on its consolidated financial statements and related disclosures.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Cash Equivalents and Marketable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amortized cost and fair value of our cash equivalents and marketable securities by major investment category: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16"/>
        <w:gridCol w:w="287"/>
        <w:gridCol w:w="140"/>
        <w:gridCol w:w="1042"/>
        <w:gridCol w:w="60"/>
        <w:gridCol w:w="287"/>
        <w:gridCol w:w="317"/>
        <w:gridCol w:w="840"/>
        <w:gridCol w:w="60"/>
        <w:gridCol w:w="287"/>
        <w:gridCol w:w="317"/>
        <w:gridCol w:w="840"/>
        <w:gridCol w:w="60"/>
        <w:gridCol w:w="287"/>
        <w:gridCol w:w="140"/>
        <w:gridCol w:w="1042"/>
        <w:gridCol w:w="66"/>
      </w:tblGrid>
      <w:tr>
        <w:trPr/>
        <w:tc>
          <w:tcPr>
            <w:tcW w:w="3316"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571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2021</w:t>
            </w:r>
          </w:p>
        </w:tc>
        <w:tc>
          <w:tcPr>
            <w:tcW w:w="66" w:type="dxa"/>
            <w:tcBorders/>
            <w:vAlign w:val="bottom"/>
          </w:tcPr>
          <w:p>
            <w:pPr>
              <w:pStyle w:val="TableContents"/>
              <w:bidi w:val="0"/>
              <w:spacing w:before="0" w:after="283"/>
              <w:jc w:val="left"/>
              <w:rPr/>
            </w:pPr>
            <w:r>
              <w:rPr/>
              <w:t> </w:t>
            </w:r>
          </w:p>
        </w:tc>
      </w:tr>
      <w:tr>
        <w:trPr/>
        <w:tc>
          <w:tcPr>
            <w:tcW w:w="331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Gain</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Loss</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w:t>
              <w:br/>
              <w:t>Fair Value</w:t>
            </w:r>
          </w:p>
        </w:tc>
        <w:tc>
          <w:tcPr>
            <w:tcW w:w="66" w:type="dxa"/>
            <w:tcBorders/>
            <w:vAlign w:val="bottom"/>
          </w:tcPr>
          <w:p>
            <w:pPr>
              <w:pStyle w:val="TableContents"/>
              <w:bidi w:val="0"/>
              <w:spacing w:before="0" w:after="283"/>
              <w:jc w:val="left"/>
              <w:rPr/>
            </w:pPr>
            <w:r>
              <w:rPr/>
              <w:t> </w:t>
            </w:r>
          </w:p>
        </w:tc>
      </w:tr>
      <w:tr>
        <w:trPr/>
        <w:tc>
          <w:tcPr>
            <w:tcW w:w="331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5719" w:type="dxa"/>
            <w:gridSpan w:val="14"/>
            <w:tcBorders/>
            <w:vAlign w:val="bottom"/>
          </w:tcPr>
          <w:p>
            <w:pPr>
              <w:pStyle w:val="TableContents"/>
              <w:bidi w:val="0"/>
              <w:spacing w:before="0" w:after="283"/>
              <w:jc w:val="center"/>
              <w:rPr>
                <w:b/>
              </w:rPr>
            </w:pPr>
            <w:r>
              <w:rPr>
                <w:b/>
              </w:rPr>
              <w:t>(in thousands)</w:t>
            </w:r>
          </w:p>
        </w:tc>
        <w:tc>
          <w:tcPr>
            <w:tcW w:w="66" w:type="dxa"/>
            <w:tcBorders/>
            <w:vAlign w:val="bottom"/>
          </w:tcPr>
          <w:p>
            <w:pPr>
              <w:pStyle w:val="TableContents"/>
              <w:bidi w:val="0"/>
              <w:spacing w:before="0" w:after="283"/>
              <w:jc w:val="left"/>
              <w:rPr/>
            </w:pPr>
            <w:r>
              <w:rPr/>
              <w:t> </w:t>
            </w:r>
          </w:p>
        </w:tc>
      </w:tr>
      <w:tr>
        <w:trPr/>
        <w:tc>
          <w:tcPr>
            <w:tcW w:w="33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579" w:type="dxa"/>
            <w:gridSpan w:val="13"/>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316"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2" w:type="dxa"/>
            <w:tcBorders/>
            <w:vAlign w:val="bottom"/>
          </w:tcPr>
          <w:p>
            <w:pPr>
              <w:pStyle w:val="TableContents"/>
              <w:bidi w:val="0"/>
              <w:spacing w:before="0" w:after="283"/>
              <w:jc w:val="right"/>
              <w:rPr/>
            </w:pPr>
            <w:r>
              <w:rPr/>
              <w:t>330,216</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w:t>
            </w:r>
          </w:p>
        </w:tc>
        <w:tc>
          <w:tcPr>
            <w:tcW w:w="8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w:t>
            </w:r>
          </w:p>
        </w:tc>
        <w:tc>
          <w:tcPr>
            <w:tcW w:w="8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2" w:type="dxa"/>
            <w:tcBorders/>
            <w:vAlign w:val="bottom"/>
          </w:tcPr>
          <w:p>
            <w:pPr>
              <w:pStyle w:val="TableContents"/>
              <w:bidi w:val="0"/>
              <w:spacing w:before="0" w:after="283"/>
              <w:jc w:val="right"/>
              <w:rPr/>
            </w:pPr>
            <w:r>
              <w:rPr/>
              <w:t>330,216</w:t>
            </w:r>
          </w:p>
        </w:tc>
        <w:tc>
          <w:tcPr>
            <w:tcW w:w="66" w:type="dxa"/>
            <w:tcBorders/>
            <w:vAlign w:val="bottom"/>
          </w:tcPr>
          <w:p>
            <w:pPr>
              <w:pStyle w:val="TableContents"/>
              <w:bidi w:val="0"/>
              <w:spacing w:before="0" w:after="283"/>
              <w:jc w:val="left"/>
              <w:rPr/>
            </w:pPr>
            <w:r>
              <w:rPr/>
              <w:t> </w:t>
            </w:r>
          </w:p>
        </w:tc>
      </w:tr>
      <w:tr>
        <w:trPr/>
        <w:tc>
          <w:tcPr>
            <w:tcW w:w="3316"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3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equivalents</w:t>
            </w:r>
          </w:p>
        </w:tc>
        <w:tc>
          <w:tcPr>
            <w:tcW w:w="2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2" w:type="dxa"/>
            <w:tcBorders/>
            <w:shd w:fill="CCEEFF" w:val="clear"/>
            <w:vAlign w:val="bottom"/>
          </w:tcPr>
          <w:p>
            <w:pPr>
              <w:pStyle w:val="TableContents"/>
              <w:bidi w:val="0"/>
              <w:spacing w:before="0" w:after="283"/>
              <w:jc w:val="right"/>
              <w:rPr/>
            </w:pPr>
            <w:r>
              <w:rPr/>
              <w:t>    </w:t>
            </w:r>
            <w:r>
              <w:rPr/>
              <w:t>330,216</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w:t>
            </w:r>
          </w:p>
        </w:tc>
        <w:tc>
          <w:tcPr>
            <w:tcW w:w="840" w:type="dxa"/>
            <w:tcBorders/>
            <w:shd w:fill="CCEEFF" w:val="clear"/>
            <w:vAlign w:val="bottom"/>
          </w:tcPr>
          <w:p>
            <w:pPr>
              <w:pStyle w:val="TableContents"/>
              <w:bidi w:val="0"/>
              <w:spacing w:before="0" w:after="283"/>
              <w:jc w:val="right"/>
              <w:rPr/>
            </w:pPr>
            <w:r>
              <w:rPr/>
              <w:t>    </w:t>
            </w: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w:t>
            </w:r>
          </w:p>
        </w:tc>
        <w:tc>
          <w:tcPr>
            <w:tcW w:w="840" w:type="dxa"/>
            <w:tcBorders/>
            <w:shd w:fill="CCEEFF" w:val="clear"/>
            <w:vAlign w:val="bottom"/>
          </w:tcPr>
          <w:p>
            <w:pPr>
              <w:pStyle w:val="TableContents"/>
              <w:bidi w:val="0"/>
              <w:spacing w:before="0" w:after="283"/>
              <w:jc w:val="right"/>
              <w:rPr/>
            </w:pPr>
            <w:r>
              <w:rPr/>
              <w:t>    </w:t>
            </w: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2" w:type="dxa"/>
            <w:tcBorders/>
            <w:shd w:fill="CCEEFF" w:val="clear"/>
            <w:vAlign w:val="bottom"/>
          </w:tcPr>
          <w:p>
            <w:pPr>
              <w:pStyle w:val="TableContents"/>
              <w:bidi w:val="0"/>
              <w:spacing w:before="0" w:after="283"/>
              <w:jc w:val="right"/>
              <w:rPr/>
            </w:pPr>
            <w:r>
              <w:rPr/>
              <w:t>    </w:t>
            </w:r>
            <w:r>
              <w:rPr/>
              <w:t>330,216</w:t>
            </w:r>
          </w:p>
        </w:tc>
        <w:tc>
          <w:tcPr>
            <w:tcW w:w="66" w:type="dxa"/>
            <w:tcBorders/>
            <w:shd w:fill="CCEEFF" w:val="clear"/>
            <w:vAlign w:val="bottom"/>
          </w:tcPr>
          <w:p>
            <w:pPr>
              <w:pStyle w:val="TableContents"/>
              <w:bidi w:val="0"/>
              <w:spacing w:before="0" w:after="283"/>
              <w:jc w:val="left"/>
              <w:rPr/>
            </w:pPr>
            <w:r>
              <w:rPr/>
              <w:t> </w:t>
            </w:r>
          </w:p>
        </w:tc>
      </w:tr>
      <w:tr>
        <w:trPr/>
        <w:tc>
          <w:tcPr>
            <w:tcW w:w="3316"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double" w:sz="6" w:space="1" w:color="000000"/>
              </w:pBdr>
              <w:bidi w:val="0"/>
              <w:spacing w:before="0" w:after="0"/>
              <w:jc w:val="left"/>
              <w:rPr/>
            </w:pPr>
            <w:r>
              <w:rPr/>
              <w:t> </w:t>
            </w:r>
          </w:p>
        </w:tc>
        <w:tc>
          <w:tcPr>
            <w:tcW w:w="8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double" w:sz="6" w:space="1" w:color="000000"/>
              </w:pBdr>
              <w:bidi w:val="0"/>
              <w:spacing w:before="0" w:after="0"/>
              <w:jc w:val="left"/>
              <w:rPr/>
            </w:pPr>
            <w:r>
              <w:rPr/>
              <w:t> </w:t>
            </w:r>
          </w:p>
        </w:tc>
        <w:tc>
          <w:tcPr>
            <w:tcW w:w="8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62"/>
        <w:gridCol w:w="278"/>
        <w:gridCol w:w="140"/>
        <w:gridCol w:w="1064"/>
        <w:gridCol w:w="60"/>
        <w:gridCol w:w="278"/>
        <w:gridCol w:w="322"/>
        <w:gridCol w:w="856"/>
        <w:gridCol w:w="60"/>
        <w:gridCol w:w="278"/>
        <w:gridCol w:w="189"/>
        <w:gridCol w:w="989"/>
        <w:gridCol w:w="163"/>
        <w:gridCol w:w="278"/>
        <w:gridCol w:w="140"/>
        <w:gridCol w:w="1064"/>
        <w:gridCol w:w="67"/>
      </w:tblGrid>
      <w:tr>
        <w:trPr/>
        <w:tc>
          <w:tcPr>
            <w:tcW w:w="3162"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162"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588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March 31, 2022</w:t>
            </w:r>
          </w:p>
        </w:tc>
        <w:tc>
          <w:tcPr>
            <w:tcW w:w="67" w:type="dxa"/>
            <w:tcBorders/>
            <w:vAlign w:val="bottom"/>
          </w:tcPr>
          <w:p>
            <w:pPr>
              <w:pStyle w:val="TableContents"/>
              <w:bidi w:val="0"/>
              <w:spacing w:before="0" w:after="283"/>
              <w:jc w:val="left"/>
              <w:rPr/>
            </w:pPr>
            <w:r>
              <w:rPr/>
              <w:t> </w:t>
            </w:r>
          </w:p>
        </w:tc>
      </w:tr>
      <w:tr>
        <w:trPr/>
        <w:tc>
          <w:tcPr>
            <w:tcW w:w="3162"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1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Gain</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1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Loss</w:t>
            </w:r>
          </w:p>
        </w:tc>
        <w:tc>
          <w:tcPr>
            <w:tcW w:w="163"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w:t>
              <w:br/>
              <w:t>Fair Value</w:t>
            </w:r>
          </w:p>
        </w:tc>
        <w:tc>
          <w:tcPr>
            <w:tcW w:w="67" w:type="dxa"/>
            <w:tcBorders/>
            <w:vAlign w:val="bottom"/>
          </w:tcPr>
          <w:p>
            <w:pPr>
              <w:pStyle w:val="TableContents"/>
              <w:bidi w:val="0"/>
              <w:spacing w:before="0" w:after="283"/>
              <w:jc w:val="left"/>
              <w:rPr/>
            </w:pPr>
            <w:r>
              <w:rPr/>
              <w:t> </w:t>
            </w:r>
          </w:p>
        </w:tc>
      </w:tr>
      <w:tr>
        <w:trPr/>
        <w:tc>
          <w:tcPr>
            <w:tcW w:w="3162"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5881" w:type="dxa"/>
            <w:gridSpan w:val="14"/>
            <w:tcBorders/>
            <w:vAlign w:val="bottom"/>
          </w:tcPr>
          <w:p>
            <w:pPr>
              <w:pStyle w:val="TableContents"/>
              <w:bidi w:val="0"/>
              <w:spacing w:before="0" w:after="283"/>
              <w:jc w:val="center"/>
              <w:rPr>
                <w:b/>
              </w:rPr>
            </w:pPr>
            <w:r>
              <w:rPr>
                <w:b/>
              </w:rPr>
              <w:t>(in thousands)</w:t>
            </w:r>
          </w:p>
        </w:tc>
        <w:tc>
          <w:tcPr>
            <w:tcW w:w="67" w:type="dxa"/>
            <w:tcBorders/>
            <w:vAlign w:val="bottom"/>
          </w:tcPr>
          <w:p>
            <w:pPr>
              <w:pStyle w:val="TableContents"/>
              <w:bidi w:val="0"/>
              <w:spacing w:before="0" w:after="283"/>
              <w:jc w:val="left"/>
              <w:rPr/>
            </w:pPr>
            <w:r>
              <w:rPr/>
              <w:t> </w:t>
            </w:r>
          </w:p>
        </w:tc>
      </w:tr>
      <w:tr>
        <w:trPr/>
        <w:tc>
          <w:tcPr>
            <w:tcW w:w="3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41" w:type="dxa"/>
            <w:gridSpan w:val="13"/>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162"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230,513</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 </w:t>
            </w:r>
            <w:r>
              <w:rPr/>
              <w:t>230,513</w:t>
            </w:r>
          </w:p>
        </w:tc>
        <w:tc>
          <w:tcPr>
            <w:tcW w:w="67" w:type="dxa"/>
            <w:tcBorders/>
            <w:vAlign w:val="bottom"/>
          </w:tcPr>
          <w:p>
            <w:pPr>
              <w:pStyle w:val="TableContents"/>
              <w:bidi w:val="0"/>
              <w:spacing w:before="0" w:after="283"/>
              <w:jc w:val="left"/>
              <w:rPr/>
            </w:pPr>
            <w:r>
              <w:rPr/>
              <w:t> </w:t>
            </w:r>
          </w:p>
        </w:tc>
      </w:tr>
      <w:tr>
        <w:trPr/>
        <w:tc>
          <w:tcPr>
            <w:tcW w:w="3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paper</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26,964</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26,964</w:t>
            </w:r>
          </w:p>
        </w:tc>
        <w:tc>
          <w:tcPr>
            <w:tcW w:w="67" w:type="dxa"/>
            <w:tcBorders/>
            <w:shd w:fill="CCEEFF" w:val="clear"/>
            <w:vAlign w:val="bottom"/>
          </w:tcPr>
          <w:p>
            <w:pPr>
              <w:pStyle w:val="TableContents"/>
              <w:bidi w:val="0"/>
              <w:spacing w:before="0" w:after="283"/>
              <w:jc w:val="left"/>
              <w:rPr/>
            </w:pPr>
            <w:r>
              <w:rPr/>
              <w:t> </w:t>
            </w:r>
          </w:p>
        </w:tc>
      </w:tr>
      <w:tr>
        <w:trPr/>
        <w:tc>
          <w:tcPr>
            <w:tcW w:w="3162"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162" w:type="dxa"/>
            <w:tcBorders/>
          </w:tcPr>
          <w:p>
            <w:pPr>
              <w:pStyle w:val="TableContents"/>
              <w:bidi w:val="0"/>
              <w:spacing w:before="0" w:after="0"/>
              <w:jc w:val="left"/>
              <w:rPr>
                <w:rFonts w:ascii="Times New Roman" w:hAnsi="Times New Roman"/>
                <w:sz w:val="20"/>
              </w:rPr>
            </w:pPr>
            <w:r>
              <w:rPr>
                <w:rFonts w:ascii="Times New Roman" w:hAnsi="Times New Roman"/>
                <w:sz w:val="20"/>
              </w:rPr>
              <w:t>Total cash equivalents</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257,477</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257,477</w:t>
            </w:r>
          </w:p>
        </w:tc>
        <w:tc>
          <w:tcPr>
            <w:tcW w:w="67" w:type="dxa"/>
            <w:tcBorders/>
            <w:vAlign w:val="bottom"/>
          </w:tcPr>
          <w:p>
            <w:pPr>
              <w:pStyle w:val="TableContents"/>
              <w:bidi w:val="0"/>
              <w:spacing w:before="0" w:after="283"/>
              <w:jc w:val="left"/>
              <w:rPr/>
            </w:pPr>
            <w:r>
              <w:rPr/>
              <w:t> </w:t>
            </w:r>
          </w:p>
        </w:tc>
      </w:tr>
      <w:tr>
        <w:trPr/>
        <w:tc>
          <w:tcPr>
            <w:tcW w:w="3162"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162" w:type="dxa"/>
            <w:tcBorders/>
          </w:tcPr>
          <w:p>
            <w:pPr>
              <w:pStyle w:val="TableContents"/>
              <w:bidi w:val="0"/>
              <w:spacing w:before="0" w:after="0"/>
              <w:jc w:val="left"/>
              <w:rPr>
                <w:rFonts w:ascii="Times New Roman" w:hAnsi="Times New Roman"/>
                <w:sz w:val="20"/>
              </w:rPr>
            </w:pPr>
            <w:r>
              <w:rPr>
                <w:rFonts w:ascii="Times New Roman" w:hAnsi="Times New Roman"/>
                <w:sz w:val="20"/>
              </w:rPr>
              <w:t>U.S. government and agency securities</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72,429</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(178</w:t>
            </w:r>
          </w:p>
        </w:tc>
        <w:tc>
          <w:tcPr>
            <w:tcW w:w="163"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72,251</w:t>
            </w:r>
          </w:p>
        </w:tc>
        <w:tc>
          <w:tcPr>
            <w:tcW w:w="67" w:type="dxa"/>
            <w:tcBorders/>
            <w:vAlign w:val="bottom"/>
          </w:tcPr>
          <w:p>
            <w:pPr>
              <w:pStyle w:val="TableContents"/>
              <w:bidi w:val="0"/>
              <w:spacing w:before="0" w:after="283"/>
              <w:jc w:val="left"/>
              <w:rPr/>
            </w:pPr>
            <w:r>
              <w:rPr/>
              <w:t> </w:t>
            </w:r>
          </w:p>
        </w:tc>
      </w:tr>
      <w:tr>
        <w:trPr/>
        <w:tc>
          <w:tcPr>
            <w:tcW w:w="3162"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marketable securities</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72,429</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(178</w:t>
            </w:r>
          </w:p>
        </w:tc>
        <w:tc>
          <w:tcPr>
            <w:tcW w:w="163"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72,251</w:t>
            </w:r>
          </w:p>
        </w:tc>
        <w:tc>
          <w:tcPr>
            <w:tcW w:w="67" w:type="dxa"/>
            <w:tcBorders/>
            <w:shd w:fill="CCEEFF" w:val="clear"/>
            <w:vAlign w:val="bottom"/>
          </w:tcPr>
          <w:p>
            <w:pPr>
              <w:pStyle w:val="TableContents"/>
              <w:bidi w:val="0"/>
              <w:spacing w:before="0" w:after="283"/>
              <w:jc w:val="left"/>
              <w:rPr/>
            </w:pPr>
            <w:r>
              <w:rPr/>
              <w:t> </w:t>
            </w:r>
          </w:p>
        </w:tc>
      </w:tr>
      <w:tr>
        <w:trPr/>
        <w:tc>
          <w:tcPr>
            <w:tcW w:w="3162"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162" w:type="dxa"/>
            <w:tcBorders/>
          </w:tcPr>
          <w:p>
            <w:pPr>
              <w:pStyle w:val="TableContents"/>
              <w:bidi w:val="0"/>
              <w:spacing w:before="0" w:after="0"/>
              <w:jc w:val="left"/>
              <w:rPr>
                <w:rFonts w:ascii="Times New Roman" w:hAnsi="Times New Roman"/>
                <w:sz w:val="20"/>
              </w:rPr>
            </w:pPr>
            <w:r>
              <w:rPr>
                <w:rFonts w:ascii="Times New Roman" w:hAnsi="Times New Roman"/>
                <w:sz w:val="20"/>
              </w:rPr>
              <w:t>Total cash equivalents and marketable securities</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    </w:t>
            </w:r>
            <w:r>
              <w:rPr/>
              <w:t>329,906</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    </w:t>
            </w:r>
            <w:r>
              <w:rPr/>
              <w:t>  </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    </w:t>
            </w:r>
            <w:r>
              <w:rPr/>
              <w:t>(178</w:t>
            </w:r>
          </w:p>
        </w:tc>
        <w:tc>
          <w:tcPr>
            <w:tcW w:w="163"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    </w:t>
            </w:r>
            <w:r>
              <w:rPr/>
              <w:t>329,728</w:t>
            </w:r>
          </w:p>
        </w:tc>
        <w:tc>
          <w:tcPr>
            <w:tcW w:w="67" w:type="dxa"/>
            <w:tcBorders/>
            <w:vAlign w:val="bottom"/>
          </w:tcPr>
          <w:p>
            <w:pPr>
              <w:pStyle w:val="TableContents"/>
              <w:bidi w:val="0"/>
              <w:spacing w:before="0" w:after="283"/>
              <w:jc w:val="left"/>
              <w:rPr/>
            </w:pPr>
            <w:r>
              <w:rPr/>
              <w:t> </w:t>
            </w:r>
          </w:p>
        </w:tc>
      </w:tr>
      <w:tr>
        <w:trPr/>
        <w:tc>
          <w:tcPr>
            <w:tcW w:w="3162"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Companys marketable securities by contractual maturity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38"/>
        <w:gridCol w:w="413"/>
        <w:gridCol w:w="143"/>
        <w:gridCol w:w="1082"/>
        <w:gridCol w:w="63"/>
      </w:tblGrid>
      <w:tr>
        <w:trPr/>
        <w:tc>
          <w:tcPr>
            <w:tcW w:w="5238"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238"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2022</w:t>
            </w:r>
          </w:p>
        </w:tc>
        <w:tc>
          <w:tcPr>
            <w:tcW w:w="63" w:type="dxa"/>
            <w:tcBorders/>
            <w:vAlign w:val="bottom"/>
          </w:tcPr>
          <w:p>
            <w:pPr>
              <w:pStyle w:val="TableContents"/>
              <w:bidi w:val="0"/>
              <w:spacing w:before="0" w:after="283"/>
              <w:jc w:val="left"/>
              <w:rPr/>
            </w:pPr>
            <w:r>
              <w:rPr/>
              <w:t> </w:t>
            </w:r>
          </w:p>
        </w:tc>
      </w:tr>
      <w:tr>
        <w:trPr/>
        <w:tc>
          <w:tcPr>
            <w:tcW w:w="5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Within one year</w:t>
            </w:r>
          </w:p>
        </w:tc>
        <w:tc>
          <w:tcPr>
            <w:tcW w:w="41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82" w:type="dxa"/>
            <w:tcBorders/>
            <w:shd w:fill="CCEEFF" w:val="clear"/>
            <w:vAlign w:val="bottom"/>
          </w:tcPr>
          <w:p>
            <w:pPr>
              <w:pStyle w:val="TableContents"/>
              <w:bidi w:val="0"/>
              <w:spacing w:before="0" w:after="283"/>
              <w:jc w:val="right"/>
              <w:rPr/>
            </w:pPr>
            <w:r>
              <w:rPr/>
              <w:t>58,444</w:t>
            </w:r>
          </w:p>
        </w:tc>
        <w:tc>
          <w:tcPr>
            <w:tcW w:w="63" w:type="dxa"/>
            <w:tcBorders/>
            <w:shd w:fill="CCEEFF" w:val="clear"/>
            <w:vAlign w:val="bottom"/>
          </w:tcPr>
          <w:p>
            <w:pPr>
              <w:pStyle w:val="TableContents"/>
              <w:bidi w:val="0"/>
              <w:spacing w:before="0" w:after="283"/>
              <w:jc w:val="left"/>
              <w:rPr/>
            </w:pPr>
            <w:r>
              <w:rPr/>
              <w:t> </w:t>
            </w:r>
          </w:p>
        </w:tc>
      </w:tr>
      <w:tr>
        <w:trPr/>
        <w:tc>
          <w:tcPr>
            <w:tcW w:w="5238" w:type="dxa"/>
            <w:tcBorders/>
          </w:tcPr>
          <w:p>
            <w:pPr>
              <w:pStyle w:val="TableContents"/>
              <w:bidi w:val="0"/>
              <w:spacing w:before="0" w:after="0"/>
              <w:jc w:val="left"/>
              <w:rPr>
                <w:rFonts w:ascii="Times New Roman" w:hAnsi="Times New Roman"/>
                <w:sz w:val="20"/>
              </w:rPr>
            </w:pPr>
            <w:r>
              <w:rPr>
                <w:rFonts w:ascii="Times New Roman" w:hAnsi="Times New Roman"/>
                <w:sz w:val="20"/>
              </w:rPr>
              <w:t>After one year through two years</w:t>
            </w:r>
          </w:p>
        </w:tc>
        <w:tc>
          <w:tcPr>
            <w:tcW w:w="41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13,807</w:t>
            </w:r>
          </w:p>
        </w:tc>
        <w:tc>
          <w:tcPr>
            <w:tcW w:w="63" w:type="dxa"/>
            <w:tcBorders/>
            <w:vAlign w:val="bottom"/>
          </w:tcPr>
          <w:p>
            <w:pPr>
              <w:pStyle w:val="TableContents"/>
              <w:bidi w:val="0"/>
              <w:spacing w:before="0" w:after="283"/>
              <w:jc w:val="left"/>
              <w:rPr/>
            </w:pPr>
            <w:r>
              <w:rPr/>
              <w:t> </w:t>
            </w:r>
          </w:p>
        </w:tc>
      </w:tr>
      <w:tr>
        <w:trPr/>
        <w:tc>
          <w:tcPr>
            <w:tcW w:w="5238"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equivalents and marketable securities</w:t>
            </w:r>
          </w:p>
        </w:tc>
        <w:tc>
          <w:tcPr>
            <w:tcW w:w="41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82" w:type="dxa"/>
            <w:tcBorders/>
            <w:shd w:fill="CCEEFF" w:val="clear"/>
            <w:vAlign w:val="bottom"/>
          </w:tcPr>
          <w:p>
            <w:pPr>
              <w:pStyle w:val="TableContents"/>
              <w:bidi w:val="0"/>
              <w:spacing w:before="0" w:after="283"/>
              <w:jc w:val="right"/>
              <w:rPr/>
            </w:pPr>
            <w:r>
              <w:rPr/>
              <w:t>    </w:t>
            </w:r>
            <w:r>
              <w:rPr/>
              <w:t>72,251</w:t>
            </w:r>
          </w:p>
        </w:tc>
        <w:tc>
          <w:tcPr>
            <w:tcW w:w="63" w:type="dxa"/>
            <w:tcBorders/>
            <w:shd w:fill="CCEEFF" w:val="clear"/>
            <w:vAlign w:val="bottom"/>
          </w:tcPr>
          <w:p>
            <w:pPr>
              <w:pStyle w:val="TableContents"/>
              <w:bidi w:val="0"/>
              <w:spacing w:before="0" w:after="283"/>
              <w:jc w:val="left"/>
              <w:rPr/>
            </w:pPr>
            <w:r>
              <w:rPr/>
              <w:t> </w:t>
            </w:r>
          </w:p>
        </w:tc>
      </w:tr>
      <w:tr>
        <w:trPr/>
        <w:tc>
          <w:tcPr>
            <w:tcW w:w="5238"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08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March 31, 2022, the Company has not realized gains or losses on its marketable securities, including any impairment charges on its securities related to expected credit losses. As of March 31, 2021, the aggregate difference between the amortized cost and fair value of each security in an unrealized loss position was de minimis. Since any provision for expected credit losses for a security held is limited to the amount the fair value is less than its amortized cost, no allowance for expected credit loss was deemed necessary at March 31, 2021. See Note 4 for further information regarding the fair value of the Companys financial instruments.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carrying amounts of the Companys financial instruments, including prepaid expenses and other current assets, accounts payable, accrued liabilities and the current portion of operating lease liabilities approximate fair value due to the short-term nature of those instruments.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Companys assets and liabilities measured at fair value on a recurring basis by level within the valuation hierarchy: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79"/>
        <w:gridCol w:w="309"/>
        <w:gridCol w:w="165"/>
        <w:gridCol w:w="1056"/>
        <w:gridCol w:w="60"/>
        <w:gridCol w:w="309"/>
        <w:gridCol w:w="264"/>
        <w:gridCol w:w="552"/>
        <w:gridCol w:w="60"/>
        <w:gridCol w:w="309"/>
        <w:gridCol w:w="198"/>
        <w:gridCol w:w="671"/>
        <w:gridCol w:w="60"/>
        <w:gridCol w:w="309"/>
        <w:gridCol w:w="165"/>
        <w:gridCol w:w="1055"/>
        <w:gridCol w:w="67"/>
      </w:tblGrid>
      <w:tr>
        <w:trPr/>
        <w:tc>
          <w:tcPr>
            <w:tcW w:w="3779"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779"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523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2021</w:t>
            </w:r>
          </w:p>
        </w:tc>
        <w:tc>
          <w:tcPr>
            <w:tcW w:w="67" w:type="dxa"/>
            <w:tcBorders/>
            <w:vAlign w:val="bottom"/>
          </w:tcPr>
          <w:p>
            <w:pPr>
              <w:pStyle w:val="TableContents"/>
              <w:bidi w:val="0"/>
              <w:spacing w:before="0" w:after="283"/>
              <w:jc w:val="left"/>
              <w:rPr/>
            </w:pPr>
            <w:r>
              <w:rPr/>
              <w:t> </w:t>
            </w:r>
          </w:p>
        </w:tc>
      </w:tr>
      <w:tr>
        <w:trPr/>
        <w:tc>
          <w:tcPr>
            <w:tcW w:w="3779"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3779"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5233" w:type="dxa"/>
            <w:gridSpan w:val="14"/>
            <w:tcBorders/>
            <w:vAlign w:val="bottom"/>
          </w:tcPr>
          <w:p>
            <w:pPr>
              <w:pStyle w:val="TableContents"/>
              <w:bidi w:val="0"/>
              <w:spacing w:before="0" w:after="283"/>
              <w:jc w:val="center"/>
              <w:rPr>
                <w:b/>
              </w:rPr>
            </w:pPr>
            <w:r>
              <w:rPr>
                <w:b/>
              </w:rPr>
              <w:t>(in thousands)</w:t>
            </w:r>
          </w:p>
        </w:tc>
        <w:tc>
          <w:tcPr>
            <w:tcW w:w="67" w:type="dxa"/>
            <w:tcBorders/>
            <w:vAlign w:val="bottom"/>
          </w:tcPr>
          <w:p>
            <w:pPr>
              <w:pStyle w:val="TableContents"/>
              <w:bidi w:val="0"/>
              <w:spacing w:before="0" w:after="283"/>
              <w:jc w:val="left"/>
              <w:rPr/>
            </w:pPr>
            <w:r>
              <w:rPr/>
              <w:t> </w:t>
            </w:r>
          </w:p>
        </w:tc>
      </w:tr>
      <w:tr>
        <w:trPr/>
        <w:tc>
          <w:tcPr>
            <w:tcW w:w="37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0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5068" w:type="dxa"/>
            <w:gridSpan w:val="13"/>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779"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0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5068" w:type="dxa"/>
            <w:gridSpan w:val="13"/>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0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056" w:type="dxa"/>
            <w:tcBorders/>
            <w:shd w:fill="CCEEFF" w:val="clear"/>
            <w:vAlign w:val="bottom"/>
          </w:tcPr>
          <w:p>
            <w:pPr>
              <w:pStyle w:val="TableContents"/>
              <w:bidi w:val="0"/>
              <w:spacing w:before="0" w:after="283"/>
              <w:jc w:val="right"/>
              <w:rPr/>
            </w:pPr>
            <w:r>
              <w:rPr/>
              <w:t>  </w:t>
            </w:r>
            <w:r>
              <w:rPr/>
              <w:t>330,216</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552" w:type="dxa"/>
            <w:tcBorders/>
            <w:shd w:fill="CCEEFF" w:val="clear"/>
            <w:vAlign w:val="bottom"/>
          </w:tcPr>
          <w:p>
            <w:pPr>
              <w:pStyle w:val="TableContents"/>
              <w:bidi w:val="0"/>
              <w:spacing w:before="0" w:after="283"/>
              <w:jc w:val="right"/>
              <w:rPr/>
            </w:pPr>
            <w:r>
              <w:rPr/>
              <w:t>  </w:t>
            </w: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671" w:type="dxa"/>
            <w:tcBorders/>
            <w:shd w:fill="CCEEFF" w:val="clear"/>
            <w:vAlign w:val="bottom"/>
          </w:tcPr>
          <w:p>
            <w:pPr>
              <w:pStyle w:val="TableContents"/>
              <w:bidi w:val="0"/>
              <w:spacing w:before="0" w:after="283"/>
              <w:jc w:val="right"/>
              <w:rPr/>
            </w:pPr>
            <w:r>
              <w:rPr/>
              <w:t>  </w:t>
            </w: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055" w:type="dxa"/>
            <w:tcBorders/>
            <w:shd w:fill="CCEEFF" w:val="clear"/>
            <w:vAlign w:val="bottom"/>
          </w:tcPr>
          <w:p>
            <w:pPr>
              <w:pStyle w:val="TableContents"/>
              <w:bidi w:val="0"/>
              <w:spacing w:before="0" w:after="283"/>
              <w:jc w:val="right"/>
              <w:rPr/>
            </w:pPr>
            <w:r>
              <w:rPr/>
              <w:t>  </w:t>
            </w:r>
            <w:r>
              <w:rPr/>
              <w:t>330,216</w:t>
            </w:r>
          </w:p>
        </w:tc>
        <w:tc>
          <w:tcPr>
            <w:tcW w:w="67" w:type="dxa"/>
            <w:tcBorders/>
            <w:shd w:fill="CCEEFF" w:val="clear"/>
            <w:vAlign w:val="bottom"/>
          </w:tcPr>
          <w:p>
            <w:pPr>
              <w:pStyle w:val="TableContents"/>
              <w:bidi w:val="0"/>
              <w:spacing w:before="0" w:after="283"/>
              <w:jc w:val="left"/>
              <w:rPr/>
            </w:pPr>
            <w:r>
              <w:rPr/>
              <w:t> </w:t>
            </w:r>
          </w:p>
        </w:tc>
      </w:tr>
      <w:tr>
        <w:trPr/>
        <w:tc>
          <w:tcPr>
            <w:tcW w:w="3779"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0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6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779"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 measured at fair value</w:t>
            </w:r>
          </w:p>
        </w:tc>
        <w:tc>
          <w:tcPr>
            <w:tcW w:w="30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056" w:type="dxa"/>
            <w:tcBorders/>
            <w:vAlign w:val="bottom"/>
          </w:tcPr>
          <w:p>
            <w:pPr>
              <w:pStyle w:val="TableContents"/>
              <w:bidi w:val="0"/>
              <w:spacing w:before="0" w:after="283"/>
              <w:jc w:val="right"/>
              <w:rPr/>
            </w:pPr>
            <w:r>
              <w:rPr/>
              <w:t>330,216</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5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6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055" w:type="dxa"/>
            <w:tcBorders/>
            <w:vAlign w:val="bottom"/>
          </w:tcPr>
          <w:p>
            <w:pPr>
              <w:pStyle w:val="TableContents"/>
              <w:bidi w:val="0"/>
              <w:spacing w:before="0" w:after="283"/>
              <w:jc w:val="right"/>
              <w:rPr/>
            </w:pPr>
            <w:r>
              <w:rPr/>
              <w:t>330,216</w:t>
            </w:r>
          </w:p>
        </w:tc>
        <w:tc>
          <w:tcPr>
            <w:tcW w:w="67" w:type="dxa"/>
            <w:tcBorders/>
            <w:vAlign w:val="bottom"/>
          </w:tcPr>
          <w:p>
            <w:pPr>
              <w:pStyle w:val="TableContents"/>
              <w:bidi w:val="0"/>
              <w:spacing w:before="0" w:after="283"/>
              <w:jc w:val="left"/>
              <w:rPr/>
            </w:pPr>
            <w:r>
              <w:rPr/>
              <w:t> </w:t>
            </w:r>
          </w:p>
        </w:tc>
      </w:tr>
      <w:tr>
        <w:trPr/>
        <w:tc>
          <w:tcPr>
            <w:tcW w:w="3779"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0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5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6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7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30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0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5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6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779"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preferred stock warrant liability</w:t>
            </w:r>
          </w:p>
        </w:tc>
        <w:tc>
          <w:tcPr>
            <w:tcW w:w="30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0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5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671" w:type="dxa"/>
            <w:tcBorders/>
            <w:vAlign w:val="bottom"/>
          </w:tcPr>
          <w:p>
            <w:pPr>
              <w:pStyle w:val="TableContents"/>
              <w:bidi w:val="0"/>
              <w:spacing w:before="0" w:after="283"/>
              <w:jc w:val="right"/>
              <w:rPr/>
            </w:pPr>
            <w:r>
              <w:rPr/>
              <w:t> </w:t>
            </w:r>
            <w:r>
              <w:rPr/>
              <w:t>559</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055" w:type="dxa"/>
            <w:tcBorders/>
            <w:vAlign w:val="bottom"/>
          </w:tcPr>
          <w:p>
            <w:pPr>
              <w:pStyle w:val="TableContents"/>
              <w:bidi w:val="0"/>
              <w:spacing w:before="0" w:after="283"/>
              <w:jc w:val="right"/>
              <w:rPr/>
            </w:pPr>
            <w:r>
              <w:rPr/>
              <w:t>559</w:t>
            </w:r>
          </w:p>
        </w:tc>
        <w:tc>
          <w:tcPr>
            <w:tcW w:w="67" w:type="dxa"/>
            <w:tcBorders/>
            <w:vAlign w:val="bottom"/>
          </w:tcPr>
          <w:p>
            <w:pPr>
              <w:pStyle w:val="TableContents"/>
              <w:bidi w:val="0"/>
              <w:spacing w:before="0" w:after="283"/>
              <w:jc w:val="left"/>
              <w:rPr/>
            </w:pPr>
            <w:r>
              <w:rPr/>
              <w:t> </w:t>
            </w:r>
          </w:p>
        </w:tc>
      </w:tr>
      <w:tr>
        <w:trPr/>
        <w:tc>
          <w:tcPr>
            <w:tcW w:w="3779"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0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6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measured at fair value</w:t>
            </w:r>
          </w:p>
        </w:tc>
        <w:tc>
          <w:tcPr>
            <w:tcW w:w="30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0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5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671" w:type="dxa"/>
            <w:tcBorders/>
            <w:shd w:fill="CCEEFF" w:val="clear"/>
            <w:vAlign w:val="bottom"/>
          </w:tcPr>
          <w:p>
            <w:pPr>
              <w:pStyle w:val="TableContents"/>
              <w:bidi w:val="0"/>
              <w:spacing w:before="0" w:after="283"/>
              <w:jc w:val="right"/>
              <w:rPr/>
            </w:pPr>
            <w:r>
              <w:rPr/>
              <w:t>559</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055" w:type="dxa"/>
            <w:tcBorders/>
            <w:shd w:fill="CCEEFF" w:val="clear"/>
            <w:vAlign w:val="bottom"/>
          </w:tcPr>
          <w:p>
            <w:pPr>
              <w:pStyle w:val="TableContents"/>
              <w:bidi w:val="0"/>
              <w:spacing w:before="0" w:after="283"/>
              <w:jc w:val="right"/>
              <w:rPr/>
            </w:pPr>
            <w:r>
              <w:rPr/>
              <w:t>559</w:t>
            </w:r>
          </w:p>
        </w:tc>
        <w:tc>
          <w:tcPr>
            <w:tcW w:w="67" w:type="dxa"/>
            <w:tcBorders/>
            <w:shd w:fill="CCEEFF" w:val="clear"/>
            <w:vAlign w:val="bottom"/>
          </w:tcPr>
          <w:p>
            <w:pPr>
              <w:pStyle w:val="TableContents"/>
              <w:bidi w:val="0"/>
              <w:spacing w:before="0" w:after="283"/>
              <w:jc w:val="left"/>
              <w:rPr/>
            </w:pPr>
            <w:r>
              <w:rPr/>
              <w:t> </w:t>
            </w:r>
          </w:p>
        </w:tc>
      </w:tr>
      <w:tr>
        <w:trPr/>
        <w:tc>
          <w:tcPr>
            <w:tcW w:w="3779"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0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5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6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822"/>
        <w:gridCol w:w="250"/>
        <w:gridCol w:w="157"/>
        <w:gridCol w:w="1055"/>
        <w:gridCol w:w="60"/>
        <w:gridCol w:w="250"/>
        <w:gridCol w:w="157"/>
        <w:gridCol w:w="913"/>
        <w:gridCol w:w="60"/>
        <w:gridCol w:w="250"/>
        <w:gridCol w:w="203"/>
        <w:gridCol w:w="622"/>
        <w:gridCol w:w="60"/>
        <w:gridCol w:w="250"/>
        <w:gridCol w:w="157"/>
        <w:gridCol w:w="1055"/>
        <w:gridCol w:w="67"/>
      </w:tblGrid>
      <w:tr>
        <w:trPr/>
        <w:tc>
          <w:tcPr>
            <w:tcW w:w="3822"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82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524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March 31, 2022</w:t>
            </w:r>
          </w:p>
        </w:tc>
        <w:tc>
          <w:tcPr>
            <w:tcW w:w="67" w:type="dxa"/>
            <w:tcBorders/>
            <w:vAlign w:val="bottom"/>
          </w:tcPr>
          <w:p>
            <w:pPr>
              <w:pStyle w:val="TableContents"/>
              <w:bidi w:val="0"/>
              <w:spacing w:before="0" w:after="283"/>
              <w:jc w:val="left"/>
              <w:rPr/>
            </w:pPr>
            <w:r>
              <w:rPr/>
              <w:t> </w:t>
            </w:r>
          </w:p>
        </w:tc>
      </w:tr>
      <w:tr>
        <w:trPr/>
        <w:tc>
          <w:tcPr>
            <w:tcW w:w="382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382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5249" w:type="dxa"/>
            <w:gridSpan w:val="14"/>
            <w:tcBorders/>
            <w:vAlign w:val="bottom"/>
          </w:tcPr>
          <w:p>
            <w:pPr>
              <w:pStyle w:val="TableContents"/>
              <w:bidi w:val="0"/>
              <w:spacing w:before="0" w:after="283"/>
              <w:jc w:val="center"/>
              <w:rPr>
                <w:b/>
              </w:rPr>
            </w:pPr>
            <w:r>
              <w:rPr>
                <w:b/>
              </w:rPr>
              <w:t>(in thousands)</w:t>
            </w:r>
          </w:p>
        </w:tc>
        <w:tc>
          <w:tcPr>
            <w:tcW w:w="67" w:type="dxa"/>
            <w:tcBorders/>
            <w:vAlign w:val="bottom"/>
          </w:tcPr>
          <w:p>
            <w:pPr>
              <w:pStyle w:val="TableContents"/>
              <w:bidi w:val="0"/>
              <w:spacing w:before="0" w:after="283"/>
              <w:jc w:val="left"/>
              <w:rPr/>
            </w:pPr>
            <w:r>
              <w:rPr/>
              <w:t> </w:t>
            </w:r>
          </w:p>
        </w:tc>
      </w:tr>
      <w:tr>
        <w:trPr/>
        <w:tc>
          <w:tcPr>
            <w:tcW w:w="38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5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5092" w:type="dxa"/>
            <w:gridSpan w:val="13"/>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822"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sz w:val="4"/>
                <w:szCs w:val="4"/>
              </w:rPr>
            </w:pPr>
            <w:r>
              <w:rPr>
                <w:sz w:val="4"/>
                <w:szCs w:val="4"/>
              </w:rPr>
            </w:r>
          </w:p>
        </w:tc>
        <w:tc>
          <w:tcPr>
            <w:tcW w:w="5092" w:type="dxa"/>
            <w:gridSpan w:val="13"/>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25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055" w:type="dxa"/>
            <w:tcBorders/>
            <w:shd w:fill="CCEEFF" w:val="clear"/>
            <w:vAlign w:val="bottom"/>
          </w:tcPr>
          <w:p>
            <w:pPr>
              <w:pStyle w:val="TableContents"/>
              <w:bidi w:val="0"/>
              <w:spacing w:before="0" w:after="283"/>
              <w:jc w:val="right"/>
              <w:rPr/>
            </w:pPr>
            <w:r>
              <w:rPr/>
              <w:t>  </w:t>
            </w:r>
            <w:r>
              <w:rPr/>
              <w:t>230,513</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622" w:type="dxa"/>
            <w:tcBorders/>
            <w:shd w:fill="CCEEFF" w:val="clear"/>
            <w:vAlign w:val="bottom"/>
          </w:tcPr>
          <w:p>
            <w:pPr>
              <w:pStyle w:val="TableContents"/>
              <w:bidi w:val="0"/>
              <w:spacing w:before="0" w:after="283"/>
              <w:jc w:val="right"/>
              <w:rPr/>
            </w:pPr>
            <w:r>
              <w:rPr/>
              <w:t>  </w:t>
            </w: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055" w:type="dxa"/>
            <w:tcBorders/>
            <w:shd w:fill="CCEEFF" w:val="clear"/>
            <w:vAlign w:val="bottom"/>
          </w:tcPr>
          <w:p>
            <w:pPr>
              <w:pStyle w:val="TableContents"/>
              <w:bidi w:val="0"/>
              <w:spacing w:before="0" w:after="283"/>
              <w:jc w:val="right"/>
              <w:rPr/>
            </w:pPr>
            <w:r>
              <w:rPr/>
              <w:t> </w:t>
            </w:r>
            <w:r>
              <w:rPr/>
              <w:t>230,513</w:t>
            </w:r>
          </w:p>
        </w:tc>
        <w:tc>
          <w:tcPr>
            <w:tcW w:w="67" w:type="dxa"/>
            <w:tcBorders/>
            <w:shd w:fill="CCEEFF" w:val="clear"/>
            <w:vAlign w:val="bottom"/>
          </w:tcPr>
          <w:p>
            <w:pPr>
              <w:pStyle w:val="TableContents"/>
              <w:bidi w:val="0"/>
              <w:spacing w:before="0" w:after="283"/>
              <w:jc w:val="left"/>
              <w:rPr/>
            </w:pPr>
            <w:r>
              <w:rPr/>
              <w:t> </w:t>
            </w:r>
          </w:p>
        </w:tc>
      </w:tr>
      <w:tr>
        <w:trPr/>
        <w:tc>
          <w:tcPr>
            <w:tcW w:w="3822" w:type="dxa"/>
            <w:tcBorders/>
          </w:tcPr>
          <w:p>
            <w:pPr>
              <w:pStyle w:val="TableContents"/>
              <w:bidi w:val="0"/>
              <w:spacing w:before="0" w:after="0"/>
              <w:jc w:val="left"/>
              <w:rPr>
                <w:rFonts w:ascii="Times New Roman" w:hAnsi="Times New Roman"/>
                <w:sz w:val="20"/>
              </w:rPr>
            </w:pPr>
            <w:r>
              <w:rPr>
                <w:rFonts w:ascii="Times New Roman" w:hAnsi="Times New Roman"/>
                <w:sz w:val="20"/>
              </w:rPr>
              <w:t>Commercial paper</w:t>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26,964</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26,964</w:t>
            </w:r>
          </w:p>
        </w:tc>
        <w:tc>
          <w:tcPr>
            <w:tcW w:w="67" w:type="dxa"/>
            <w:tcBorders/>
            <w:vAlign w:val="bottom"/>
          </w:tcPr>
          <w:p>
            <w:pPr>
              <w:pStyle w:val="TableContents"/>
              <w:bidi w:val="0"/>
              <w:spacing w:before="0" w:after="283"/>
              <w:jc w:val="left"/>
              <w:rPr/>
            </w:pPr>
            <w:r>
              <w:rPr/>
              <w:t> </w:t>
            </w:r>
          </w:p>
        </w:tc>
      </w:tr>
      <w:tr>
        <w:trPr/>
        <w:tc>
          <w:tcPr>
            <w:tcW w:w="3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25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9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6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822" w:type="dxa"/>
            <w:tcBorders/>
          </w:tcPr>
          <w:p>
            <w:pPr>
              <w:pStyle w:val="TableContents"/>
              <w:bidi w:val="0"/>
              <w:spacing w:before="0" w:after="0"/>
              <w:jc w:val="left"/>
              <w:rPr>
                <w:rFonts w:ascii="Times New Roman" w:hAnsi="Times New Roman"/>
                <w:sz w:val="20"/>
              </w:rPr>
            </w:pPr>
            <w:r>
              <w:rPr>
                <w:rFonts w:ascii="Times New Roman" w:hAnsi="Times New Roman"/>
                <w:sz w:val="20"/>
              </w:rPr>
              <w:t>U.S. government and agency debt securities</w:t>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72,251</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72,251</w:t>
            </w:r>
          </w:p>
        </w:tc>
        <w:tc>
          <w:tcPr>
            <w:tcW w:w="67" w:type="dxa"/>
            <w:tcBorders/>
            <w:vAlign w:val="bottom"/>
          </w:tcPr>
          <w:p>
            <w:pPr>
              <w:pStyle w:val="TableContents"/>
              <w:bidi w:val="0"/>
              <w:spacing w:before="0" w:after="283"/>
              <w:jc w:val="left"/>
              <w:rPr/>
            </w:pPr>
            <w:r>
              <w:rPr/>
              <w:t> </w:t>
            </w:r>
          </w:p>
        </w:tc>
      </w:tr>
      <w:tr>
        <w:trPr/>
        <w:tc>
          <w:tcPr>
            <w:tcW w:w="3822"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6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 measured at fair value</w:t>
            </w:r>
          </w:p>
        </w:tc>
        <w:tc>
          <w:tcPr>
            <w:tcW w:w="25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055" w:type="dxa"/>
            <w:tcBorders/>
            <w:shd w:fill="CCEEFF" w:val="clear"/>
            <w:vAlign w:val="bottom"/>
          </w:tcPr>
          <w:p>
            <w:pPr>
              <w:pStyle w:val="TableContents"/>
              <w:bidi w:val="0"/>
              <w:spacing w:before="0" w:after="283"/>
              <w:jc w:val="right"/>
              <w:rPr/>
            </w:pPr>
            <w:r>
              <w:rPr/>
              <w:t>302,764</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  </w:t>
            </w:r>
            <w:r>
              <w:rPr/>
              <w:t>26,964</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6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055" w:type="dxa"/>
            <w:tcBorders/>
            <w:shd w:fill="CCEEFF" w:val="clear"/>
            <w:vAlign w:val="bottom"/>
          </w:tcPr>
          <w:p>
            <w:pPr>
              <w:pStyle w:val="TableContents"/>
              <w:bidi w:val="0"/>
              <w:spacing w:before="0" w:after="283"/>
              <w:jc w:val="right"/>
              <w:rPr/>
            </w:pPr>
            <w:r>
              <w:rPr/>
              <w:t>  </w:t>
            </w:r>
            <w:r>
              <w:rPr/>
              <w:t>329,728</w:t>
            </w:r>
          </w:p>
        </w:tc>
        <w:tc>
          <w:tcPr>
            <w:tcW w:w="67" w:type="dxa"/>
            <w:tcBorders/>
            <w:shd w:fill="CCEEFF" w:val="clear"/>
            <w:vAlign w:val="bottom"/>
          </w:tcPr>
          <w:p>
            <w:pPr>
              <w:pStyle w:val="TableContents"/>
              <w:bidi w:val="0"/>
              <w:spacing w:before="0" w:after="283"/>
              <w:jc w:val="left"/>
              <w:rPr/>
            </w:pPr>
            <w:r>
              <w:rPr/>
              <w:t> </w:t>
            </w:r>
          </w:p>
        </w:tc>
      </w:tr>
      <w:tr>
        <w:trPr/>
        <w:tc>
          <w:tcPr>
            <w:tcW w:w="3822"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6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822"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sz w:val="4"/>
                <w:szCs w:val="4"/>
              </w:rPr>
            </w:pPr>
            <w:r>
              <w:rPr>
                <w:sz w:val="4"/>
                <w:szCs w:val="4"/>
              </w:rPr>
            </w:r>
          </w:p>
        </w:tc>
        <w:tc>
          <w:tcPr>
            <w:tcW w:w="9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6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 warrant liability</w:t>
            </w:r>
          </w:p>
        </w:tc>
        <w:tc>
          <w:tcPr>
            <w:tcW w:w="25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0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622" w:type="dxa"/>
            <w:tcBorders/>
            <w:shd w:fill="CCEEFF" w:val="clear"/>
            <w:vAlign w:val="bottom"/>
          </w:tcPr>
          <w:p>
            <w:pPr>
              <w:pStyle w:val="TableContents"/>
              <w:bidi w:val="0"/>
              <w:spacing w:before="0" w:after="283"/>
              <w:jc w:val="right"/>
              <w:rPr/>
            </w:pPr>
            <w:r>
              <w:rPr/>
              <w:t>448</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055" w:type="dxa"/>
            <w:tcBorders/>
            <w:shd w:fill="CCEEFF" w:val="clear"/>
            <w:vAlign w:val="bottom"/>
          </w:tcPr>
          <w:p>
            <w:pPr>
              <w:pStyle w:val="TableContents"/>
              <w:bidi w:val="0"/>
              <w:spacing w:before="0" w:after="283"/>
              <w:jc w:val="right"/>
              <w:rPr/>
            </w:pPr>
            <w:r>
              <w:rPr/>
              <w:t>448</w:t>
            </w:r>
          </w:p>
        </w:tc>
        <w:tc>
          <w:tcPr>
            <w:tcW w:w="67" w:type="dxa"/>
            <w:tcBorders/>
            <w:shd w:fill="CCEEFF" w:val="clear"/>
            <w:vAlign w:val="bottom"/>
          </w:tcPr>
          <w:p>
            <w:pPr>
              <w:pStyle w:val="TableContents"/>
              <w:bidi w:val="0"/>
              <w:spacing w:before="0" w:after="283"/>
              <w:jc w:val="left"/>
              <w:rPr/>
            </w:pPr>
            <w:r>
              <w:rPr/>
              <w:t> </w:t>
            </w:r>
          </w:p>
        </w:tc>
      </w:tr>
      <w:tr>
        <w:trPr/>
        <w:tc>
          <w:tcPr>
            <w:tcW w:w="3822"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6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82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measured at fair value</w:t>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10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622" w:type="dxa"/>
            <w:tcBorders/>
            <w:vAlign w:val="bottom"/>
          </w:tcPr>
          <w:p>
            <w:pPr>
              <w:pStyle w:val="TableContents"/>
              <w:bidi w:val="0"/>
              <w:spacing w:before="0" w:after="283"/>
              <w:jc w:val="right"/>
              <w:rPr/>
            </w:pPr>
            <w:r>
              <w:rPr/>
              <w:t>448</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1055" w:type="dxa"/>
            <w:tcBorders/>
            <w:vAlign w:val="bottom"/>
          </w:tcPr>
          <w:p>
            <w:pPr>
              <w:pStyle w:val="TableContents"/>
              <w:bidi w:val="0"/>
              <w:spacing w:before="0" w:after="283"/>
              <w:jc w:val="right"/>
              <w:rPr/>
            </w:pPr>
            <w:r>
              <w:rPr/>
              <w:t>448</w:t>
            </w:r>
          </w:p>
        </w:tc>
        <w:tc>
          <w:tcPr>
            <w:tcW w:w="67" w:type="dxa"/>
            <w:tcBorders/>
            <w:vAlign w:val="bottom"/>
          </w:tcPr>
          <w:p>
            <w:pPr>
              <w:pStyle w:val="TableContents"/>
              <w:bidi w:val="0"/>
              <w:spacing w:before="0" w:after="283"/>
              <w:jc w:val="left"/>
              <w:rPr/>
            </w:pPr>
            <w:r>
              <w:rPr/>
              <w:t> </w:t>
            </w:r>
          </w:p>
        </w:tc>
      </w:tr>
      <w:tr>
        <w:trPr/>
        <w:tc>
          <w:tcPr>
            <w:tcW w:w="3822"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6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Money market funds are highly liquid and actively traded marketable securities that generally transact at a stable $1.00 net asset value representing its estimated fair value. The Company estimates the fair value of its commercial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paper and U.S. government and agency debt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Preferred Stock Warrant Liability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2020, the Company issued convertible preferred stock warrants to purchase shares of its Series A-1 convertible preferred stock (see Note 11), which do not meet the criteria for equity classification. The estimated fair value of the convertible preferred stock warrant liability was determined based on significant inputs not observable in the market, which represents a Level 3 measurement within the fair value hierarchy.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significant unobservable inputs used in the fair value measurement of the convertible preferred stock warrant liability during the three months ended March 31, 2021 and 2022: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27"/>
        <w:gridCol w:w="121"/>
        <w:gridCol w:w="2562"/>
        <w:gridCol w:w="121"/>
        <w:gridCol w:w="2880"/>
        <w:gridCol w:w="121"/>
        <w:gridCol w:w="1773"/>
      </w:tblGrid>
      <w:tr>
        <w:trPr/>
        <w:tc>
          <w:tcPr>
            <w:tcW w:w="262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Three Months Ended March 31, 2021</w:t>
            </w:r>
          </w:p>
        </w:tc>
      </w:tr>
      <w:tr>
        <w:trPr/>
        <w:tc>
          <w:tcPr>
            <w:tcW w:w="262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Fair Value</w:t>
            </w:r>
          </w:p>
          <w:p>
            <w:pPr>
              <w:pStyle w:val="TableContents"/>
              <w:bidi w:val="0"/>
              <w:spacing w:before="0" w:after="0"/>
              <w:jc w:val="center"/>
              <w:rPr>
                <w:rFonts w:ascii="Times New Roman" w:hAnsi="Times New Roman"/>
                <w:b/>
                <w:sz w:val="16"/>
              </w:rPr>
            </w:pPr>
            <w:r>
              <w:rPr>
                <w:rFonts w:ascii="Times New Roman" w:hAnsi="Times New Roman"/>
                <w:b/>
                <w:sz w:val="16"/>
              </w:rPr>
              <w:t>Range</w:t>
            </w:r>
          </w:p>
          <w:p>
            <w:pPr>
              <w:pStyle w:val="TableContents"/>
              <w:bidi w:val="0"/>
              <w:spacing w:before="0" w:after="20"/>
              <w:jc w:val="center"/>
              <w:rPr>
                <w:rFonts w:ascii="Times New Roman" w:hAnsi="Times New Roman"/>
                <w:b/>
                <w:sz w:val="16"/>
              </w:rPr>
            </w:pPr>
            <w:r>
              <w:rPr>
                <w:rFonts w:ascii="Times New Roman" w:hAnsi="Times New Roman"/>
                <w:b/>
                <w:sz w:val="16"/>
              </w:rPr>
              <w:t>(in millions)</w:t>
            </w:r>
          </w:p>
        </w:tc>
        <w:tc>
          <w:tcPr>
            <w:tcW w:w="121" w:type="dxa"/>
            <w:tcBorders/>
            <w:vAlign w:val="bottom"/>
          </w:tcPr>
          <w:p>
            <w:pPr>
              <w:pStyle w:val="TableContents"/>
              <w:bidi w:val="0"/>
              <w:spacing w:before="0" w:after="283"/>
              <w:jc w:val="left"/>
              <w:rPr/>
            </w:pPr>
            <w:r>
              <w:rPr/>
              <w:t>  </w:t>
            </w:r>
          </w:p>
        </w:tc>
        <w:tc>
          <w:tcPr>
            <w:tcW w:w="256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Valuation Technique</w:t>
            </w:r>
          </w:p>
        </w:tc>
        <w:tc>
          <w:tcPr>
            <w:tcW w:w="121" w:type="dxa"/>
            <w:tcBorders/>
            <w:vAlign w:val="bottom"/>
          </w:tcPr>
          <w:p>
            <w:pPr>
              <w:pStyle w:val="TableContents"/>
              <w:bidi w:val="0"/>
              <w:spacing w:before="0" w:after="283"/>
              <w:jc w:val="left"/>
              <w:rPr/>
            </w:pPr>
            <w:r>
              <w:rPr/>
              <w:t>  </w:t>
            </w:r>
          </w:p>
        </w:tc>
        <w:tc>
          <w:tcPr>
            <w:tcW w:w="28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Unobservable Input</w:t>
            </w:r>
          </w:p>
        </w:tc>
        <w:tc>
          <w:tcPr>
            <w:tcW w:w="121" w:type="dxa"/>
            <w:tcBorders/>
            <w:vAlign w:val="bottom"/>
          </w:tcPr>
          <w:p>
            <w:pPr>
              <w:pStyle w:val="TableContents"/>
              <w:bidi w:val="0"/>
              <w:spacing w:before="0" w:after="283"/>
              <w:jc w:val="left"/>
              <w:rPr/>
            </w:pPr>
            <w:r>
              <w:rPr/>
              <w:t>  </w:t>
            </w:r>
          </w:p>
        </w:tc>
        <w:tc>
          <w:tcPr>
            <w:tcW w:w="17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Input Range</w:t>
            </w:r>
          </w:p>
        </w:tc>
      </w:tr>
      <w:tr>
        <w:trPr/>
        <w:tc>
          <w:tcPr>
            <w:tcW w:w="2627" w:type="dxa"/>
            <w:vMerge w:val="restart"/>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$0.5 - $0.5  </w:t>
            </w:r>
          </w:p>
        </w:tc>
        <w:tc>
          <w:tcPr>
            <w:tcW w:w="121" w:type="dxa"/>
            <w:vMerge w:val="restart"/>
            <w:tcBorders/>
            <w:shd w:fill="CCEEFF" w:val="clear"/>
            <w:vAlign w:val="bottom"/>
          </w:tcPr>
          <w:p>
            <w:pPr>
              <w:pStyle w:val="TableContents"/>
              <w:bidi w:val="0"/>
              <w:spacing w:before="0" w:after="283"/>
              <w:jc w:val="left"/>
              <w:rPr/>
            </w:pPr>
            <w:r>
              <w:rPr/>
              <w:t>  </w:t>
            </w:r>
          </w:p>
        </w:tc>
        <w:tc>
          <w:tcPr>
            <w:tcW w:w="2562" w:type="dxa"/>
            <w:vMerge w:val="restart"/>
            <w:tcBorders/>
            <w:shd w:fill="CCEEFF" w:val="clear"/>
          </w:tcPr>
          <w:p>
            <w:pPr>
              <w:pStyle w:val="TableContents"/>
              <w:bidi w:val="0"/>
              <w:spacing w:before="0" w:after="283"/>
              <w:jc w:val="center"/>
              <w:rPr/>
            </w:pPr>
            <w:r>
              <w:rPr/>
              <w:t>Black-Scholes Option Pricing Model</w:t>
            </w:r>
          </w:p>
        </w:tc>
        <w:tc>
          <w:tcPr>
            <w:tcW w:w="121" w:type="dxa"/>
            <w:tcBorders/>
            <w:shd w:fill="CCEEFF" w:val="clear"/>
            <w:vAlign w:val="bottom"/>
          </w:tcPr>
          <w:p>
            <w:pPr>
              <w:pStyle w:val="TableContents"/>
              <w:bidi w:val="0"/>
              <w:spacing w:before="0" w:after="283"/>
              <w:jc w:val="left"/>
              <w:rPr/>
            </w:pPr>
            <w:r>
              <w:rPr/>
              <w:t>  </w:t>
            </w:r>
          </w:p>
        </w:tc>
        <w:tc>
          <w:tcPr>
            <w:tcW w:w="2880" w:type="dxa"/>
            <w:tcBorders/>
            <w:shd w:fill="CCEEFF" w:val="clear"/>
            <w:vAlign w:val="bottom"/>
          </w:tcPr>
          <w:p>
            <w:pPr>
              <w:pStyle w:val="TableContents"/>
              <w:bidi w:val="0"/>
              <w:spacing w:before="0" w:after="283"/>
              <w:jc w:val="center"/>
              <w:rPr/>
            </w:pPr>
            <w:r>
              <w:rPr/>
              <w:t>Fair value of Series A-1 convertible preferred stock (per share)</w:t>
            </w:r>
          </w:p>
        </w:tc>
        <w:tc>
          <w:tcPr>
            <w:tcW w:w="121" w:type="dxa"/>
            <w:tcBorders/>
            <w:shd w:fill="CCEEFF" w:val="clear"/>
            <w:vAlign w:val="bottom"/>
          </w:tcPr>
          <w:p>
            <w:pPr>
              <w:pStyle w:val="TableContents"/>
              <w:bidi w:val="0"/>
              <w:spacing w:before="0" w:after="283"/>
              <w:jc w:val="left"/>
              <w:rPr/>
            </w:pPr>
            <w:r>
              <w:rPr/>
              <w:t>  </w:t>
            </w:r>
          </w:p>
        </w:tc>
        <w:tc>
          <w:tcPr>
            <w:tcW w:w="1773" w:type="dxa"/>
            <w:tcBorders/>
            <w:shd w:fill="CCEEFF" w:val="clear"/>
          </w:tcPr>
          <w:p>
            <w:pPr>
              <w:pStyle w:val="TableContents"/>
              <w:bidi w:val="0"/>
              <w:spacing w:before="0" w:after="283"/>
              <w:jc w:val="center"/>
              <w:rPr/>
            </w:pPr>
            <w:r>
              <w:rPr/>
              <w:t>$0.81  $0.81</w:t>
            </w:r>
          </w:p>
        </w:tc>
      </w:tr>
      <w:tr>
        <w:trPr/>
        <w:tc>
          <w:tcPr>
            <w:tcW w:w="2627" w:type="dxa"/>
            <w:vMerge w:val="continue"/>
            <w:tcBorders/>
            <w:shd w:fill="CCEEFF" w:val="clear"/>
            <w:vAlign w:val="bottom"/>
          </w:tcPr>
          <w:p>
            <w:pPr>
              <w:pStyle w:val="Normal"/>
              <w:bidi w:val="0"/>
              <w:jc w:val="left"/>
              <w:rPr/>
            </w:pPr>
            <w:r>
              <w:rPr/>
            </w:r>
          </w:p>
        </w:tc>
        <w:tc>
          <w:tcPr>
            <w:tcW w:w="121" w:type="dxa"/>
            <w:vMerge w:val="continue"/>
            <w:tcBorders/>
            <w:shd w:fill="CCEEFF" w:val="clear"/>
            <w:vAlign w:val="bottom"/>
          </w:tcPr>
          <w:p>
            <w:pPr>
              <w:pStyle w:val="Normal"/>
              <w:bidi w:val="0"/>
              <w:jc w:val="left"/>
              <w:rPr/>
            </w:pPr>
            <w:r>
              <w:rPr/>
            </w:r>
          </w:p>
        </w:tc>
        <w:tc>
          <w:tcPr>
            <w:tcW w:w="2562" w:type="dxa"/>
            <w:vMerge w:val="continue"/>
            <w:tcBorders/>
            <w:shd w:fill="CCEEFF" w:val="clear"/>
          </w:tcPr>
          <w:p>
            <w:pPr>
              <w:pStyle w:val="Normal"/>
              <w:bidi w:val="0"/>
              <w:jc w:val="left"/>
              <w:rPr/>
            </w:pPr>
            <w:r>
              <w:rPr/>
            </w:r>
          </w:p>
        </w:tc>
        <w:tc>
          <w:tcPr>
            <w:tcW w:w="121" w:type="dxa"/>
            <w:tcBorders/>
            <w:shd w:fill="CCEEFF" w:val="clear"/>
            <w:vAlign w:val="bottom"/>
          </w:tcPr>
          <w:p>
            <w:pPr>
              <w:pStyle w:val="TableContents"/>
              <w:bidi w:val="0"/>
              <w:spacing w:before="0" w:after="283"/>
              <w:jc w:val="left"/>
              <w:rPr/>
            </w:pPr>
            <w:r>
              <w:rPr/>
              <w:t>  </w:t>
            </w:r>
          </w:p>
        </w:tc>
        <w:tc>
          <w:tcPr>
            <w:tcW w:w="2880" w:type="dxa"/>
            <w:tcBorders/>
            <w:shd w:fill="CCEEFF" w:val="clear"/>
            <w:vAlign w:val="bottom"/>
          </w:tcPr>
          <w:p>
            <w:pPr>
              <w:pStyle w:val="TableContents"/>
              <w:bidi w:val="0"/>
              <w:spacing w:before="0" w:after="283"/>
              <w:jc w:val="center"/>
              <w:rPr/>
            </w:pPr>
            <w:r>
              <w:rPr/>
              <w:t>Expected volatility</w:t>
            </w:r>
          </w:p>
        </w:tc>
        <w:tc>
          <w:tcPr>
            <w:tcW w:w="121"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center"/>
              <w:rPr/>
            </w:pPr>
            <w:r>
              <w:rPr/>
              <w:t>123.4%  123.4%</w:t>
            </w:r>
          </w:p>
        </w:tc>
      </w:tr>
      <w:tr>
        <w:trPr/>
        <w:tc>
          <w:tcPr>
            <w:tcW w:w="2627" w:type="dxa"/>
            <w:vMerge w:val="continue"/>
            <w:tcBorders/>
            <w:shd w:fill="CCEEFF" w:val="clear"/>
            <w:vAlign w:val="bottom"/>
          </w:tcPr>
          <w:p>
            <w:pPr>
              <w:pStyle w:val="Normal"/>
              <w:bidi w:val="0"/>
              <w:jc w:val="left"/>
              <w:rPr/>
            </w:pPr>
            <w:r>
              <w:rPr/>
            </w:r>
          </w:p>
        </w:tc>
        <w:tc>
          <w:tcPr>
            <w:tcW w:w="121" w:type="dxa"/>
            <w:vMerge w:val="continue"/>
            <w:tcBorders/>
            <w:shd w:fill="CCEEFF" w:val="clear"/>
            <w:vAlign w:val="bottom"/>
          </w:tcPr>
          <w:p>
            <w:pPr>
              <w:pStyle w:val="Normal"/>
              <w:bidi w:val="0"/>
              <w:jc w:val="left"/>
              <w:rPr/>
            </w:pPr>
            <w:r>
              <w:rPr/>
            </w:r>
          </w:p>
        </w:tc>
        <w:tc>
          <w:tcPr>
            <w:tcW w:w="2562" w:type="dxa"/>
            <w:vMerge w:val="continue"/>
            <w:tcBorders/>
            <w:shd w:fill="CCEEFF" w:val="clear"/>
          </w:tcPr>
          <w:p>
            <w:pPr>
              <w:pStyle w:val="Normal"/>
              <w:bidi w:val="0"/>
              <w:jc w:val="left"/>
              <w:rPr/>
            </w:pPr>
            <w:r>
              <w:rPr/>
            </w:r>
          </w:p>
        </w:tc>
        <w:tc>
          <w:tcPr>
            <w:tcW w:w="121" w:type="dxa"/>
            <w:tcBorders/>
            <w:shd w:fill="CCEEFF" w:val="clear"/>
            <w:vAlign w:val="bottom"/>
          </w:tcPr>
          <w:p>
            <w:pPr>
              <w:pStyle w:val="TableContents"/>
              <w:bidi w:val="0"/>
              <w:spacing w:before="0" w:after="283"/>
              <w:jc w:val="left"/>
              <w:rPr/>
            </w:pPr>
            <w:r>
              <w:rPr/>
              <w:t>  </w:t>
            </w:r>
          </w:p>
        </w:tc>
        <w:tc>
          <w:tcPr>
            <w:tcW w:w="2880" w:type="dxa"/>
            <w:tcBorders/>
            <w:shd w:fill="CCEEFF" w:val="clear"/>
            <w:vAlign w:val="bottom"/>
          </w:tcPr>
          <w:p>
            <w:pPr>
              <w:pStyle w:val="TableContents"/>
              <w:bidi w:val="0"/>
              <w:spacing w:before="0" w:after="283"/>
              <w:jc w:val="center"/>
              <w:rPr/>
            </w:pPr>
            <w:r>
              <w:rPr/>
              <w:t>Expected term (years)</w:t>
            </w:r>
          </w:p>
        </w:tc>
        <w:tc>
          <w:tcPr>
            <w:tcW w:w="121"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center"/>
              <w:rPr/>
            </w:pPr>
            <w:r>
              <w:rPr/>
              <w:t>0.8  0.8</w:t>
            </w:r>
          </w:p>
        </w:tc>
      </w:tr>
      <w:tr>
        <w:trPr/>
        <w:tc>
          <w:tcPr>
            <w:tcW w:w="2627" w:type="dxa"/>
            <w:vMerge w:val="continue"/>
            <w:tcBorders/>
            <w:shd w:fill="CCEEFF" w:val="clear"/>
            <w:vAlign w:val="bottom"/>
          </w:tcPr>
          <w:p>
            <w:pPr>
              <w:pStyle w:val="Normal"/>
              <w:bidi w:val="0"/>
              <w:jc w:val="left"/>
              <w:rPr/>
            </w:pPr>
            <w:r>
              <w:rPr/>
            </w:r>
          </w:p>
        </w:tc>
        <w:tc>
          <w:tcPr>
            <w:tcW w:w="121" w:type="dxa"/>
            <w:vMerge w:val="continue"/>
            <w:tcBorders/>
            <w:shd w:fill="CCEEFF" w:val="clear"/>
            <w:vAlign w:val="bottom"/>
          </w:tcPr>
          <w:p>
            <w:pPr>
              <w:pStyle w:val="Normal"/>
              <w:bidi w:val="0"/>
              <w:jc w:val="left"/>
              <w:rPr/>
            </w:pPr>
            <w:r>
              <w:rPr/>
            </w:r>
          </w:p>
        </w:tc>
        <w:tc>
          <w:tcPr>
            <w:tcW w:w="2562" w:type="dxa"/>
            <w:vMerge w:val="continue"/>
            <w:tcBorders/>
            <w:shd w:fill="CCEEFF" w:val="clear"/>
          </w:tcPr>
          <w:p>
            <w:pPr>
              <w:pStyle w:val="Normal"/>
              <w:bidi w:val="0"/>
              <w:jc w:val="left"/>
              <w:rPr/>
            </w:pPr>
            <w:r>
              <w:rPr/>
            </w:r>
          </w:p>
        </w:tc>
        <w:tc>
          <w:tcPr>
            <w:tcW w:w="121" w:type="dxa"/>
            <w:tcBorders/>
            <w:shd w:fill="CCEEFF" w:val="clear"/>
            <w:vAlign w:val="bottom"/>
          </w:tcPr>
          <w:p>
            <w:pPr>
              <w:pStyle w:val="TableContents"/>
              <w:bidi w:val="0"/>
              <w:spacing w:before="0" w:after="283"/>
              <w:jc w:val="left"/>
              <w:rPr/>
            </w:pPr>
            <w:r>
              <w:rPr/>
              <w:t>  </w:t>
            </w:r>
          </w:p>
        </w:tc>
        <w:tc>
          <w:tcPr>
            <w:tcW w:w="2880" w:type="dxa"/>
            <w:tcBorders/>
            <w:shd w:fill="CCEEFF" w:val="clear"/>
            <w:vAlign w:val="bottom"/>
          </w:tcPr>
          <w:p>
            <w:pPr>
              <w:pStyle w:val="TableContents"/>
              <w:bidi w:val="0"/>
              <w:spacing w:before="0" w:after="283"/>
              <w:jc w:val="center"/>
              <w:rPr/>
            </w:pPr>
            <w:r>
              <w:rPr/>
              <w:t>Expected dividend yield</w:t>
            </w:r>
          </w:p>
        </w:tc>
        <w:tc>
          <w:tcPr>
            <w:tcW w:w="121"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center"/>
              <w:rPr/>
            </w:pPr>
            <w:r>
              <w:rPr/>
              <w:t>0.0%  0.0%</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Three Months Ended March 31, 2022</w:t>
            </w:r>
          </w:p>
        </w:tc>
      </w:tr>
      <w:tr>
        <w:trPr/>
        <w:tc>
          <w:tcPr>
            <w:tcW w:w="262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Fair Value</w:t>
            </w:r>
          </w:p>
          <w:p>
            <w:pPr>
              <w:pStyle w:val="TableContents"/>
              <w:bidi w:val="0"/>
              <w:spacing w:before="0" w:after="0"/>
              <w:jc w:val="center"/>
              <w:rPr>
                <w:rFonts w:ascii="Times New Roman" w:hAnsi="Times New Roman"/>
                <w:b/>
                <w:sz w:val="16"/>
              </w:rPr>
            </w:pPr>
            <w:r>
              <w:rPr>
                <w:rFonts w:ascii="Times New Roman" w:hAnsi="Times New Roman"/>
                <w:b/>
                <w:sz w:val="16"/>
              </w:rPr>
              <w:t>Range</w:t>
            </w:r>
          </w:p>
          <w:p>
            <w:pPr>
              <w:pStyle w:val="TableContents"/>
              <w:bidi w:val="0"/>
              <w:spacing w:before="0" w:after="20"/>
              <w:jc w:val="center"/>
              <w:rPr>
                <w:rFonts w:ascii="Times New Roman" w:hAnsi="Times New Roman"/>
                <w:b/>
                <w:sz w:val="16"/>
              </w:rPr>
            </w:pPr>
            <w:r>
              <w:rPr>
                <w:rFonts w:ascii="Times New Roman" w:hAnsi="Times New Roman"/>
                <w:b/>
                <w:sz w:val="16"/>
              </w:rPr>
              <w:t>(in millions)</w:t>
            </w:r>
          </w:p>
        </w:tc>
        <w:tc>
          <w:tcPr>
            <w:tcW w:w="121" w:type="dxa"/>
            <w:tcBorders/>
            <w:vAlign w:val="bottom"/>
          </w:tcPr>
          <w:p>
            <w:pPr>
              <w:pStyle w:val="TableContents"/>
              <w:bidi w:val="0"/>
              <w:spacing w:before="0" w:after="283"/>
              <w:jc w:val="left"/>
              <w:rPr/>
            </w:pPr>
            <w:r>
              <w:rPr/>
              <w:t>  </w:t>
            </w:r>
          </w:p>
        </w:tc>
        <w:tc>
          <w:tcPr>
            <w:tcW w:w="256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Valuation Technique</w:t>
            </w:r>
          </w:p>
        </w:tc>
        <w:tc>
          <w:tcPr>
            <w:tcW w:w="121" w:type="dxa"/>
            <w:tcBorders/>
            <w:vAlign w:val="bottom"/>
          </w:tcPr>
          <w:p>
            <w:pPr>
              <w:pStyle w:val="TableContents"/>
              <w:bidi w:val="0"/>
              <w:spacing w:before="0" w:after="283"/>
              <w:jc w:val="left"/>
              <w:rPr/>
            </w:pPr>
            <w:r>
              <w:rPr/>
              <w:t>  </w:t>
            </w:r>
          </w:p>
        </w:tc>
        <w:tc>
          <w:tcPr>
            <w:tcW w:w="28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Unobservable Input</w:t>
            </w:r>
          </w:p>
        </w:tc>
        <w:tc>
          <w:tcPr>
            <w:tcW w:w="121" w:type="dxa"/>
            <w:tcBorders/>
            <w:vAlign w:val="bottom"/>
          </w:tcPr>
          <w:p>
            <w:pPr>
              <w:pStyle w:val="TableContents"/>
              <w:bidi w:val="0"/>
              <w:spacing w:before="0" w:after="283"/>
              <w:jc w:val="left"/>
              <w:rPr/>
            </w:pPr>
            <w:r>
              <w:rPr/>
              <w:t>  </w:t>
            </w:r>
          </w:p>
        </w:tc>
        <w:tc>
          <w:tcPr>
            <w:tcW w:w="17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Input Range</w:t>
            </w:r>
          </w:p>
        </w:tc>
      </w:tr>
      <w:tr>
        <w:trPr/>
        <w:tc>
          <w:tcPr>
            <w:tcW w:w="2627" w:type="dxa"/>
            <w:vMerge w:val="restart"/>
            <w:tcBorders/>
            <w:shd w:fill="CCEEFF" w:val="clear"/>
            <w:vAlign w:val="bottom"/>
          </w:tcPr>
          <w:p>
            <w:pPr>
              <w:pStyle w:val="TableContents"/>
              <w:bidi w:val="0"/>
              <w:spacing w:before="0" w:after="283"/>
              <w:jc w:val="center"/>
              <w:rPr/>
            </w:pPr>
            <w:r>
              <w:rPr/>
              <w:t>$0.4 - $0.4  </w:t>
            </w:r>
          </w:p>
        </w:tc>
        <w:tc>
          <w:tcPr>
            <w:tcW w:w="121" w:type="dxa"/>
            <w:vMerge w:val="restart"/>
            <w:tcBorders/>
            <w:shd w:fill="CCEEFF" w:val="clear"/>
            <w:vAlign w:val="bottom"/>
          </w:tcPr>
          <w:p>
            <w:pPr>
              <w:pStyle w:val="TableContents"/>
              <w:bidi w:val="0"/>
              <w:spacing w:before="0" w:after="283"/>
              <w:jc w:val="left"/>
              <w:rPr/>
            </w:pPr>
            <w:r>
              <w:rPr/>
              <w:t>  </w:t>
            </w:r>
          </w:p>
        </w:tc>
        <w:tc>
          <w:tcPr>
            <w:tcW w:w="2562" w:type="dxa"/>
            <w:vMerge w:val="restart"/>
            <w:tcBorders/>
            <w:shd w:fill="CCEEFF" w:val="clear"/>
            <w:vAlign w:val="bottom"/>
          </w:tcPr>
          <w:p>
            <w:pPr>
              <w:pStyle w:val="TableContents"/>
              <w:bidi w:val="0"/>
              <w:spacing w:before="0" w:after="283"/>
              <w:jc w:val="center"/>
              <w:rPr/>
            </w:pPr>
            <w:r>
              <w:rPr/>
              <w:t>Black-Scholes Option Pricing Model</w:t>
            </w:r>
          </w:p>
        </w:tc>
        <w:tc>
          <w:tcPr>
            <w:tcW w:w="121" w:type="dxa"/>
            <w:tcBorders/>
            <w:shd w:fill="CCEEFF" w:val="clear"/>
            <w:vAlign w:val="bottom"/>
          </w:tcPr>
          <w:p>
            <w:pPr>
              <w:pStyle w:val="TableContents"/>
              <w:bidi w:val="0"/>
              <w:spacing w:before="0" w:after="283"/>
              <w:jc w:val="left"/>
              <w:rPr/>
            </w:pPr>
            <w:r>
              <w:rPr/>
              <w:t>  </w:t>
            </w:r>
          </w:p>
        </w:tc>
        <w:tc>
          <w:tcPr>
            <w:tcW w:w="2880" w:type="dxa"/>
            <w:tcBorders/>
            <w:shd w:fill="CCEEFF" w:val="clear"/>
            <w:vAlign w:val="bottom"/>
          </w:tcPr>
          <w:p>
            <w:pPr>
              <w:pStyle w:val="TableContents"/>
              <w:bidi w:val="0"/>
              <w:spacing w:before="0" w:after="283"/>
              <w:jc w:val="center"/>
              <w:rPr/>
            </w:pPr>
            <w:r>
              <w:rPr/>
              <w:t>Fair value of Series A-1 convertible preferred stock (per share)</w:t>
            </w:r>
          </w:p>
        </w:tc>
        <w:tc>
          <w:tcPr>
            <w:tcW w:w="121"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center"/>
              <w:rPr/>
            </w:pPr>
            <w:r>
              <w:rPr/>
              <w:t>$0.83  $0.83</w:t>
            </w:r>
          </w:p>
        </w:tc>
      </w:tr>
      <w:tr>
        <w:trPr/>
        <w:tc>
          <w:tcPr>
            <w:tcW w:w="2627" w:type="dxa"/>
            <w:vMerge w:val="continue"/>
            <w:tcBorders/>
            <w:shd w:fill="CCEEFF" w:val="clear"/>
            <w:vAlign w:val="bottom"/>
          </w:tcPr>
          <w:p>
            <w:pPr>
              <w:pStyle w:val="Normal"/>
              <w:bidi w:val="0"/>
              <w:jc w:val="left"/>
              <w:rPr/>
            </w:pPr>
            <w:r>
              <w:rPr/>
            </w:r>
          </w:p>
        </w:tc>
        <w:tc>
          <w:tcPr>
            <w:tcW w:w="121" w:type="dxa"/>
            <w:vMerge w:val="continue"/>
            <w:tcBorders/>
            <w:shd w:fill="CCEEFF" w:val="clear"/>
            <w:vAlign w:val="bottom"/>
          </w:tcPr>
          <w:p>
            <w:pPr>
              <w:pStyle w:val="Normal"/>
              <w:bidi w:val="0"/>
              <w:jc w:val="left"/>
              <w:rPr/>
            </w:pPr>
            <w:r>
              <w:rPr/>
            </w:r>
          </w:p>
        </w:tc>
        <w:tc>
          <w:tcPr>
            <w:tcW w:w="2562" w:type="dxa"/>
            <w:vMerge w:val="continue"/>
            <w:tcBorders/>
            <w:shd w:fill="CCEEFF" w:val="clear"/>
            <w:vAlign w:val="bottom"/>
          </w:tcPr>
          <w:p>
            <w:pPr>
              <w:pStyle w:val="Normal"/>
              <w:bidi w:val="0"/>
              <w:jc w:val="left"/>
              <w:rPr/>
            </w:pPr>
            <w:r>
              <w:rPr/>
            </w:r>
          </w:p>
        </w:tc>
        <w:tc>
          <w:tcPr>
            <w:tcW w:w="121" w:type="dxa"/>
            <w:tcBorders/>
            <w:shd w:fill="CCEEFF" w:val="clear"/>
            <w:vAlign w:val="bottom"/>
          </w:tcPr>
          <w:p>
            <w:pPr>
              <w:pStyle w:val="TableContents"/>
              <w:bidi w:val="0"/>
              <w:spacing w:before="0" w:after="283"/>
              <w:jc w:val="left"/>
              <w:rPr/>
            </w:pPr>
            <w:r>
              <w:rPr/>
              <w:t>  </w:t>
            </w:r>
          </w:p>
        </w:tc>
        <w:tc>
          <w:tcPr>
            <w:tcW w:w="2880" w:type="dxa"/>
            <w:tcBorders/>
            <w:shd w:fill="CCEEFF" w:val="clear"/>
            <w:vAlign w:val="bottom"/>
          </w:tcPr>
          <w:p>
            <w:pPr>
              <w:pStyle w:val="TableContents"/>
              <w:bidi w:val="0"/>
              <w:spacing w:before="0" w:after="283"/>
              <w:jc w:val="center"/>
              <w:rPr/>
            </w:pPr>
            <w:r>
              <w:rPr/>
              <w:t>Expected volatility</w:t>
            </w:r>
          </w:p>
        </w:tc>
        <w:tc>
          <w:tcPr>
            <w:tcW w:w="121"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center"/>
              <w:rPr/>
            </w:pPr>
            <w:r>
              <w:rPr/>
              <w:t>112.8%  112.8%</w:t>
            </w:r>
          </w:p>
        </w:tc>
      </w:tr>
      <w:tr>
        <w:trPr/>
        <w:tc>
          <w:tcPr>
            <w:tcW w:w="2627" w:type="dxa"/>
            <w:vMerge w:val="continue"/>
            <w:tcBorders/>
            <w:shd w:fill="CCEEFF" w:val="clear"/>
            <w:vAlign w:val="bottom"/>
          </w:tcPr>
          <w:p>
            <w:pPr>
              <w:pStyle w:val="Normal"/>
              <w:bidi w:val="0"/>
              <w:jc w:val="left"/>
              <w:rPr/>
            </w:pPr>
            <w:r>
              <w:rPr/>
            </w:r>
          </w:p>
        </w:tc>
        <w:tc>
          <w:tcPr>
            <w:tcW w:w="121" w:type="dxa"/>
            <w:vMerge w:val="continue"/>
            <w:tcBorders/>
            <w:shd w:fill="CCEEFF" w:val="clear"/>
            <w:vAlign w:val="bottom"/>
          </w:tcPr>
          <w:p>
            <w:pPr>
              <w:pStyle w:val="Normal"/>
              <w:bidi w:val="0"/>
              <w:jc w:val="left"/>
              <w:rPr/>
            </w:pPr>
            <w:r>
              <w:rPr/>
            </w:r>
          </w:p>
        </w:tc>
        <w:tc>
          <w:tcPr>
            <w:tcW w:w="2562" w:type="dxa"/>
            <w:vMerge w:val="continue"/>
            <w:tcBorders/>
            <w:shd w:fill="CCEEFF" w:val="clear"/>
            <w:vAlign w:val="bottom"/>
          </w:tcPr>
          <w:p>
            <w:pPr>
              <w:pStyle w:val="Normal"/>
              <w:bidi w:val="0"/>
              <w:jc w:val="left"/>
              <w:rPr/>
            </w:pPr>
            <w:r>
              <w:rPr/>
            </w:r>
          </w:p>
        </w:tc>
        <w:tc>
          <w:tcPr>
            <w:tcW w:w="121" w:type="dxa"/>
            <w:tcBorders/>
            <w:shd w:fill="CCEEFF" w:val="clear"/>
            <w:vAlign w:val="bottom"/>
          </w:tcPr>
          <w:p>
            <w:pPr>
              <w:pStyle w:val="TableContents"/>
              <w:bidi w:val="0"/>
              <w:spacing w:before="0" w:after="283"/>
              <w:jc w:val="left"/>
              <w:rPr/>
            </w:pPr>
            <w:r>
              <w:rPr/>
              <w:t>  </w:t>
            </w:r>
          </w:p>
        </w:tc>
        <w:tc>
          <w:tcPr>
            <w:tcW w:w="2880" w:type="dxa"/>
            <w:tcBorders/>
            <w:shd w:fill="CCEEFF" w:val="clear"/>
            <w:vAlign w:val="bottom"/>
          </w:tcPr>
          <w:p>
            <w:pPr>
              <w:pStyle w:val="TableContents"/>
              <w:bidi w:val="0"/>
              <w:spacing w:before="0" w:after="283"/>
              <w:jc w:val="center"/>
              <w:rPr/>
            </w:pPr>
            <w:r>
              <w:rPr/>
              <w:t>Expected term (years)</w:t>
            </w:r>
          </w:p>
        </w:tc>
        <w:tc>
          <w:tcPr>
            <w:tcW w:w="121"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center"/>
              <w:rPr/>
            </w:pPr>
            <w:r>
              <w:rPr/>
              <w:t>0.8  0.8</w:t>
            </w:r>
          </w:p>
        </w:tc>
      </w:tr>
      <w:tr>
        <w:trPr/>
        <w:tc>
          <w:tcPr>
            <w:tcW w:w="2627" w:type="dxa"/>
            <w:vMerge w:val="continue"/>
            <w:tcBorders/>
            <w:shd w:fill="CCEEFF" w:val="clear"/>
            <w:vAlign w:val="bottom"/>
          </w:tcPr>
          <w:p>
            <w:pPr>
              <w:pStyle w:val="Normal"/>
              <w:bidi w:val="0"/>
              <w:jc w:val="left"/>
              <w:rPr/>
            </w:pPr>
            <w:r>
              <w:rPr/>
            </w:r>
          </w:p>
        </w:tc>
        <w:tc>
          <w:tcPr>
            <w:tcW w:w="121" w:type="dxa"/>
            <w:vMerge w:val="continue"/>
            <w:tcBorders/>
            <w:shd w:fill="CCEEFF" w:val="clear"/>
            <w:vAlign w:val="bottom"/>
          </w:tcPr>
          <w:p>
            <w:pPr>
              <w:pStyle w:val="Normal"/>
              <w:bidi w:val="0"/>
              <w:jc w:val="left"/>
              <w:rPr/>
            </w:pPr>
            <w:r>
              <w:rPr/>
            </w:r>
          </w:p>
        </w:tc>
        <w:tc>
          <w:tcPr>
            <w:tcW w:w="2562" w:type="dxa"/>
            <w:vMerge w:val="continue"/>
            <w:tcBorders/>
            <w:shd w:fill="CCEEFF" w:val="clear"/>
            <w:vAlign w:val="bottom"/>
          </w:tcPr>
          <w:p>
            <w:pPr>
              <w:pStyle w:val="Normal"/>
              <w:bidi w:val="0"/>
              <w:jc w:val="left"/>
              <w:rPr/>
            </w:pPr>
            <w:r>
              <w:rPr/>
            </w:r>
          </w:p>
        </w:tc>
        <w:tc>
          <w:tcPr>
            <w:tcW w:w="121" w:type="dxa"/>
            <w:tcBorders/>
            <w:shd w:fill="CCEEFF" w:val="clear"/>
            <w:vAlign w:val="bottom"/>
          </w:tcPr>
          <w:p>
            <w:pPr>
              <w:pStyle w:val="TableContents"/>
              <w:bidi w:val="0"/>
              <w:spacing w:before="0" w:after="283"/>
              <w:jc w:val="left"/>
              <w:rPr/>
            </w:pPr>
            <w:r>
              <w:rPr/>
              <w:t>  </w:t>
            </w:r>
          </w:p>
        </w:tc>
        <w:tc>
          <w:tcPr>
            <w:tcW w:w="2880" w:type="dxa"/>
            <w:tcBorders/>
            <w:shd w:fill="CCEEFF" w:val="clear"/>
            <w:vAlign w:val="bottom"/>
          </w:tcPr>
          <w:p>
            <w:pPr>
              <w:pStyle w:val="TableContents"/>
              <w:bidi w:val="0"/>
              <w:spacing w:before="0" w:after="283"/>
              <w:jc w:val="center"/>
              <w:rPr/>
            </w:pPr>
            <w:r>
              <w:rPr/>
              <w:t>Expected dividend yield</w:t>
            </w:r>
          </w:p>
        </w:tc>
        <w:tc>
          <w:tcPr>
            <w:tcW w:w="121"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center"/>
              <w:rPr/>
            </w:pPr>
            <w:r>
              <w:rPr/>
              <w:t>0.0%  0.0%</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a summary of the changes in the fair value of the Companys liabilities measured using Level 3 inputs: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31"/>
        <w:gridCol w:w="151"/>
        <w:gridCol w:w="211"/>
        <w:gridCol w:w="694"/>
        <w:gridCol w:w="350"/>
        <w:gridCol w:w="552"/>
        <w:gridCol w:w="211"/>
        <w:gridCol w:w="696"/>
        <w:gridCol w:w="159"/>
      </w:tblGrid>
      <w:tr>
        <w:trPr/>
        <w:tc>
          <w:tcPr>
            <w:tcW w:w="4731"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31"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71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59" w:type="dxa"/>
            <w:tcBorders/>
            <w:vAlign w:val="bottom"/>
          </w:tcPr>
          <w:p>
            <w:pPr>
              <w:pStyle w:val="TableContents"/>
              <w:bidi w:val="0"/>
              <w:spacing w:before="0" w:after="283"/>
              <w:jc w:val="left"/>
              <w:rPr/>
            </w:pPr>
            <w:r>
              <w:rPr/>
              <w:t> </w:t>
            </w:r>
          </w:p>
        </w:tc>
      </w:tr>
      <w:tr>
        <w:trPr/>
        <w:tc>
          <w:tcPr>
            <w:tcW w:w="4731"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35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4731"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714" w:type="dxa"/>
            <w:gridSpan w:val="6"/>
            <w:tcBorders/>
            <w:vAlign w:val="bottom"/>
          </w:tcPr>
          <w:p>
            <w:pPr>
              <w:pStyle w:val="TableContents"/>
              <w:bidi w:val="0"/>
              <w:spacing w:before="0" w:after="283"/>
              <w:jc w:val="center"/>
              <w:rPr>
                <w:b/>
              </w:rPr>
            </w:pPr>
            <w:r>
              <w:rPr>
                <w:b/>
              </w:rPr>
              <w:t>(in thousands)</w:t>
            </w:r>
          </w:p>
        </w:tc>
        <w:tc>
          <w:tcPr>
            <w:tcW w:w="159" w:type="dxa"/>
            <w:tcBorders/>
            <w:vAlign w:val="bottom"/>
          </w:tcPr>
          <w:p>
            <w:pPr>
              <w:pStyle w:val="TableContents"/>
              <w:bidi w:val="0"/>
              <w:spacing w:before="0" w:after="283"/>
              <w:jc w:val="left"/>
              <w:rPr/>
            </w:pPr>
            <w:r>
              <w:rPr/>
              <w:t> </w:t>
            </w:r>
          </w:p>
        </w:tc>
      </w:tr>
      <w:tr>
        <w:trPr/>
        <w:tc>
          <w:tcPr>
            <w:tcW w:w="4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beginning of period</w:t>
            </w:r>
          </w:p>
        </w:tc>
        <w:tc>
          <w:tcPr>
            <w:tcW w:w="1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612</w:t>
            </w:r>
          </w:p>
        </w:tc>
        <w:tc>
          <w:tcPr>
            <w:tcW w:w="350"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696" w:type="dxa"/>
            <w:tcBorders/>
            <w:shd w:fill="CCEEFF" w:val="clear"/>
            <w:vAlign w:val="bottom"/>
          </w:tcPr>
          <w:p>
            <w:pPr>
              <w:pStyle w:val="TableContents"/>
              <w:bidi w:val="0"/>
              <w:spacing w:before="0" w:after="283"/>
              <w:jc w:val="right"/>
              <w:rPr/>
            </w:pPr>
            <w:r>
              <w:rPr/>
              <w:t>559</w:t>
            </w:r>
          </w:p>
        </w:tc>
        <w:tc>
          <w:tcPr>
            <w:tcW w:w="159" w:type="dxa"/>
            <w:tcBorders/>
            <w:shd w:fill="CCEEFF" w:val="clear"/>
            <w:vAlign w:val="bottom"/>
          </w:tcPr>
          <w:p>
            <w:pPr>
              <w:pStyle w:val="TableContents"/>
              <w:bidi w:val="0"/>
              <w:spacing w:before="0" w:after="283"/>
              <w:jc w:val="left"/>
              <w:rPr/>
            </w:pPr>
            <w:r>
              <w:rPr/>
              <w:t> </w:t>
            </w:r>
          </w:p>
        </w:tc>
      </w:tr>
      <w:tr>
        <w:trPr/>
        <w:tc>
          <w:tcPr>
            <w:tcW w:w="4731"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preferred stock warrant liability</w:t>
            </w:r>
          </w:p>
        </w:tc>
        <w:tc>
          <w:tcPr>
            <w:tcW w:w="1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(118</w:t>
            </w:r>
          </w:p>
        </w:tc>
        <w:tc>
          <w:tcPr>
            <w:tcW w:w="35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(111</w:t>
            </w:r>
          </w:p>
        </w:tc>
        <w:tc>
          <w:tcPr>
            <w:tcW w:w="159" w:type="dxa"/>
            <w:tcBorders/>
            <w:vAlign w:val="bottom"/>
          </w:tcPr>
          <w:p>
            <w:pPr>
              <w:pStyle w:val="TableContents"/>
              <w:bidi w:val="0"/>
              <w:spacing w:before="0" w:after="283"/>
              <w:jc w:val="left"/>
              <w:rPr/>
            </w:pPr>
            <w:r>
              <w:rPr/>
              <w:t>) </w:t>
            </w:r>
          </w:p>
        </w:tc>
      </w:tr>
      <w:tr>
        <w:trPr/>
        <w:tc>
          <w:tcPr>
            <w:tcW w:w="47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end of period</w:t>
            </w:r>
          </w:p>
        </w:tc>
        <w:tc>
          <w:tcPr>
            <w:tcW w:w="1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494</w:t>
            </w:r>
          </w:p>
        </w:tc>
        <w:tc>
          <w:tcPr>
            <w:tcW w:w="350"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696" w:type="dxa"/>
            <w:tcBorders/>
            <w:shd w:fill="CCEEFF" w:val="clear"/>
            <w:vAlign w:val="bottom"/>
          </w:tcPr>
          <w:p>
            <w:pPr>
              <w:pStyle w:val="TableContents"/>
              <w:bidi w:val="0"/>
              <w:spacing w:before="0" w:after="283"/>
              <w:jc w:val="right"/>
              <w:rPr/>
            </w:pPr>
            <w:r>
              <w:rPr/>
              <w:t>448</w:t>
            </w:r>
          </w:p>
        </w:tc>
        <w:tc>
          <w:tcPr>
            <w:tcW w:w="159" w:type="dxa"/>
            <w:tcBorders/>
            <w:shd w:fill="CCEEFF" w:val="clear"/>
            <w:vAlign w:val="bottom"/>
          </w:tcPr>
          <w:p>
            <w:pPr>
              <w:pStyle w:val="TableContents"/>
              <w:bidi w:val="0"/>
              <w:spacing w:before="0" w:after="283"/>
              <w:jc w:val="left"/>
              <w:rPr/>
            </w:pPr>
            <w:r>
              <w:rPr/>
              <w:t> </w:t>
            </w:r>
          </w:p>
        </w:tc>
      </w:tr>
      <w:tr>
        <w:trPr/>
        <w:tc>
          <w:tcPr>
            <w:tcW w:w="47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Balance Sheet Components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Prepaid Expenses and Other Current Assets </w:t>
      </w:r>
    </w:p>
    <w:p>
      <w:pPr>
        <w:pStyle w:val="TextBody"/>
        <w:bidi w:val="0"/>
        <w:spacing w:before="120" w:after="0"/>
        <w:jc w:val="left"/>
        <w:rPr>
          <w:rFonts w:ascii="Times New Roman" w:hAnsi="Times New Roman"/>
          <w:sz w:val="20"/>
        </w:rPr>
      </w:pPr>
      <w:r>
        <w:rPr>
          <w:rFonts w:ascii="Times New Roman" w:hAnsi="Times New Roman"/>
          <w:sz w:val="20"/>
        </w:rPr>
        <w:t xml:space="preserve">Prepaid expenses and other current assets consisted of the following: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839"/>
        <w:gridCol w:w="417"/>
        <w:gridCol w:w="242"/>
        <w:gridCol w:w="1257"/>
        <w:gridCol w:w="60"/>
        <w:gridCol w:w="417"/>
        <w:gridCol w:w="159"/>
        <w:gridCol w:w="932"/>
        <w:gridCol w:w="65"/>
      </w:tblGrid>
      <w:tr>
        <w:trPr/>
        <w:tc>
          <w:tcPr>
            <w:tcW w:w="5839"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839"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499"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2021</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091"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2022</w:t>
            </w:r>
          </w:p>
        </w:tc>
        <w:tc>
          <w:tcPr>
            <w:tcW w:w="65" w:type="dxa"/>
            <w:tcBorders/>
            <w:vAlign w:val="bottom"/>
          </w:tcPr>
          <w:p>
            <w:pPr>
              <w:pStyle w:val="TableContents"/>
              <w:bidi w:val="0"/>
              <w:spacing w:before="0" w:after="283"/>
              <w:jc w:val="left"/>
              <w:rPr/>
            </w:pPr>
            <w:r>
              <w:rPr/>
              <w:t> </w:t>
            </w:r>
          </w:p>
        </w:tc>
      </w:tr>
      <w:tr>
        <w:trPr/>
        <w:tc>
          <w:tcPr>
            <w:tcW w:w="5839"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3067" w:type="dxa"/>
            <w:gridSpan w:val="6"/>
            <w:tcBorders/>
            <w:vAlign w:val="bottom"/>
          </w:tcPr>
          <w:p>
            <w:pPr>
              <w:pStyle w:val="TableContents"/>
              <w:bidi w:val="0"/>
              <w:spacing w:before="0" w:after="283"/>
              <w:jc w:val="center"/>
              <w:rPr>
                <w:b/>
              </w:rPr>
            </w:pPr>
            <w:r>
              <w:rPr>
                <w:b/>
              </w:rPr>
              <w:t>(in thousands)</w:t>
            </w:r>
          </w:p>
        </w:tc>
        <w:tc>
          <w:tcPr>
            <w:tcW w:w="65" w:type="dxa"/>
            <w:tcBorders/>
            <w:vAlign w:val="bottom"/>
          </w:tcPr>
          <w:p>
            <w:pPr>
              <w:pStyle w:val="TableContents"/>
              <w:bidi w:val="0"/>
              <w:spacing w:before="0" w:after="283"/>
              <w:jc w:val="left"/>
              <w:rPr/>
            </w:pPr>
            <w:r>
              <w:rPr/>
              <w:t> </w:t>
            </w:r>
          </w:p>
        </w:tc>
      </w:tr>
      <w:tr>
        <w:trPr/>
        <w:tc>
          <w:tcPr>
            <w:tcW w:w="58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research and development costs ($4.4 million and $11.7 million from related party in 2021 and 2022, respectively)</w:t>
            </w:r>
          </w:p>
        </w:tc>
        <w:tc>
          <w:tcPr>
            <w:tcW w:w="417"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257" w:type="dxa"/>
            <w:tcBorders/>
            <w:shd w:fill="CCEEFF" w:val="clear"/>
            <w:vAlign w:val="bottom"/>
          </w:tcPr>
          <w:p>
            <w:pPr>
              <w:pStyle w:val="TableContents"/>
              <w:bidi w:val="0"/>
              <w:spacing w:before="0" w:after="283"/>
              <w:jc w:val="right"/>
              <w:rPr/>
            </w:pPr>
            <w:r>
              <w:rPr/>
              <w:t>4,836</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11,864</w:t>
            </w:r>
          </w:p>
        </w:tc>
        <w:tc>
          <w:tcPr>
            <w:tcW w:w="65" w:type="dxa"/>
            <w:tcBorders/>
            <w:shd w:fill="CCEEFF" w:val="clear"/>
            <w:vAlign w:val="bottom"/>
          </w:tcPr>
          <w:p>
            <w:pPr>
              <w:pStyle w:val="TableContents"/>
              <w:bidi w:val="0"/>
              <w:spacing w:before="0" w:after="283"/>
              <w:jc w:val="left"/>
              <w:rPr/>
            </w:pPr>
            <w:r>
              <w:rPr/>
              <w:t> </w:t>
            </w:r>
          </w:p>
        </w:tc>
      </w:tr>
      <w:tr>
        <w:trPr/>
        <w:tc>
          <w:tcPr>
            <w:tcW w:w="5839" w:type="dxa"/>
            <w:tcBorders/>
          </w:tcPr>
          <w:p>
            <w:pPr>
              <w:pStyle w:val="TableContents"/>
              <w:bidi w:val="0"/>
              <w:spacing w:before="0" w:after="0"/>
              <w:jc w:val="left"/>
              <w:rPr>
                <w:rFonts w:ascii="Times New Roman" w:hAnsi="Times New Roman"/>
                <w:sz w:val="20"/>
              </w:rPr>
            </w:pPr>
            <w:r>
              <w:rPr>
                <w:rFonts w:ascii="Times New Roman" w:hAnsi="Times New Roman"/>
                <w:sz w:val="20"/>
              </w:rPr>
              <w:t>Prepaid other</w:t>
            </w:r>
          </w:p>
        </w:tc>
        <w:tc>
          <w:tcPr>
            <w:tcW w:w="41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1,195</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1,117</w:t>
            </w:r>
          </w:p>
        </w:tc>
        <w:tc>
          <w:tcPr>
            <w:tcW w:w="65" w:type="dxa"/>
            <w:tcBorders/>
            <w:vAlign w:val="bottom"/>
          </w:tcPr>
          <w:p>
            <w:pPr>
              <w:pStyle w:val="TableContents"/>
              <w:bidi w:val="0"/>
              <w:spacing w:before="0" w:after="283"/>
              <w:jc w:val="left"/>
              <w:rPr/>
            </w:pPr>
            <w:r>
              <w:rPr/>
              <w:t> </w:t>
            </w:r>
          </w:p>
        </w:tc>
      </w:tr>
      <w:tr>
        <w:trPr/>
        <w:tc>
          <w:tcPr>
            <w:tcW w:w="58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417"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200</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269</w:t>
            </w:r>
          </w:p>
        </w:tc>
        <w:tc>
          <w:tcPr>
            <w:tcW w:w="65" w:type="dxa"/>
            <w:tcBorders/>
            <w:shd w:fill="CCEEFF" w:val="clear"/>
            <w:vAlign w:val="bottom"/>
          </w:tcPr>
          <w:p>
            <w:pPr>
              <w:pStyle w:val="TableContents"/>
              <w:bidi w:val="0"/>
              <w:spacing w:before="0" w:after="283"/>
              <w:jc w:val="left"/>
              <w:rPr/>
            </w:pPr>
            <w:r>
              <w:rPr/>
              <w:t> </w:t>
            </w:r>
          </w:p>
        </w:tc>
      </w:tr>
      <w:tr>
        <w:trPr/>
        <w:tc>
          <w:tcPr>
            <w:tcW w:w="5839"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3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839" w:type="dxa"/>
            <w:tcBorders/>
          </w:tcPr>
          <w:p>
            <w:pPr>
              <w:pStyle w:val="TableContents"/>
              <w:bidi w:val="0"/>
              <w:spacing w:before="0" w:after="0"/>
              <w:jc w:val="left"/>
              <w:rPr>
                <w:rFonts w:ascii="Times New Roman" w:hAnsi="Times New Roman"/>
                <w:sz w:val="20"/>
              </w:rPr>
            </w:pPr>
            <w:r>
              <w:rPr>
                <w:rFonts w:ascii="Times New Roman" w:hAnsi="Times New Roman"/>
                <w:sz w:val="20"/>
              </w:rPr>
              <w:t>Total prepaid expenses and other current assets</w:t>
            </w:r>
          </w:p>
        </w:tc>
        <w:tc>
          <w:tcPr>
            <w:tcW w:w="41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257" w:type="dxa"/>
            <w:tcBorders/>
            <w:vAlign w:val="bottom"/>
          </w:tcPr>
          <w:p>
            <w:pPr>
              <w:pStyle w:val="TableContents"/>
              <w:bidi w:val="0"/>
              <w:spacing w:before="0" w:after="283"/>
              <w:jc w:val="right"/>
              <w:rPr/>
            </w:pPr>
            <w:r>
              <w:rPr/>
              <w:t>  </w:t>
            </w:r>
            <w:r>
              <w:rPr/>
              <w:t>6,231</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  </w:t>
            </w:r>
            <w:r>
              <w:rPr/>
              <w:t>13,250</w:t>
            </w:r>
          </w:p>
        </w:tc>
        <w:tc>
          <w:tcPr>
            <w:tcW w:w="65" w:type="dxa"/>
            <w:tcBorders/>
            <w:vAlign w:val="bottom"/>
          </w:tcPr>
          <w:p>
            <w:pPr>
              <w:pStyle w:val="TableContents"/>
              <w:bidi w:val="0"/>
              <w:spacing w:before="0" w:after="283"/>
              <w:jc w:val="left"/>
              <w:rPr/>
            </w:pPr>
            <w:r>
              <w:rPr/>
              <w:t> </w:t>
            </w:r>
          </w:p>
        </w:tc>
      </w:tr>
      <w:tr>
        <w:trPr/>
        <w:tc>
          <w:tcPr>
            <w:tcW w:w="5839"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2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93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 Assets </w:t>
      </w:r>
    </w:p>
    <w:p>
      <w:pPr>
        <w:pStyle w:val="TextBody"/>
        <w:bidi w:val="0"/>
        <w:spacing w:before="120" w:after="0"/>
        <w:jc w:val="left"/>
        <w:rPr>
          <w:rFonts w:ascii="Times New Roman" w:hAnsi="Times New Roman"/>
          <w:sz w:val="20"/>
        </w:rPr>
      </w:pPr>
      <w:r>
        <w:rPr>
          <w:rFonts w:ascii="Times New Roman" w:hAnsi="Times New Roman"/>
          <w:sz w:val="20"/>
        </w:rPr>
        <w:t xml:space="preserve">Other assets consisted of the following: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778"/>
        <w:gridCol w:w="481"/>
        <w:gridCol w:w="242"/>
        <w:gridCol w:w="1188"/>
        <w:gridCol w:w="60"/>
        <w:gridCol w:w="481"/>
        <w:gridCol w:w="182"/>
        <w:gridCol w:w="913"/>
        <w:gridCol w:w="63"/>
      </w:tblGrid>
      <w:tr>
        <w:trPr/>
        <w:tc>
          <w:tcPr>
            <w:tcW w:w="5778"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778"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2021</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1095"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2022</w:t>
            </w:r>
          </w:p>
        </w:tc>
        <w:tc>
          <w:tcPr>
            <w:tcW w:w="63" w:type="dxa"/>
            <w:tcBorders/>
            <w:vAlign w:val="bottom"/>
          </w:tcPr>
          <w:p>
            <w:pPr>
              <w:pStyle w:val="TableContents"/>
              <w:bidi w:val="0"/>
              <w:spacing w:before="0" w:after="283"/>
              <w:jc w:val="left"/>
              <w:rPr/>
            </w:pPr>
            <w:r>
              <w:rPr/>
              <w:t> </w:t>
            </w:r>
          </w:p>
        </w:tc>
      </w:tr>
      <w:tr>
        <w:trPr/>
        <w:tc>
          <w:tcPr>
            <w:tcW w:w="5778"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3066" w:type="dxa"/>
            <w:gridSpan w:val="6"/>
            <w:tcBorders/>
            <w:vAlign w:val="bottom"/>
          </w:tcPr>
          <w:p>
            <w:pPr>
              <w:pStyle w:val="TableContents"/>
              <w:bidi w:val="0"/>
              <w:spacing w:before="0" w:after="283"/>
              <w:jc w:val="center"/>
              <w:rPr>
                <w:b/>
              </w:rPr>
            </w:pPr>
            <w:r>
              <w:rPr>
                <w:b/>
              </w:rPr>
              <w:t>(in thousands)</w:t>
            </w:r>
          </w:p>
        </w:tc>
        <w:tc>
          <w:tcPr>
            <w:tcW w:w="63" w:type="dxa"/>
            <w:tcBorders/>
            <w:vAlign w:val="bottom"/>
          </w:tcPr>
          <w:p>
            <w:pPr>
              <w:pStyle w:val="TableContents"/>
              <w:bidi w:val="0"/>
              <w:spacing w:before="0" w:after="283"/>
              <w:jc w:val="left"/>
              <w:rPr/>
            </w:pPr>
            <w:r>
              <w:rPr/>
              <w:t> </w:t>
            </w:r>
          </w:p>
        </w:tc>
      </w:tr>
      <w:tr>
        <w:trPr/>
        <w:tc>
          <w:tcPr>
            <w:tcW w:w="5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prepaid research and development costs from related party</w:t>
            </w:r>
          </w:p>
        </w:tc>
        <w:tc>
          <w:tcPr>
            <w:tcW w:w="48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188" w:type="dxa"/>
            <w:tcBorders/>
            <w:shd w:fill="CCEEFF" w:val="clear"/>
            <w:vAlign w:val="bottom"/>
          </w:tcPr>
          <w:p>
            <w:pPr>
              <w:pStyle w:val="TableContents"/>
              <w:bidi w:val="0"/>
              <w:spacing w:before="0" w:after="283"/>
              <w:jc w:val="right"/>
              <w:rPr/>
            </w:pPr>
            <w:r>
              <w:rPr/>
              <w:t>7,623</w:t>
            </w:r>
          </w:p>
        </w:tc>
        <w:tc>
          <w:tcPr>
            <w:tcW w:w="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778" w:type="dxa"/>
            <w:tcBorders/>
          </w:tcPr>
          <w:p>
            <w:pPr>
              <w:pStyle w:val="TableContents"/>
              <w:bidi w:val="0"/>
              <w:spacing w:before="0" w:after="0"/>
              <w:jc w:val="left"/>
              <w:rPr>
                <w:rFonts w:ascii="Times New Roman" w:hAnsi="Times New Roman"/>
                <w:sz w:val="20"/>
              </w:rPr>
            </w:pPr>
            <w:r>
              <w:rPr>
                <w:rFonts w:ascii="Times New Roman" w:hAnsi="Times New Roman"/>
                <w:sz w:val="20"/>
              </w:rPr>
              <w:t>Deferred offering costs</w:t>
            </w:r>
          </w:p>
        </w:tc>
        <w:tc>
          <w:tcPr>
            <w:tcW w:w="48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1,829</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2,152</w:t>
            </w:r>
          </w:p>
        </w:tc>
        <w:tc>
          <w:tcPr>
            <w:tcW w:w="63" w:type="dxa"/>
            <w:tcBorders/>
            <w:vAlign w:val="bottom"/>
          </w:tcPr>
          <w:p>
            <w:pPr>
              <w:pStyle w:val="TableContents"/>
              <w:bidi w:val="0"/>
              <w:spacing w:before="0" w:after="283"/>
              <w:jc w:val="left"/>
              <w:rPr/>
            </w:pPr>
            <w:r>
              <w:rPr/>
              <w:t> </w:t>
            </w:r>
          </w:p>
        </w:tc>
      </w:tr>
      <w:tr>
        <w:trPr/>
        <w:tc>
          <w:tcPr>
            <w:tcW w:w="5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48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201</w:t>
            </w:r>
          </w:p>
        </w:tc>
        <w:tc>
          <w:tcPr>
            <w:tcW w:w="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151</w:t>
            </w:r>
          </w:p>
        </w:tc>
        <w:tc>
          <w:tcPr>
            <w:tcW w:w="63" w:type="dxa"/>
            <w:tcBorders/>
            <w:shd w:fill="CCEEFF" w:val="clear"/>
            <w:vAlign w:val="bottom"/>
          </w:tcPr>
          <w:p>
            <w:pPr>
              <w:pStyle w:val="TableContents"/>
              <w:bidi w:val="0"/>
              <w:spacing w:before="0" w:after="283"/>
              <w:jc w:val="left"/>
              <w:rPr/>
            </w:pPr>
            <w:r>
              <w:rPr/>
              <w:t> </w:t>
            </w:r>
          </w:p>
        </w:tc>
      </w:tr>
      <w:tr>
        <w:trPr/>
        <w:tc>
          <w:tcPr>
            <w:tcW w:w="5778" w:type="dxa"/>
            <w:tcBorders/>
            <w:vAlign w:val="bottom"/>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778"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assets</w:t>
            </w:r>
          </w:p>
        </w:tc>
        <w:tc>
          <w:tcPr>
            <w:tcW w:w="48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188" w:type="dxa"/>
            <w:tcBorders/>
            <w:vAlign w:val="bottom"/>
          </w:tcPr>
          <w:p>
            <w:pPr>
              <w:pStyle w:val="TableContents"/>
              <w:bidi w:val="0"/>
              <w:spacing w:before="0" w:after="283"/>
              <w:jc w:val="right"/>
              <w:rPr/>
            </w:pPr>
            <w:r>
              <w:rPr/>
              <w:t>  </w:t>
            </w:r>
            <w:r>
              <w:rPr/>
              <w:t>9,653</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  </w:t>
            </w:r>
            <w:r>
              <w:rPr/>
              <w:t>2,303</w:t>
            </w:r>
          </w:p>
        </w:tc>
        <w:tc>
          <w:tcPr>
            <w:tcW w:w="63" w:type="dxa"/>
            <w:tcBorders/>
            <w:vAlign w:val="bottom"/>
          </w:tcPr>
          <w:p>
            <w:pPr>
              <w:pStyle w:val="TableContents"/>
              <w:bidi w:val="0"/>
              <w:spacing w:before="0" w:after="283"/>
              <w:jc w:val="left"/>
              <w:rPr/>
            </w:pPr>
            <w:r>
              <w:rPr/>
              <w:t> </w:t>
            </w:r>
          </w:p>
        </w:tc>
      </w:tr>
      <w:tr>
        <w:trPr/>
        <w:tc>
          <w:tcPr>
            <w:tcW w:w="5778" w:type="dxa"/>
            <w:tcBorders/>
            <w:vAlign w:val="bottom"/>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1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91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Accrued Liabilities </w:t>
      </w:r>
    </w:p>
    <w:p>
      <w:pPr>
        <w:pStyle w:val="TextBody"/>
        <w:bidi w:val="0"/>
        <w:spacing w:before="120" w:after="0"/>
        <w:jc w:val="left"/>
        <w:rPr>
          <w:rFonts w:ascii="Times New Roman" w:hAnsi="Times New Roman"/>
          <w:sz w:val="20"/>
        </w:rPr>
      </w:pPr>
      <w:r>
        <w:rPr>
          <w:rFonts w:ascii="Times New Roman" w:hAnsi="Times New Roman"/>
          <w:sz w:val="20"/>
        </w:rPr>
        <w:t xml:space="preserve">Accrued liabilities consisted of the following: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939"/>
        <w:gridCol w:w="351"/>
        <w:gridCol w:w="210"/>
        <w:gridCol w:w="1295"/>
        <w:gridCol w:w="60"/>
        <w:gridCol w:w="351"/>
        <w:gridCol w:w="159"/>
        <w:gridCol w:w="959"/>
        <w:gridCol w:w="64"/>
      </w:tblGrid>
      <w:tr>
        <w:trPr/>
        <w:tc>
          <w:tcPr>
            <w:tcW w:w="5939"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939"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2021</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2022</w:t>
            </w:r>
          </w:p>
        </w:tc>
        <w:tc>
          <w:tcPr>
            <w:tcW w:w="64" w:type="dxa"/>
            <w:tcBorders/>
            <w:vAlign w:val="bottom"/>
          </w:tcPr>
          <w:p>
            <w:pPr>
              <w:pStyle w:val="TableContents"/>
              <w:bidi w:val="0"/>
              <w:spacing w:before="0" w:after="283"/>
              <w:jc w:val="left"/>
              <w:rPr/>
            </w:pPr>
            <w:r>
              <w:rPr/>
              <w:t> </w:t>
            </w:r>
          </w:p>
        </w:tc>
      </w:tr>
      <w:tr>
        <w:trPr/>
        <w:tc>
          <w:tcPr>
            <w:tcW w:w="5939"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034" w:type="dxa"/>
            <w:gridSpan w:val="6"/>
            <w:tcBorders/>
            <w:vAlign w:val="bottom"/>
          </w:tcPr>
          <w:p>
            <w:pPr>
              <w:pStyle w:val="TableContents"/>
              <w:bidi w:val="0"/>
              <w:spacing w:before="0" w:after="283"/>
              <w:jc w:val="center"/>
              <w:rPr>
                <w:b/>
              </w:rPr>
            </w:pPr>
            <w:r>
              <w:rPr>
                <w:b/>
              </w:rPr>
              <w:t>(in thousands)</w:t>
            </w:r>
          </w:p>
        </w:tc>
        <w:tc>
          <w:tcPr>
            <w:tcW w:w="64" w:type="dxa"/>
            <w:tcBorders/>
            <w:vAlign w:val="bottom"/>
          </w:tcPr>
          <w:p>
            <w:pPr>
              <w:pStyle w:val="TableContents"/>
              <w:bidi w:val="0"/>
              <w:spacing w:before="0" w:after="283"/>
              <w:jc w:val="left"/>
              <w:rPr/>
            </w:pPr>
            <w:r>
              <w:rPr/>
              <w:t> </w:t>
            </w:r>
          </w:p>
        </w:tc>
      </w:tr>
      <w:tr>
        <w:trPr/>
        <w:tc>
          <w:tcPr>
            <w:tcW w:w="59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services due to related party</w:t>
            </w:r>
          </w:p>
        </w:tc>
        <w:tc>
          <w:tcPr>
            <w:tcW w:w="35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6,250</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6,250</w:t>
            </w:r>
          </w:p>
        </w:tc>
        <w:tc>
          <w:tcPr>
            <w:tcW w:w="64" w:type="dxa"/>
            <w:tcBorders/>
            <w:shd w:fill="CCEEFF" w:val="clear"/>
            <w:vAlign w:val="bottom"/>
          </w:tcPr>
          <w:p>
            <w:pPr>
              <w:pStyle w:val="TableContents"/>
              <w:bidi w:val="0"/>
              <w:spacing w:before="0" w:after="283"/>
              <w:jc w:val="left"/>
              <w:rPr/>
            </w:pPr>
            <w:r>
              <w:rPr/>
              <w:t> </w:t>
            </w:r>
          </w:p>
        </w:tc>
      </w:tr>
      <w:tr>
        <w:trPr/>
        <w:tc>
          <w:tcPr>
            <w:tcW w:w="5939"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and benefits</w:t>
            </w:r>
          </w:p>
        </w:tc>
        <w:tc>
          <w:tcPr>
            <w:tcW w:w="35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6,646</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3,428</w:t>
            </w:r>
          </w:p>
        </w:tc>
        <w:tc>
          <w:tcPr>
            <w:tcW w:w="64" w:type="dxa"/>
            <w:tcBorders/>
            <w:vAlign w:val="bottom"/>
          </w:tcPr>
          <w:p>
            <w:pPr>
              <w:pStyle w:val="TableContents"/>
              <w:bidi w:val="0"/>
              <w:spacing w:before="0" w:after="283"/>
              <w:jc w:val="left"/>
              <w:rPr/>
            </w:pPr>
            <w:r>
              <w:rPr/>
              <w:t> </w:t>
            </w:r>
          </w:p>
        </w:tc>
      </w:tr>
      <w:tr>
        <w:trPr/>
        <w:tc>
          <w:tcPr>
            <w:tcW w:w="59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clinical trial and preclinical costs</w:t>
            </w:r>
          </w:p>
        </w:tc>
        <w:tc>
          <w:tcPr>
            <w:tcW w:w="35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2,920</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1,792</w:t>
            </w:r>
          </w:p>
        </w:tc>
        <w:tc>
          <w:tcPr>
            <w:tcW w:w="64" w:type="dxa"/>
            <w:tcBorders/>
            <w:shd w:fill="CCEEFF" w:val="clear"/>
            <w:vAlign w:val="bottom"/>
          </w:tcPr>
          <w:p>
            <w:pPr>
              <w:pStyle w:val="TableContents"/>
              <w:bidi w:val="0"/>
              <w:spacing w:before="0" w:after="283"/>
              <w:jc w:val="left"/>
              <w:rPr/>
            </w:pPr>
            <w:r>
              <w:rPr/>
              <w:t> </w:t>
            </w:r>
          </w:p>
        </w:tc>
      </w:tr>
      <w:tr>
        <w:trPr/>
        <w:tc>
          <w:tcPr>
            <w:tcW w:w="5939"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35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2,523</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2,550</w:t>
            </w:r>
          </w:p>
        </w:tc>
        <w:tc>
          <w:tcPr>
            <w:tcW w:w="64" w:type="dxa"/>
            <w:tcBorders/>
            <w:vAlign w:val="bottom"/>
          </w:tcPr>
          <w:p>
            <w:pPr>
              <w:pStyle w:val="TableContents"/>
              <w:bidi w:val="0"/>
              <w:spacing w:before="0" w:after="283"/>
              <w:jc w:val="left"/>
              <w:rPr/>
            </w:pPr>
            <w:r>
              <w:rPr/>
              <w:t> </w:t>
            </w:r>
          </w:p>
        </w:tc>
      </w:tr>
      <w:tr>
        <w:trPr/>
        <w:tc>
          <w:tcPr>
            <w:tcW w:w="59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5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757</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390</w:t>
            </w:r>
          </w:p>
        </w:tc>
        <w:tc>
          <w:tcPr>
            <w:tcW w:w="64" w:type="dxa"/>
            <w:tcBorders/>
            <w:shd w:fill="CCEEFF" w:val="clear"/>
            <w:vAlign w:val="bottom"/>
          </w:tcPr>
          <w:p>
            <w:pPr>
              <w:pStyle w:val="TableContents"/>
              <w:bidi w:val="0"/>
              <w:spacing w:before="0" w:after="283"/>
              <w:jc w:val="left"/>
              <w:rPr/>
            </w:pPr>
            <w:r>
              <w:rPr/>
              <w:t> </w:t>
            </w:r>
          </w:p>
        </w:tc>
      </w:tr>
      <w:tr>
        <w:trPr/>
        <w:tc>
          <w:tcPr>
            <w:tcW w:w="5939"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39"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liabilities</w:t>
            </w:r>
          </w:p>
        </w:tc>
        <w:tc>
          <w:tcPr>
            <w:tcW w:w="35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95" w:type="dxa"/>
            <w:tcBorders/>
            <w:vAlign w:val="bottom"/>
          </w:tcPr>
          <w:p>
            <w:pPr>
              <w:pStyle w:val="TableContents"/>
              <w:bidi w:val="0"/>
              <w:spacing w:before="0" w:after="283"/>
              <w:jc w:val="right"/>
              <w:rPr/>
            </w:pPr>
            <w:r>
              <w:rPr/>
              <w:t>  </w:t>
            </w:r>
            <w:r>
              <w:rPr/>
              <w:t>19,096</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59" w:type="dxa"/>
            <w:tcBorders/>
            <w:vAlign w:val="bottom"/>
          </w:tcPr>
          <w:p>
            <w:pPr>
              <w:pStyle w:val="TableContents"/>
              <w:bidi w:val="0"/>
              <w:spacing w:before="0" w:after="283"/>
              <w:jc w:val="right"/>
              <w:rPr/>
            </w:pPr>
            <w:r>
              <w:rPr/>
              <w:t>  </w:t>
            </w:r>
            <w:r>
              <w:rPr/>
              <w:t>14,410</w:t>
            </w:r>
          </w:p>
        </w:tc>
        <w:tc>
          <w:tcPr>
            <w:tcW w:w="64" w:type="dxa"/>
            <w:tcBorders/>
            <w:vAlign w:val="bottom"/>
          </w:tcPr>
          <w:p>
            <w:pPr>
              <w:pStyle w:val="TableContents"/>
              <w:bidi w:val="0"/>
              <w:spacing w:before="0" w:after="283"/>
              <w:jc w:val="left"/>
              <w:rPr/>
            </w:pPr>
            <w:r>
              <w:rPr/>
              <w:t> </w:t>
            </w:r>
          </w:p>
        </w:tc>
      </w:tr>
      <w:tr>
        <w:trPr/>
        <w:tc>
          <w:tcPr>
            <w:tcW w:w="5939"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95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Acquisitions of Assets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BlackThorn Therapeutics, Inc. </w:t>
      </w:r>
    </w:p>
    <w:p>
      <w:pPr>
        <w:pStyle w:val="TextBody"/>
        <w:bidi w:val="0"/>
        <w:spacing w:before="120" w:after="0"/>
        <w:jc w:val="left"/>
        <w:rPr>
          <w:rFonts w:ascii="Times New Roman" w:hAnsi="Times New Roman"/>
          <w:sz w:val="20"/>
        </w:rPr>
      </w:pPr>
      <w:r>
        <w:rPr>
          <w:rFonts w:ascii="Times New Roman" w:hAnsi="Times New Roman"/>
          <w:sz w:val="20"/>
        </w:rPr>
        <w:t xml:space="preserve">In June 2020, the Company entered into an agreement and plan of merger (BlackThorn Merger Agreement) to acquire all of the equity interests of BlackThorn Therapeutics, Inc. (BlackThorn), which became effective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September 2020. The Company acquired BlackThorm for its in-process research and development programs, including an antagonist of the Kappa Opioid Receptor (NMRA-140) for the treatment of major depressive disorders and an antagonist of the Vasopressin 1a Receptor (NMRA-511) for the treatment of anxiety disorders. The Company also gained access to a cloud-based computational psychiatry and data platform that was being developed to support drug target identification, patient stratification and objective clinical trial endpoints. Both NMRA-140 and NMRA-511 were exclusively licensed to BlackThorn by The Scripps Research Institute (TSRI). The acquisition was accounted for as an acquisition of assets. </w:t>
      </w:r>
    </w:p>
    <w:p>
      <w:pPr>
        <w:pStyle w:val="TextBody"/>
        <w:bidi w:val="0"/>
        <w:spacing w:before="240" w:after="0"/>
        <w:jc w:val="left"/>
        <w:rPr>
          <w:rFonts w:ascii="Times New Roman" w:hAnsi="Times New Roman"/>
          <w:sz w:val="20"/>
        </w:rPr>
      </w:pPr>
      <w:r>
        <w:rPr>
          <w:rFonts w:ascii="Times New Roman" w:hAnsi="Times New Roman"/>
          <w:sz w:val="20"/>
        </w:rPr>
        <w:t xml:space="preserve">The BlackThorn Merger Agreement requires the Company to pay the former stockholders of BlackThorn contingent consideration (i) with respect to NMRA-140, in the form of development and regulatory approval milestones of up to an aggregate amount of $365.0 million, including the potential for a milestone payment of $75.0 million upon completion of the Phase 2a clinical trial of NMRA-140 if certain success criteria are achieved, and sales-based milestones of up to an aggregate amount of $450.0 million and (ii) with respect to NMRA-511, in the form of development and regulatory approval milestones of up to an aggregate amount of $100.0 million, and sales-based milestones of up to an aggregate amount of $100.0 million (the BlackThorn Milestones). At the Companys sole discretion, the BlackThorn Milestone payments may be settled in cash or shares of the Company, or a combination of both, subject to the provisions of the BlackThorn Merger Agreement, other than one development milestone in the amount of $10.0 million, which must be settled in cash. None of the BlackThorn Milestones were subject to liability classification and/or derivative accounting and any such contingent consideration will be recognized when the contingency is resolved, and the consideration becomes payable. For the three months ended March 31, 2021 and 2022, no such amounts were deemed due or payable. </w:t>
      </w:r>
    </w:p>
    <w:p>
      <w:pPr>
        <w:pStyle w:val="TextBody"/>
        <w:bidi w:val="0"/>
        <w:spacing w:before="360" w:after="0"/>
        <w:jc w:val="left"/>
        <w:rPr>
          <w:rFonts w:ascii="Times New Roman" w:hAnsi="Times New Roman"/>
          <w:i/>
          <w:sz w:val="20"/>
        </w:rPr>
      </w:pPr>
      <w:r>
        <w:rPr>
          <w:rFonts w:ascii="Times New Roman" w:hAnsi="Times New Roman"/>
          <w:i/>
          <w:sz w:val="20"/>
        </w:rPr>
        <w:t xml:space="preserve">BlackThorn Carveout Plan </w:t>
      </w:r>
    </w:p>
    <w:p>
      <w:pPr>
        <w:pStyle w:val="TextBody"/>
        <w:bidi w:val="0"/>
        <w:spacing w:before="120" w:after="0"/>
        <w:jc w:val="left"/>
        <w:rPr>
          <w:rFonts w:ascii="Times New Roman" w:hAnsi="Times New Roman"/>
          <w:sz w:val="20"/>
        </w:rPr>
      </w:pPr>
      <w:r>
        <w:rPr>
          <w:rFonts w:ascii="Times New Roman" w:hAnsi="Times New Roman"/>
          <w:sz w:val="20"/>
        </w:rPr>
        <w:t xml:space="preserve">The BlackThorn Merger Agreement required that the Company establish a carveout plan (the BlackThorn Carveout Plan), pursuant to which each BlackThorn stock option holder as of immediately prior to the Closing Date was allocated a certain number of units (the BlackThorn Carveout Units) based on the number of shares underlying the outstanding options held by each participant at that time. Each BlackThorn Carveout Unit represents a right to receive a portion of the BlackThorn Milestone payment (the BlackThorn Carveout Payments) upon the later of (i) the achievement of a BlackThorn Milestone and (ii) the vesting of the BlackThorn Carveout Unit. </w:t>
      </w:r>
    </w:p>
    <w:p>
      <w:pPr>
        <w:pStyle w:val="TextBody"/>
        <w:bidi w:val="0"/>
        <w:spacing w:before="240" w:after="0"/>
        <w:jc w:val="left"/>
        <w:rPr>
          <w:rFonts w:ascii="Times New Roman" w:hAnsi="Times New Roman"/>
          <w:sz w:val="20"/>
        </w:rPr>
      </w:pPr>
      <w:r>
        <w:rPr>
          <w:rFonts w:ascii="Times New Roman" w:hAnsi="Times New Roman"/>
          <w:sz w:val="20"/>
        </w:rPr>
        <w:t xml:space="preserve">The BlackThorn Carveout Units vest based on time-based schedules that mirror the vesting schedules for the original option awards held by each participant. As of the closing date in September 2020, a portion of the BlackThorn Carveout Units corresponding to the pre-acquisition service periods were fully vested (Vested Carveout Units). The remainder of the BlackThorn Carveout Units vest subject to the continued service of the participants. </w:t>
      </w:r>
    </w:p>
    <w:p>
      <w:pPr>
        <w:pStyle w:val="TextBody"/>
        <w:bidi w:val="0"/>
        <w:spacing w:before="240" w:after="0"/>
        <w:jc w:val="left"/>
        <w:rPr>
          <w:rFonts w:ascii="Times New Roman" w:hAnsi="Times New Roman"/>
          <w:sz w:val="20"/>
        </w:rPr>
      </w:pPr>
      <w:r>
        <w:rPr>
          <w:rFonts w:ascii="Times New Roman" w:hAnsi="Times New Roman"/>
          <w:sz w:val="20"/>
        </w:rPr>
        <w:t xml:space="preserve">The Vested Carveout Units represent contingent consideration for the acquisition as they are attributable to pre-acquisition services rendered by the participants and continuing service is not required for the participants to receive future payments upon a BlackThorn Milestone being achieved. The Company will recognize the contingent consideration obligation for the Vested Carveout Units when the contingency is resolved, and the consideration becomes payable. The BlackThorn Carveout Units that were unvested as of the Closing Date are dependent on the continued service of participants and were deemed to be a compensation arrangement. The Company will recognize the compensation starting from the time payment becomes probable over each participants service period. As of March 31, 2022, none of the BlackThorn Milestones had been achieved or were probable of being achieved, and no contingent consideration obligation or compensation related to the BlackThorn Carveout Plan had been recorded.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Syllable Life Sciences, Inc.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2020, the Company entered into an agreement and plan of merger (Syllable Merger Agreement) to acquire all of the outstanding equity of Syllable Life Sciences, Inc. (Syllable). The Company acquired Syllable to gain access the rights granted to Syllable under an exclusive license agreement (as amended, the Harvard License Agreement) with President and Fellows of Harvard College (Harvard) and an associated behavior analysis machine learning and computer vision software tool which Syllable was developing to identify and quantify behavior as an indicator of neurological conditions. The transaction was accounted for as an acquisition of assets. </w:t>
      </w:r>
    </w:p>
    <w:p>
      <w:pPr>
        <w:pStyle w:val="TextBody"/>
        <w:bidi w:val="0"/>
        <w:spacing w:before="240" w:after="0"/>
        <w:jc w:val="left"/>
        <w:rPr>
          <w:rFonts w:ascii="Times New Roman" w:hAnsi="Times New Roman"/>
          <w:sz w:val="20"/>
        </w:rPr>
      </w:pPr>
      <w:r>
        <w:rPr>
          <w:rFonts w:ascii="Times New Roman" w:hAnsi="Times New Roman"/>
          <w:sz w:val="20"/>
        </w:rPr>
        <w:t xml:space="preserve">The former stockholders of Syllable are entitled to contingent consideration in the form of development milestones of up to an aggregate of $5.0 million (Syllable Milestones). At the Companys sole discretion, the Syllable Milestone payments may be settled, in cash or shares equity of the Company, or a combination of both, subject to the provisions of the Syllable Merger Agreement and were not subject to liability classification and/or derivative accounting. Any such contingent consideration will be recognized when the contingency is resolved, and the consideration becomes payable. For the three months ended March 31, 2021 and 2022, no such amounts were deemed due or payable. </w:t>
      </w:r>
    </w:p>
    <w:p>
      <w:pPr>
        <w:pStyle w:val="TextBody"/>
        <w:bidi w:val="0"/>
        <w:spacing w:before="360" w:after="0"/>
        <w:jc w:val="left"/>
        <w:rPr>
          <w:rFonts w:ascii="Times New Roman" w:hAnsi="Times New Roman"/>
          <w:b/>
          <w:sz w:val="20"/>
        </w:rPr>
      </w:pPr>
      <w:r>
        <w:rPr>
          <w:rFonts w:ascii="Times New Roman" w:hAnsi="Times New Roman"/>
          <w:b/>
          <w:sz w:val="20"/>
        </w:rPr>
        <w:t xml:space="preserve">Alairion, Inc.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2020, the Company entered into an agreement and plan of merger (Alairion Merger Agreement) to acquire all of the outstanding equity of Alairion, Inc. (Alairion). The acquisition of Alairion allowed the Company to expand its program pipeline by gaining rights to two preclinical stage research and development programs focused on the treatment of sleep disorders, an H1 receptor antagonist program (the H1 Program) and a GABA receptor positive allosteric modulator program (the GABA Program). The acquisition also provided the Company with access to a license for software that records sleep and related drug discovery and optimization technology platform. The transaction was accounted for as acquisition of assets.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Alairion common stock outstanding as of immediately prior to the closing date received non-transferable rights to future milestone payments of up to $33.5 million upon the achievement of specified development events and $135.0 million upon the achievement of specified commercialization events related to the H1 Program and the GABA Program (the Alairion Milestones). </w:t>
      </w:r>
    </w:p>
    <w:p>
      <w:pPr>
        <w:pStyle w:val="TextBody"/>
        <w:bidi w:val="0"/>
        <w:spacing w:before="240" w:after="0"/>
        <w:jc w:val="left"/>
        <w:rPr>
          <w:rFonts w:ascii="Times New Roman" w:hAnsi="Times New Roman"/>
          <w:sz w:val="20"/>
        </w:rPr>
      </w:pPr>
      <w:r>
        <w:rPr>
          <w:rFonts w:ascii="Times New Roman" w:hAnsi="Times New Roman"/>
          <w:sz w:val="20"/>
        </w:rPr>
        <w:t xml:space="preserve">The Alairion Milestone payments may be settled, at the Companys sole discretion, in cash or shares of the Company, or a combination of both, subject to the provisions of the Alairion Merger Agreement. None of the Alairion Milestones were subject to liability classification and/or derivative accounting and any such contingent consideration will be recognized when the contingency is resolved, and the consideration becomes payable. For the three months ended March 31, 2021 and 2022, no such amounts were deemed due or payable. In March 2022, the Company paused the active program acquired from Alairion while it assesses pre-IND feedback received from the FDA and considers alternative options for that program. </w:t>
      </w:r>
    </w:p>
    <w:p>
      <w:pPr>
        <w:pStyle w:val="TextBody"/>
        <w:bidi w:val="0"/>
        <w:spacing w:before="360" w:after="0"/>
        <w:jc w:val="left"/>
        <w:rPr>
          <w:rFonts w:ascii="Times New Roman" w:hAnsi="Times New Roman"/>
          <w:i/>
          <w:sz w:val="20"/>
        </w:rPr>
      </w:pPr>
      <w:r>
        <w:rPr>
          <w:rFonts w:ascii="Times New Roman" w:hAnsi="Times New Roman"/>
          <w:i/>
          <w:sz w:val="20"/>
        </w:rPr>
        <w:t xml:space="preserve">Alairion Carveout Plan </w:t>
      </w:r>
    </w:p>
    <w:p>
      <w:pPr>
        <w:pStyle w:val="TextBody"/>
        <w:bidi w:val="0"/>
        <w:spacing w:before="120" w:after="0"/>
        <w:jc w:val="left"/>
        <w:rPr>
          <w:rFonts w:ascii="Times New Roman" w:hAnsi="Times New Roman"/>
          <w:sz w:val="20"/>
        </w:rPr>
      </w:pPr>
      <w:r>
        <w:rPr>
          <w:rFonts w:ascii="Times New Roman" w:hAnsi="Times New Roman"/>
          <w:sz w:val="20"/>
        </w:rPr>
        <w:t xml:space="preserve">The Alairion Merger Agreement also required the Company to establish a carveout plan (the Alairion Carveout Plan) pursuant to which a portion of the payments under the Alairion Milestones, up to $3.0 million (the Alairion Carveout Payments), are reserved for participants under the Alairion Carveout Plan. Participants in the Alairion Carveout Plan are comprised of former Alairion employees, several of whom were retained as employees or consultants of the Company post-acquisition. Under the Alairion Carveout Plan, the Company granted the participants retention units, each representing a right to receive future payments upon the completion of Phase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clinical studies with respect to either the H1 Program or the GABA Program and achievement of the related Alairion Milestone, subject to the continued service of the participant until such time and were deemed to be a compensation arrangement. The retention units are forfeited if a participants service is terminated prior to the receipt of results from the Phase 2 clinical studies associated with the H1 Program and GABA Program. The Company will recognize such compensation starting from the time payment becomes probable over each participants service period. As of March 31, 2022, it was not probable that Phase 2 clinical studies would be achieved, and no compensation related to the Alairion Carveout Plan had been recorded. </w:t>
      </w:r>
    </w:p>
    <w:p>
      <w:pPr>
        <w:pStyle w:val="TextBody"/>
        <w:bidi w:val="0"/>
        <w:spacing w:before="360" w:after="0"/>
        <w:jc w:val="left"/>
        <w:rPr>
          <w:rFonts w:ascii="Times New Roman" w:hAnsi="Times New Roman"/>
          <w:b/>
          <w:sz w:val="20"/>
        </w:rPr>
      </w:pPr>
      <w:r>
        <w:rPr>
          <w:rFonts w:ascii="Times New Roman" w:hAnsi="Times New Roman"/>
          <w:b/>
          <w:sz w:val="20"/>
        </w:rPr>
        <w:t xml:space="preserve">Amgen Inc. Licenses </w:t>
      </w:r>
    </w:p>
    <w:p>
      <w:pPr>
        <w:pStyle w:val="TextBody"/>
        <w:bidi w:val="0"/>
        <w:spacing w:before="120" w:after="0"/>
        <w:jc w:val="left"/>
        <w:rPr>
          <w:rFonts w:ascii="Times New Roman" w:hAnsi="Times New Roman"/>
          <w:sz w:val="20"/>
        </w:rPr>
      </w:pPr>
      <w:r>
        <w:rPr>
          <w:rFonts w:ascii="Times New Roman" w:hAnsi="Times New Roman"/>
          <w:sz w:val="20"/>
        </w:rPr>
        <w:t>In September 2021, the Company entered into two license agreements with Amgen Inc. (Amgen) pursuant to which it obtained exclusive, worldwide licenses to develop, manufacture, use, commercialize and distribute products containing compounds that are directed to, in one case, CK1</w:t>
      </w:r>
      <w:r>
        <w:rPr>
          <w:rFonts w:ascii="SYMBOL" w:hAnsi="SYMBOL"/>
          <w:sz w:val="20"/>
        </w:rPr>
        <w:t>d</w:t>
      </w:r>
      <w:r>
        <w:rPr>
          <w:rFonts w:ascii="Times New Roman" w:hAnsi="Times New Roman"/>
          <w:sz w:val="20"/>
        </w:rPr>
        <w:t xml:space="preserve">, and in the other case, glucocerebrocidase (Gcase), both for the treatment of neurodegenerative diseases (the Amgen License Agreements) and related know-how and clinical material (collectively, the Amgen IPR&amp;D Assets). Concurrently, the Company also executed a research collaboration agreement (see Note 9) as well as a stock purchase agreement (see Note 10) with Amgen. Both of these agreements were deemed to be separate transactions and not accounted for as part of the acquisition of assets. The Company accounted for these transactions as acquisitions of assets </w:t>
      </w:r>
    </w:p>
    <w:p>
      <w:pPr>
        <w:pStyle w:val="TextBody"/>
        <w:bidi w:val="0"/>
        <w:spacing w:before="240" w:after="0"/>
        <w:jc w:val="left"/>
        <w:rPr>
          <w:rFonts w:ascii="Times New Roman" w:hAnsi="Times New Roman"/>
          <w:sz w:val="20"/>
        </w:rPr>
      </w:pPr>
      <w:r>
        <w:rPr>
          <w:rFonts w:ascii="Times New Roman" w:hAnsi="Times New Roman"/>
          <w:sz w:val="20"/>
        </w:rPr>
        <w:t>Under these two license agreements, Amgen is eligible to receive contingent consideration up to an aggregate of $360.0 million in commercial milestone payments per product payable in cash with a compound directed to CK1</w:t>
      </w:r>
      <w:r>
        <w:rPr>
          <w:rFonts w:ascii="SYMBOL" w:hAnsi="SYMBOL"/>
          <w:sz w:val="20"/>
        </w:rPr>
        <w:t>d</w:t>
      </w:r>
      <w:r>
        <w:rPr>
          <w:rFonts w:ascii="Times New Roman" w:hAnsi="Times New Roman"/>
          <w:sz w:val="20"/>
        </w:rPr>
        <w:t xml:space="preserve"> and up to an aggregate of $360.0 million in commercial milestone payments per product payable in cash with a compound directed to Gcase, in each case, upon the achievement of certain sales thresholds and single digit royalties on potential future net sales. Such contingent consideration was not subject to liability classification and/or derivative accounting and will be recognized when the contingency is resolved, and the consideration becomes payable. For the three months ended March 31, 2022, no such amounts were deemed due or payable.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until a specified period of time following the achievement of the first successful Phase 2 clinical trial for any licensed product, if the Company chooses to sell, transfer, sublicense or divest rights to a licensed product in certain major markets, Amgen has a 90-day exclusive right of first negotiation to enter into an agreement with the Company for such rights. The Company determined that these rights of first negotiation were not freestanding instruments from the Amgen License Agreements and did not meet definition of a derivative. </w:t>
      </w:r>
    </w:p>
    <w:p>
      <w:pPr>
        <w:pStyle w:val="TextBody"/>
        <w:bidi w:val="0"/>
        <w:spacing w:before="360" w:after="0"/>
        <w:jc w:val="left"/>
        <w:rPr>
          <w:rFonts w:ascii="Times New Roman" w:hAnsi="Times New Roman"/>
          <w:b/>
          <w:sz w:val="20"/>
        </w:rPr>
      </w:pPr>
      <w:r>
        <w:rPr>
          <w:rFonts w:ascii="Times New Roman" w:hAnsi="Times New Roman"/>
          <w:b/>
          <w:sz w:val="20"/>
        </w:rPr>
        <w:t xml:space="preserve">Vanderbilt License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2022, the Company and Vanderbilt University (Vanderbilt) entered into a license agreement (Vanderbilt License Agreement). Pursuant to the Vanderbilt License Agreement, the Company obtained an exclusive, worldwide royalty-bearing, sublicensable (subject to certain restrictions) license under certain patent rights and a non-exclusive, worldwide, royalty-bearing, sublicensable (subject to certain restrictions) license under certain know-how covering small molecule positive allosteric modulators (PAMs) predominantly of the muscarinic acetylcholine receptor subtype 4 (M4) to develop, manufacture, and commercialize products, processes and services covered by such patent rights or that incorporate or use such know-how, for any and uses (the Vanderbilt IPR&amp;D Assets). Concurrently, the Company also executed a sponsored research agreement (see Note 9) with Vanderbilt. The sponsored research agreement was deemed to be separate transactions and not accounted for as part of the acquisition of assets. The acquisition of the Vanderbilt IPR&amp;D Assets became effective in February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licensed patent rights are subject to Vanderbilts right to use the patent rights for research, internal non-commercial use, and educational purposes. The Company intends to develop the PAMs for the treatment of schizophrenia and other neuropsychiatric disorders. The Company has agreed to use commercially reasonable efforts to develop and commercial licensed products, and to achieve certain development milestones. </w:t>
      </w:r>
    </w:p>
    <w:p>
      <w:pPr>
        <w:pStyle w:val="TextBody"/>
        <w:bidi w:val="0"/>
        <w:spacing w:before="240" w:after="0"/>
        <w:jc w:val="left"/>
        <w:rPr>
          <w:rFonts w:ascii="Times New Roman" w:hAnsi="Times New Roman"/>
          <w:sz w:val="20"/>
        </w:rPr>
      </w:pPr>
      <w:r>
        <w:rPr>
          <w:rFonts w:ascii="Times New Roman" w:hAnsi="Times New Roman"/>
          <w:sz w:val="20"/>
        </w:rPr>
        <w:t xml:space="preserve">The Company paid Vanderbilt a non-refundable, non-creditable upfront cash payment of $13.0 million for the Vanderbilt IPR&amp;D Assets, which was immediately recognized as acquired in-process research and development expense in the condensed consolidated statement of operations and comprehensive loss as it was determined to have no alternative future use as of the acquisition date. Under the Vanderbilt License Agreement, Vanderbilt is eligible to receive contingent consideration payable in cash up to an aggregate of $42.0 million upon the achievement of specified development milestones and up to an aggregate of $380.0 million upon the achievement of commercial milestone events as well as and tiered royalties at mid-single digit percentages on potential future net sales, subject to specified reductions for the lack of patent coverage, generic entry and payment obligations for third-party licenses. In addition, the Company is obligated to pay Vanderbilt low-double-digit percentage of sublicense income it receives for sublicenses entered into before the achievement of a specified event. Such contingent consideration was not subject to liability classification and/or derivative accounting and will be recognized when the contingency is resolved, and the consideration becomes payable. For the three months ended March 31, 2022, no such amounts were deemed due or payable.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also has an exclusive option, exercisable for a specified period of time, to negotiate an exclusive license to certain patent rights conceived or developed by Vanderbilt in the course of carrying out the sponsored research pursuant to a sponsored research agreement the between the Company and Vanderbilt, which was entered into at the same time as the Vanderbilt License Agreement. The Company determined that the right to negotiate was not a freestanding instrument from the Vanderbilt License Agreement and did not meet definition of a derivative.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Promissory Notes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issued convertible promissory notes in 2020 that were settled in September 2020 by issuing 59,180,294 shares of the Companys Series A-2 convertible preferred stock to the holders.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the issuance of the convertible promissory notes, the Company also issued shares of its common stock to certain of the holders in return for commitments to participate in the Companys Series A-2 convertible preferred stock financing. Such shares of common stock were subject to the investors right of forfeiture that lapsed upon fulfillment of their respective commitments to the Company in one or more subsequent closings of the Companys Series A-2 convertible preferred stock financing. The funding commitments, together with the embedded shares of common stock, were determined to be freestanding instruments apart from the convertible promissory notes (the funding commitment asset or FCA). The Company determined that the FCA (i) did not meet the criteria to be classified as a liability on its consolidated balance sheets, (ii) qualified for a scope exception from derivative accounting, and (iii) was not required to be measured at fair valued at inception (or subsequently). Accordingly, the proceeds received from the convertible promissory notes were allocated to the FCA on a residual basis, and such residual value was determined to be insignificant at inception. </w:t>
      </w:r>
    </w:p>
    <w:p>
      <w:pPr>
        <w:pStyle w:val="TextBody"/>
        <w:bidi w:val="0"/>
        <w:spacing w:before="240" w:after="0"/>
        <w:jc w:val="left"/>
        <w:rPr>
          <w:rFonts w:ascii="Times New Roman" w:hAnsi="Times New Roman"/>
          <w:sz w:val="20"/>
        </w:rPr>
      </w:pPr>
      <w:r>
        <w:rPr>
          <w:rFonts w:ascii="Times New Roman" w:hAnsi="Times New Roman"/>
          <w:sz w:val="20"/>
        </w:rPr>
        <w:t xml:space="preserve">In August 2021, the FCA held by one investor to purchase 10,000,000 shares of the Companys Series A-2 convertible preferred stock was met and the related right of forfeiture lapsed as to the 7,500,000 shares of common stock held by such investor (see Note 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not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w:t>
      </w:r>
    </w:p>
    <w:p>
      <w:pPr>
        <w:pStyle w:val="TextBody"/>
        <w:bidi w:val="0"/>
        <w:spacing w:before="360" w:after="0"/>
        <w:jc w:val="left"/>
        <w:rPr>
          <w:rFonts w:ascii="Times New Roman" w:hAnsi="Times New Roman"/>
          <w:b/>
          <w:sz w:val="20"/>
        </w:rPr>
      </w:pPr>
      <w:r>
        <w:rPr>
          <w:rFonts w:ascii="Times New Roman" w:hAnsi="Times New Roman"/>
          <w:b/>
          <w:sz w:val="20"/>
        </w:rPr>
        <w:t xml:space="preserve">Other 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various manufacturing, clinical, research and other contracts with vendors in the conduct of the normal course of its business. Such contracts are generally terminable with advanced written notice and payment for any products or services received by the Company through the effective time of termination and any non-cancelable and non-refundable obligations incurred by the vendor at the effective time of the termination. In the case of terminating a clinical trial agreement at a particular site, the Company would also be obligated to provide continued support for appropriate medical procedures at that site until completion or termination.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Strategic License and Research and Collaboration Agreements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2015 TSRI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acquisition of BlackThorn (see Note 6), the Company gained certain exclusive rights to intellectual property related to Kappa Opioid Receptor and V1aR Receptor Antagonist programs as well as an oxytocin receptors positive allosteric modulator program (collectively, the TSRI Programs) under a license agreement between BlackThorn and TSRI originally entered into in November 2015 (as amended, the 2015 TSRI License Agreement). The technology licensed under the 2015 TSRI License Agreement is used in the Companys NMRA-140 and NMRA-511 research and development programs.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2015 TSRI License Agreement, the Company is obligated, among other things, to pay TSRI (i) a nominal annual license fee due and payable on the first day of each calendar year and after the fourth anniversary creditable against any royalties due for such calendar year, (ii) development and regulatory milestone payments of up to $1.5 million in aggregate for the first product from each TSRI Program, which are contingent upon achieving specific development and regulatory milestone events, (iii) commercial milestone payments of up to $3.5 million in aggregate for each occurrence, which are contingent upon achieving specified commercialization milestone events, (iv) tiered low-single digit royalties on future net sales of each royalty-bearing product and (v) a percentage ranging from the mid-single digits to sub teen double digits of any sublicensing revenues the Company receives. As of March 31, 2022, none of the milestones had been achieved and no royalties were due under the 2015 TSRI License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2020 TSRI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acquisition in 2020 of Propellex Inc., the Company gained rights under a license agreement between Propellex and TSRI (the 2020 TSRI License Agreement) originally entered into in June 2020.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2020 TSRI License Agreement, Propellex obtained an exclusive, worldwide, royalty- bearing, sublicensable license under certain patent rights, know-how and licensed materials for the treatment of Parkinsons disease and other neurodegenerative diseases and neurological pathologies, to develop, manufacture and commercialize products covered by the licensed patents, or that involve the use or incorporation of the licensed know-how or licensed materials. </w:t>
      </w:r>
    </w:p>
    <w:p>
      <w:pPr>
        <w:pStyle w:val="TextBody"/>
        <w:bidi w:val="0"/>
        <w:spacing w:before="240" w:after="0"/>
        <w:jc w:val="left"/>
        <w:rPr>
          <w:rFonts w:ascii="Times New Roman" w:hAnsi="Times New Roman"/>
          <w:sz w:val="20"/>
        </w:rPr>
      </w:pPr>
      <w:r>
        <w:rPr>
          <w:rFonts w:ascii="Times New Roman" w:hAnsi="Times New Roman"/>
          <w:sz w:val="20"/>
        </w:rPr>
        <w:t xml:space="preserve">Under the 2020 TSRI License Agreement, the Company is obligated, among other things, to pay TSRI (i) milestone payments of up to an aggregate of $7.4 million per licensed product, which are contingent upon achieving specific development and commercialization milestone events, (ii) tiered low-single digit royalties on future net sales of each royalty-bearing product, and (iii) a portion of any sub licensing revenues it receives. As of March 31, 2022, none of the milestones had been achieved and no royalties were due under the 2020 TSRI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In April 2021, the Company terminated the Propellex IPR&amp;D program. </w:t>
      </w:r>
    </w:p>
    <w:p>
      <w:pPr>
        <w:pStyle w:val="TextBody"/>
        <w:bidi w:val="0"/>
        <w:spacing w:before="360" w:after="0"/>
        <w:jc w:val="left"/>
        <w:rPr>
          <w:rFonts w:ascii="Times New Roman" w:hAnsi="Times New Roman"/>
          <w:i/>
          <w:sz w:val="20"/>
        </w:rPr>
      </w:pPr>
      <w:r>
        <w:rPr>
          <w:rFonts w:ascii="Times New Roman" w:hAnsi="Times New Roman"/>
          <w:i/>
          <w:sz w:val="20"/>
        </w:rPr>
        <w:t xml:space="preserve">Harvard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acquisition of Syllable (see Note 6), the Company gained exclusive rights covering certain behavior imagining and behavioral tracking software under a license agreement between Syllable and Harvard originally entered into in June 2020. The Company uses the technology licensed under the Harvard License Agreement to advance its precision neuroscience platform. </w:t>
      </w:r>
    </w:p>
    <w:p>
      <w:pPr>
        <w:pStyle w:val="TextBody"/>
        <w:bidi w:val="0"/>
        <w:spacing w:before="240" w:after="0"/>
        <w:jc w:val="left"/>
        <w:rPr>
          <w:rFonts w:ascii="Times New Roman" w:hAnsi="Times New Roman"/>
          <w:sz w:val="20"/>
        </w:rPr>
      </w:pPr>
      <w:r>
        <w:rPr>
          <w:rFonts w:ascii="Times New Roman" w:hAnsi="Times New Roman"/>
          <w:sz w:val="20"/>
        </w:rPr>
        <w:t xml:space="preserve">Under the Harvard License Agreement, the Company is obligated, among other things, to pay Harvard (i) nominal annual license maintenance fees that are creditable against any royalty amounts payable for licensed products sold in the same year, (ii) mid-single digit royalties on future net sales of each royalty-bearing product that utilizes the licensed technology, and (iii) a portion of any sub licensing revenues the Company receives ranging from the high teens to low-double digits. As of March 31, 2022, none of the milestones had been achieved and no royalties were due under the Harvard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Harvard License Agreement, as amended in March 2021, provided for certain development milestones that the Company is required to meet between December 2021 and January 2024. Failure to meet such milestones constitutes a material breach of contract and would provide Harvard with the right to terminate the agreement subject to the notification and cure periods. As of March 31, 2022, the Company had not met the December 2021 or January 2022 milestones. As of the date these condensed consolidated financial statements were available for issuance, Harvard had neither terminated the agreement nor provided notice to the Company of its intent to do so as a result of the Companys failure to meet these milestones. The parties are currently in discussions to amend the agreement to revise the development milestones.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Collaboration Agreement with Amgen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2021, and concurrently with the Amgen License Agreements (see Note 6), the Company entered into a research collaboration agreement with Amgen (Amgen Collaboration Agreement) to collectively discover drug targets, biomarkers, Precision Phenotypes and other insights associated with central nervous system (CNS) diseases utilizing Amgens deCODE genetics and human data research capabilities. The Company received exclusive rights under intellectual property generated in the collaboration to exploit therapeutic compounds and diagnostics for use with therapeutics in the CNS field and Amgen received exclusive rights to exploit therapeutic compounds and diagnostics for use with therapeutics outside of the CNS field. The agreement is governed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Joint Research Committee (JRC) which is made up of two representatives from each of the Company and Amgen to manage the progress and direction of research and development activities. All decisions made by the JRC shall be by consensus with each party having one vote, and if the JRC cannot reach a consensus, the dispute shall be referred to each companys executive officers. If the executive officers fail to reach a consensus, the Company will have final decision-making authority provided that the matter does not relate to the approval of, or any material change to, a project, decisions to acquire rights from a third party, decisions or activities that are in conflict with Amgens database usage or data access rights, or the approval of external costs and expenses relating to certain new data generation activities or certain new dataset acquisitions, as such matters require mutual agreement. </w:t>
      </w:r>
    </w:p>
    <w:p>
      <w:pPr>
        <w:pStyle w:val="TextBody"/>
        <w:bidi w:val="0"/>
        <w:spacing w:before="240" w:after="0"/>
        <w:jc w:val="left"/>
        <w:rPr>
          <w:rFonts w:ascii="Times New Roman" w:hAnsi="Times New Roman"/>
          <w:sz w:val="20"/>
        </w:rPr>
      </w:pPr>
      <w:r>
        <w:rPr>
          <w:rFonts w:ascii="Times New Roman" w:hAnsi="Times New Roman"/>
          <w:sz w:val="20"/>
        </w:rPr>
        <w:t xml:space="preserve">In return for Amgen performing research and development activities under the agreement, the Company is committed to making non-refundable, non-creditable quarterly payments over the next two years totaling $50.0 million and for the third year between $12.5 million and $25.0 million depending on whether certain progress milestones are achieved. Additionally, the Company will reimburse Amgen for certain direct, out-of-pocket external costs and expenses that are incurred in the performance of the activities under the Amgen Collaboration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agreement is up to five years, although it will terminate after three years if the Company and Amgen do not mutually agree upon a compensation structure for years four and five. If the parties do not reach an agreement at least 30 days prior to the end of year three, the Amgen Collaboration Agreement will automatically terminate upon its third anniversary. Further, either party can terminate the Amgen Collaboration Agreement upon material uncured breach or bankruptcy by the other party, in which case all amounts that have become due through the date of termination are non-refundable. </w:t>
      </w:r>
    </w:p>
    <w:p>
      <w:pPr>
        <w:pStyle w:val="TextBody"/>
        <w:bidi w:val="0"/>
        <w:spacing w:before="240" w:after="0"/>
        <w:jc w:val="left"/>
        <w:rPr>
          <w:rFonts w:ascii="Times New Roman" w:hAnsi="Times New Roman"/>
          <w:sz w:val="20"/>
        </w:rPr>
      </w:pPr>
      <w:r>
        <w:rPr>
          <w:rFonts w:ascii="Times New Roman" w:hAnsi="Times New Roman"/>
          <w:sz w:val="20"/>
        </w:rPr>
        <w:t xml:space="preserve">Amgen also has an exclusive option to negotiate, and the right of first negotiation, to obtain exclusive, worldwide licenses to research, develop, commercialize and otherwise exploit up to two therapeutic compounds or any pharmaceutical product containing such therapeutic compound arising from the collaboration. That right exists with respect to each compound for up to 60 days following positive Phase 2 results for that compound. The Company determined that these rights were not freestanding instruments from the Amgen Collaboration Agreement and did not meet definition of a derivative. Upon execution of the Amgen Collaboration Agreement in September 2021, the Company was obligated to start paying Amgen non-refundable quarterly payments of $6.3 million. As of March 31, 2022, the third non-refundable quarterly payment of $6.3 million became due and has been recorded within accrued liabilities. As of December 31, 2021 the related prepaid research and development costs included in the condensed consolidated balance sheet were $4.4 million within prepaid expenses and other current assets and $7.6 million within other assets. As of March 31, 2022, the related prepaid research and development costs included in the condensed consolidated balance sheet were $11.7 million within prepaid expenses and other current assets. </w:t>
      </w:r>
    </w:p>
    <w:p>
      <w:pPr>
        <w:pStyle w:val="TextBody"/>
        <w:bidi w:val="0"/>
        <w:spacing w:before="360" w:after="0"/>
        <w:jc w:val="left"/>
        <w:rPr>
          <w:rFonts w:ascii="Times New Roman" w:hAnsi="Times New Roman"/>
          <w:i/>
          <w:sz w:val="20"/>
        </w:rPr>
      </w:pPr>
      <w:r>
        <w:rPr>
          <w:rFonts w:ascii="Times New Roman" w:hAnsi="Times New Roman"/>
          <w:i/>
          <w:sz w:val="20"/>
        </w:rPr>
        <w:t xml:space="preserve">Sponsored Research Agreement with Vanderbilt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2022, and concurrently with the Vanderbilt License Agreement (see Note 6), the Company entered into a sponsored research agreement with Vanderbilt (Vanderbilt Research Agreement), pursuant to which Vanderbilt agreed to provide the Company research services to develop a M4 PAM back-up program. </w:t>
      </w:r>
    </w:p>
    <w:p>
      <w:pPr>
        <w:pStyle w:val="TextBody"/>
        <w:bidi w:val="0"/>
        <w:spacing w:before="240" w:after="0"/>
        <w:jc w:val="left"/>
        <w:rPr>
          <w:rFonts w:ascii="Times New Roman" w:hAnsi="Times New Roman"/>
          <w:sz w:val="20"/>
        </w:rPr>
      </w:pPr>
      <w:r>
        <w:rPr>
          <w:rFonts w:ascii="Times New Roman" w:hAnsi="Times New Roman"/>
          <w:sz w:val="20"/>
        </w:rPr>
        <w:t xml:space="preserve">The agreement is governed by the Joint Steering Committee (JSC) which is made up of three representatives from each of the Company and Vanderbilt to manage the progress and direction of research and development activities. All decisions made by the JSC shall be by consensus with each party having one vote, and if the JSC cannot reach a consensus, then (i) each party shall make the final decision on non-strategic, day to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operational matters related to the implementation of research program activities conducted, managed, controlled or directed by such party, and (ii) the Company will have final decision-making authority with respect to material operation and strategic decisions. </w:t>
      </w:r>
    </w:p>
    <w:p>
      <w:pPr>
        <w:pStyle w:val="TextBody"/>
        <w:bidi w:val="0"/>
        <w:spacing w:before="240" w:after="0"/>
        <w:jc w:val="left"/>
        <w:rPr>
          <w:rFonts w:ascii="Times New Roman" w:hAnsi="Times New Roman"/>
          <w:sz w:val="20"/>
        </w:rPr>
      </w:pPr>
      <w:r>
        <w:rPr>
          <w:rFonts w:ascii="Times New Roman" w:hAnsi="Times New Roman"/>
          <w:sz w:val="20"/>
        </w:rPr>
        <w:t xml:space="preserve">In return for Vanderbilt performing research and development activities under the agreement, the Company will make quarterly payments for research up to a total of $1.7 million. The term of the agreement is one year. Either party may terminate the agreement upon 60 days written notice, subject to the Company paying reasonable costs incurred by Vanderbilt to wind-down the program and all costs incurred and non-cancellable commitments made prior to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also has an exclusive option to negotiate an exclusive license to certain patent rights conceived or developed by Vanderbilt in the course of carrying out the sponsored research (see Note 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10.</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Preferred Stock and Stockholders Deficit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2020, the Company executed a preferred stock purchase agreement (the SPA) and issued 123,620,000 shares of its Series A-2 convertible preferred stock at $1.00 per share for aggregate proceeds of $123.6 million in the initial closing of its Series A-2 convertible preferred stock financing. Concurrent with the initial closing, the Company acquired a legal entity through the issuance of 40,000,000 shares of its Series A-2 convertible preferred stock and 10,000,000 shares of its common stock. The entity did not meet the definition of a business and its sole asset was cash. As a result, the shares of the Companys Series A-2 convertible preferred stock and common stock were recognized at their relative fair values for $39.5 million of cash obtained in the transaction. The Company also issued 59,180,294 shares of its Series A-2 convertible preferred stock upon settlement of convertible promissory notes (see Note 7).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September 2020, the Company issued an aggregate of 45,178,495 and 14,897,480 shares of its Series A-1 convertible preferred stock and Series A-2 convertible preferred stock, respectively, as consideration for various acquisitions of assets (see Note 6).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terms of the SPA, the Company was also committed to selling 40,000,000 additional shares of its Series A-2 convertible preferred stock to one investor who is a related party at a fixed price of $1.00 per share in one or more subsequent closings on or before March 8, 2021. The Company determined that its obligation to issue additional shares of Series A-2 convertible preferred stock in subsequent closings was a freestanding financial instrument that should be classified as a liability (the convertible preferred stock tranche liability) in the condensed consolidated balance sheets and remeasured to fair value during the reporting period with any changes in fair value being recognized in the condensed consolidated statements of operations and comprehensive loss. The fair value of convertible preferred stock tranche liability was determined to be de minimis on issuance in September 2020 and through the date of settlement in September 2021 because of (i) the original expected short-term nature of the obligation and (ii) the absence of significant business activities or events during the period from issuance to settlement that could have significantly impacted the value of the Company. Furthermore, additional third-party investors participated in the closing of the Companys subsequent Series A-2 convertible preferred stock financing completed in September 2021, which indicated a fair value of $1.00 per share.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SPA, a forfeiture provision was added to the terms of 33,333,333 shares of the Companys common stock previously issued in January 2020 to the same investor and related party that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committed to selling 40,000,000 additional shares of Series A-2 convertible preferred stock, of which the forfeiture provision for 20,000,000 shares lapsed upon execution of the SPA in September 2020 and 13,333,333 shares remained subject to the forfeiture provision until the occurrence of one or more subsequent closings. The Company determined there was no accounting impact because it did not result in a transfer of value from the Companys common stockholders to its preferred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acquisition of Alairion in November 2020 (see Note 6), an existing stockholder of both Alairion and the Company purchased a total of $12.0 million of Alairion convertible notes immediately prior to the closing date that were settled with 12,000,000 shares of the Companys Series A-2 convertible preferred stock upon closing. </w:t>
      </w:r>
    </w:p>
    <w:p>
      <w:pPr>
        <w:pStyle w:val="TextBody"/>
        <w:bidi w:val="0"/>
        <w:spacing w:before="240" w:after="0"/>
        <w:jc w:val="left"/>
        <w:rPr>
          <w:rFonts w:ascii="Times New Roman" w:hAnsi="Times New Roman"/>
          <w:sz w:val="20"/>
        </w:rPr>
      </w:pPr>
      <w:r>
        <w:rPr>
          <w:rFonts w:ascii="Times New Roman" w:hAnsi="Times New Roman"/>
          <w:sz w:val="20"/>
        </w:rPr>
        <w:t xml:space="preserve">Between March and July 2021, the Company and certain of its investors entered into a series of amendments to the SPA to extend the deadline to complete subsequent closings of its Series A-2 convertible preferred stock from March 2021 to September 2021. The Company determined that such amendments to the Series A-2 convertible preferred stock represented modifications and no incremental expense would be recorded as the difference between the fair values of the Series A-2 convertible preferred stock immediately before and after the amendments were insignificant. Concurrently, the lapse of right of forfeiture with respect to 13,333,333 shares of the Companys common stock held by a related party investor was extended to September 2021. </w:t>
      </w:r>
    </w:p>
    <w:p>
      <w:pPr>
        <w:pStyle w:val="TextBody"/>
        <w:bidi w:val="0"/>
        <w:spacing w:before="240" w:after="0"/>
        <w:jc w:val="left"/>
        <w:rPr>
          <w:rFonts w:ascii="Times New Roman" w:hAnsi="Times New Roman"/>
          <w:sz w:val="20"/>
        </w:rPr>
      </w:pPr>
      <w:r>
        <w:rPr>
          <w:rFonts w:ascii="Times New Roman" w:hAnsi="Times New Roman"/>
          <w:sz w:val="20"/>
        </w:rPr>
        <w:t xml:space="preserve">Between August and September 2021, pursuant to the SPA, as amended, the Company issued 191,250,000 shares of its Series A-2 convertible preferred stock, including 141,250,000 shares to new investors and 50,000,000 shares to two existing investors, one of whom was a related party, at a price of $1.00 per share for aggregate proceeds of $191.3 million (the Final Closing). Upon the Final Closing, the right of forfeiture for 13,333,333 shares of the Companys common stock held by one related party investor lapsed and the convertible preferred stock tranche liability was settled. Immediately prior to settlement, the convertible preferred stock tranche liability was remeasured to fair value and was determined to be de minimis because the fixed price of $1.00 per share at which the Company was obligated to issue additional shares of its Series A-2 convertible preferred stock represented fair value as it was the same price per share paid by third-party investors who participated in the Final Closing.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the Final Closing, the Company entered into side letter agreements with three new investors, whereby the Company, amongst other things, granted such investors rights to access certain information and notices, concurrently with and in the same manner as the members of the board of directors or a major investor.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2021, Amgen purchased 100.0 million shares of the Companys Series A-2 convertible preferred stock at a purchase price of $1.00 per share, for aggregate proceeds of $100.0 million. Concurrent with the sale of the shares, Amgen and the Company entered into an agreement that limits Amgens right to vote as it relates to all matters presented to the Companys stockholders under its Amended and Restated Certificate of Incorporation, By-Laws, SPA and related agreements governing investors rights, except for matters pertaining to the amendment, waiver, and termination of such agreements (the Amgen Voting Rights Letter Agreement). Such voting limitations apply when Amgens ownership interest in the Companys outstanding voting securities exceeds 19.9% of the Companys total outstanding voting securities or voting power of outstanding single classes or series of the Companys stock (the Voting Threshold) and remain in effect until an the first to occur of an IPO, the Company becomes subject to period reporting under the Securities Exchange Act, a deemed liquidation event, or a transaction with a special purpose acquisition company (SPAC).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conditions, and only upon the Companys commencement of a Phase 2 clinical study of a Company controlled molecule or the in-licensing or acquisition of a Phase 2 ready or later-stage molecule,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Amgen is also obligated to provide the Company additional financing of up to $100.0 million by either (i) participating in up to two future financings of the Company, in each case by purchasing up $50.0 million in equity (or equity-linked) securities on the same terms and conditions of at least a matching dollar equivalent by one or more third party, or (ii) purchasing up to $40.0 million of shares in an IPO of the Company, in no case greater than 20% of the total gross proceeds of the IPO or (iii) purchasing up to $40.0 million of shares in an SPAC of the Company, in no case greater than 20% of the shares of capital stock of the SPAC (together, the Future Financing). The Future Financing is a freestanding financial instrument and is not subject to liability classification and/or derivative accounting. The Future Financing was determined to be de minimis at issuance and as of December 31, 2021 as it would be settled based on the same terms and conditions other third parties will receive.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2021 and March 31, 2022, the Companys convertible preferred stock consisted of the following: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72"/>
        <w:gridCol w:w="284"/>
        <w:gridCol w:w="81"/>
        <w:gridCol w:w="1110"/>
        <w:gridCol w:w="60"/>
        <w:gridCol w:w="284"/>
        <w:gridCol w:w="89"/>
        <w:gridCol w:w="1228"/>
        <w:gridCol w:w="60"/>
        <w:gridCol w:w="284"/>
        <w:gridCol w:w="140"/>
        <w:gridCol w:w="939"/>
        <w:gridCol w:w="60"/>
        <w:gridCol w:w="283"/>
        <w:gridCol w:w="161"/>
        <w:gridCol w:w="1086"/>
        <w:gridCol w:w="67"/>
      </w:tblGrid>
      <w:tr>
        <w:trPr/>
        <w:tc>
          <w:tcPr>
            <w:tcW w:w="3172"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17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Authorized</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3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Issued and</w:t>
              <w:br/>
              <w:t>Outstanding</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Value</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2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w:t>
              <w:br/>
              <w:t>Preference</w:t>
            </w:r>
          </w:p>
        </w:tc>
        <w:tc>
          <w:tcPr>
            <w:tcW w:w="67" w:type="dxa"/>
            <w:tcBorders/>
            <w:vAlign w:val="bottom"/>
          </w:tcPr>
          <w:p>
            <w:pPr>
              <w:pStyle w:val="TableContents"/>
              <w:bidi w:val="0"/>
              <w:spacing w:before="0" w:after="283"/>
              <w:jc w:val="left"/>
              <w:rPr/>
            </w:pPr>
            <w:r>
              <w:rPr/>
              <w:t> </w:t>
            </w:r>
          </w:p>
        </w:tc>
      </w:tr>
      <w:tr>
        <w:trPr/>
        <w:tc>
          <w:tcPr>
            <w:tcW w:w="317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5865" w:type="dxa"/>
            <w:gridSpan w:val="14"/>
            <w:tcBorders/>
            <w:vAlign w:val="bottom"/>
          </w:tcPr>
          <w:p>
            <w:pPr>
              <w:pStyle w:val="TableContents"/>
              <w:bidi w:val="0"/>
              <w:spacing w:before="0" w:after="283"/>
              <w:jc w:val="center"/>
              <w:rPr>
                <w:b/>
              </w:rPr>
            </w:pPr>
            <w:r>
              <w:rPr>
                <w:b/>
              </w:rPr>
              <w:t>(in thousands)</w:t>
            </w:r>
          </w:p>
        </w:tc>
        <w:tc>
          <w:tcPr>
            <w:tcW w:w="67" w:type="dxa"/>
            <w:tcBorders/>
            <w:vAlign w:val="bottom"/>
          </w:tcPr>
          <w:p>
            <w:pPr>
              <w:pStyle w:val="TableContents"/>
              <w:bidi w:val="0"/>
              <w:spacing w:before="0" w:after="283"/>
              <w:jc w:val="left"/>
              <w:rPr/>
            </w:pPr>
            <w:r>
              <w:rPr/>
              <w:t> </w:t>
            </w:r>
          </w:p>
        </w:tc>
      </w:tr>
      <w:tr>
        <w:trPr/>
        <w:tc>
          <w:tcPr>
            <w:tcW w:w="31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48,000</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45,178</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9" w:type="dxa"/>
            <w:tcBorders/>
            <w:shd w:fill="CCEEFF" w:val="clear"/>
            <w:vAlign w:val="bottom"/>
          </w:tcPr>
          <w:p>
            <w:pPr>
              <w:pStyle w:val="TableContents"/>
              <w:bidi w:val="0"/>
              <w:spacing w:before="0" w:after="283"/>
              <w:jc w:val="right"/>
              <w:rPr/>
            </w:pPr>
            <w:r>
              <w:rPr/>
              <w:t>36,595</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086" w:type="dxa"/>
            <w:tcBorders/>
            <w:shd w:fill="CCEEFF" w:val="clear"/>
            <w:vAlign w:val="bottom"/>
          </w:tcPr>
          <w:p>
            <w:pPr>
              <w:pStyle w:val="TableContents"/>
              <w:bidi w:val="0"/>
              <w:spacing w:before="0" w:after="283"/>
              <w:jc w:val="right"/>
              <w:rPr/>
            </w:pPr>
            <w:r>
              <w:rPr/>
              <w:t>45,178</w:t>
            </w:r>
          </w:p>
        </w:tc>
        <w:tc>
          <w:tcPr>
            <w:tcW w:w="67" w:type="dxa"/>
            <w:tcBorders/>
            <w:shd w:fill="CCEEFF" w:val="clear"/>
            <w:vAlign w:val="bottom"/>
          </w:tcPr>
          <w:p>
            <w:pPr>
              <w:pStyle w:val="TableContents"/>
              <w:bidi w:val="0"/>
              <w:spacing w:before="0" w:after="283"/>
              <w:jc w:val="left"/>
              <w:rPr/>
            </w:pPr>
            <w:r>
              <w:rPr/>
              <w:t> </w:t>
            </w:r>
          </w:p>
        </w:tc>
      </w:tr>
      <w:tr>
        <w:trPr/>
        <w:tc>
          <w:tcPr>
            <w:tcW w:w="3172" w:type="dxa"/>
            <w:tcBorders/>
          </w:tcPr>
          <w:p>
            <w:pPr>
              <w:pStyle w:val="TableContents"/>
              <w:bidi w:val="0"/>
              <w:spacing w:before="0" w:after="0"/>
              <w:jc w:val="left"/>
              <w:rPr>
                <w:rFonts w:ascii="Times New Roman" w:hAnsi="Times New Roman"/>
                <w:sz w:val="20"/>
              </w:rPr>
            </w:pPr>
            <w:r>
              <w:rPr>
                <w:rFonts w:ascii="Times New Roman" w:hAnsi="Times New Roman"/>
                <w:sz w:val="20"/>
              </w:rPr>
              <w:t>Series A-2</w:t>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707,000</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697,948</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693,263</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697,948</w:t>
            </w:r>
          </w:p>
        </w:tc>
        <w:tc>
          <w:tcPr>
            <w:tcW w:w="67" w:type="dxa"/>
            <w:tcBorders/>
            <w:vAlign w:val="bottom"/>
          </w:tcPr>
          <w:p>
            <w:pPr>
              <w:pStyle w:val="TableContents"/>
              <w:bidi w:val="0"/>
              <w:spacing w:before="0" w:after="283"/>
              <w:jc w:val="left"/>
              <w:rPr/>
            </w:pPr>
            <w:r>
              <w:rPr/>
              <w:t> </w:t>
            </w:r>
          </w:p>
        </w:tc>
      </w:tr>
      <w:tr>
        <w:trPr/>
        <w:tc>
          <w:tcPr>
            <w:tcW w:w="3172"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1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convertible preferred stock</w:t>
            </w:r>
          </w:p>
        </w:tc>
        <w:tc>
          <w:tcPr>
            <w:tcW w:w="2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755,000</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743,126</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9" w:type="dxa"/>
            <w:tcBorders/>
            <w:shd w:fill="CCEEFF" w:val="clear"/>
            <w:vAlign w:val="bottom"/>
          </w:tcPr>
          <w:p>
            <w:pPr>
              <w:pStyle w:val="TableContents"/>
              <w:bidi w:val="0"/>
              <w:spacing w:before="0" w:after="283"/>
              <w:jc w:val="right"/>
              <w:rPr/>
            </w:pPr>
            <w:r>
              <w:rPr/>
              <w:t>  </w:t>
            </w:r>
            <w:r>
              <w:rPr/>
              <w:t>729,858</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086" w:type="dxa"/>
            <w:tcBorders/>
            <w:shd w:fill="CCEEFF" w:val="clear"/>
            <w:vAlign w:val="bottom"/>
          </w:tcPr>
          <w:p>
            <w:pPr>
              <w:pStyle w:val="TableContents"/>
              <w:bidi w:val="0"/>
              <w:spacing w:before="0" w:after="283"/>
              <w:jc w:val="right"/>
              <w:rPr/>
            </w:pPr>
            <w:r>
              <w:rPr/>
              <w:t>  </w:t>
            </w:r>
            <w:r>
              <w:rPr/>
              <w:t>743,126</w:t>
            </w:r>
          </w:p>
        </w:tc>
        <w:tc>
          <w:tcPr>
            <w:tcW w:w="67" w:type="dxa"/>
            <w:tcBorders/>
            <w:shd w:fill="CCEEFF" w:val="clear"/>
            <w:vAlign w:val="bottom"/>
          </w:tcPr>
          <w:p>
            <w:pPr>
              <w:pStyle w:val="TableContents"/>
              <w:bidi w:val="0"/>
              <w:spacing w:before="0" w:after="283"/>
              <w:jc w:val="left"/>
              <w:rPr/>
            </w:pPr>
            <w:r>
              <w:rPr/>
              <w:t> </w:t>
            </w:r>
          </w:p>
        </w:tc>
      </w:tr>
      <w:tr>
        <w:trPr/>
        <w:tc>
          <w:tcPr>
            <w:tcW w:w="3172"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108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holders of the Companys convertible preferred stock have the following rights, preferences and privileges: </w:t>
      </w:r>
    </w:p>
    <w:p>
      <w:pPr>
        <w:pStyle w:val="TextBody"/>
        <w:bidi w:val="0"/>
        <w:spacing w:before="36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each series of convertible preferred stock are entitled to non-cumulative dividends at an annual rate of 6.0% of the original issue price when and if declared by the Companys board of directors. The dividend rate is subject to adjustment if the Company undertakes any stock splits, stock dividends, combinations, subdivisions, or recapitalization events. Holders of Series A-2 convertible preferred stock are entitled to dividends prior and in preference to any declaration or payment of any dividend to holders of Series A-1 convertible preferred stock and common stock. Holders of the Series A-1 convertible preferred stock are entitled to dividends prior and in preference to any declaration or payment of any dividend to holders of common stock. No dividends have been declared or paid as of March 31, 2022. </w:t>
      </w:r>
    </w:p>
    <w:p>
      <w:pPr>
        <w:pStyle w:val="TextBody"/>
        <w:bidi w:val="0"/>
        <w:spacing w:before="360" w:after="0"/>
        <w:jc w:val="left"/>
        <w:rPr>
          <w:rFonts w:ascii="Times New Roman" w:hAnsi="Times New Roman"/>
          <w:sz w:val="20"/>
        </w:rPr>
      </w:pPr>
      <w:r>
        <w:rPr>
          <w:rFonts w:ascii="Times New Roman" w:hAnsi="Times New Roman"/>
          <w:i/>
          <w:sz w:val="20"/>
        </w:rPr>
        <w:t>Liquidation distributions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liquidation, dissolution, or winding up of the Company, either voluntary or involuntary, the holders of the then outstanding Series A-2 convertible preferred stock shall be entitled to receive, prior and in preference to any distribution of any of the assets of the Company to the holders of the Series A-1 convertible preferred stock and common stock, a liquidation preference in an amount per share equal to the original issue price (as adjusted for stock splits, stock dividends, and recapitalizations) plus all declared but unpaid dividends on such shares. The holders of the then outstanding Series A-1 convertible preferred stock shall be entitled to receive, prior and in preference to any distribution of any of the assets of the Company to the holders of the common stock, a liquidation preference in an amount per share equal to the original issue price (as adjusted for stock splits, stock dividends, and recapitalizations) plus all declared but unpaid dividends on such shares. Thereafter, any remaining assets of the Company will be distributed, on a pari passu basis, among the holders of the common stock. If the assets and funds available to be distributed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stockholders shall be insufficient to permit the payment, in full, of any of the liquidation preferences, then the entire assets and funds legally available for distribution to the convertible preferred stock shall be distributed ratably among the holders of convertible preferred stock based on the total number of shares held by each holder. </w:t>
      </w:r>
    </w:p>
    <w:p>
      <w:pPr>
        <w:pStyle w:val="TextBody"/>
        <w:bidi w:val="0"/>
        <w:spacing w:before="36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holder of each share of convertible preferred stock is entitled to one vote for each share of common stock into which it would convert. Except as provided by law or other provisions in the Companys Amended and Restated Certificate of Incorporation, the holders of the convertible preferred stock shall vote together with the holders of the common stock as a single class on an as-converted basis. So long as 16,000,000 shares of Series A-2 convertible preferred stock remain outstanding, then (i) the holders of such convertible preferred stock, exclusively, are entitled to elect three directors of the Company, (ii) the holders of the Companys common stock, exclusively, are entitled to elect one director of the Company, and (iii) the holders of the Series A-2 convertible preferred stock and common stock, voting together as a single class on an as-converted basis, are entitled to elect two directors of the Company. The holders of the Series A-1 convertible preferred stock are not entitled to elect directors of the Company. </w:t>
      </w:r>
    </w:p>
    <w:p>
      <w:pPr>
        <w:pStyle w:val="TextBody"/>
        <w:bidi w:val="0"/>
        <w:spacing w:before="360" w:after="0"/>
        <w:jc w:val="left"/>
        <w:rPr>
          <w:rFonts w:ascii="Times New Roman" w:hAnsi="Times New Roman"/>
          <w:sz w:val="20"/>
        </w:rPr>
      </w:pPr>
      <w:r>
        <w:rPr>
          <w:rFonts w:ascii="Times New Roman" w:hAnsi="Times New Roman"/>
          <w:i/>
          <w:sz w:val="20"/>
        </w:rPr>
        <w:t>Conversion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convertible preferred stock are convertible into shares of common stock at the option of the holder, at any time after the date of issuance of such shares, determined by dividing the original issue price per share by the conversion price in effect at the time of conversion. As of March 31, 2022, the applicable conversion price was $1.00 per share for Series A-1 convertible preferred stock and $1.00 per share for Series A-2 convertible preferred stock. The conversion price shall be subject to adjustments for stock splits, stock dividends, combinations, subdivisions, or recapitalization events. In addition, if the Company should issue convertible preferred stock or common stock without consideration or for a consideration per share less than the conversion price for the convertible preferred stock, the conversion price for each series shall automatically be adjusted in accordance with anti-dilution provisions contained in the Companys Amended and Restated Certificate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convertible preferred stock shall automatically convert into common stock immediately upon (i) the closing of the sale of common stock in a firm-commitment underwritten public offering pursuant to an effective registration statement under the Securities Act of 1933, as amended, resulting in at least $30.0 million of gross proceeds to the Company (a Qualified IPO), or (ii) the occurrence of an event, specified by vote or written consent of the holders of a majority of the then-outstanding shares of Series A-2 convertible preferred stock.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rights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Series A-1 convertible preferred stock and A-2 convertible preferred stock are not mandatorily redeemable. </w:t>
      </w:r>
    </w:p>
    <w:p>
      <w:pPr>
        <w:pStyle w:val="TextBody"/>
        <w:bidi w:val="0"/>
        <w:spacing w:before="360" w:after="0"/>
        <w:jc w:val="left"/>
        <w:rPr>
          <w:rFonts w:ascii="Times New Roman" w:hAnsi="Times New Roman"/>
          <w:i/>
          <w:sz w:val="20"/>
        </w:rPr>
      </w:pPr>
      <w:r>
        <w:rPr>
          <w:rFonts w:ascii="Times New Roman" w:hAnsi="Times New Roman"/>
          <w:i/>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Companys investors rights agreement, certain holders of the Companys convertible preferred stock and common stock have the right to demand that the Company file a registration statement or request that their shares be covered by a registration statement that the Company is otherwise filing. Holders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Companys convertible preferred stock have the right to request the Company to file certain registration statements with the SEC for the registration of shares related to the convertible preferred stock. The obligations of the Company regarding such registration rights include, but are not limited to, commercially reasonable efforts to cause such registration statement to become effective, keep such registration statement effective for up to 120 days, prepare and file amendments and supplements to such registration statement and the prospectus used in connection with such registration statement, and furnish to the selling holders copies of the prospectus and any other documents as they may reasonably request. The terms of the registration rights provide for the payment of certain expenses related to the registration of the shares, including a capped reimbursement of legal fees of a single special counsel for the holders of the shares, but do not impose any obligations for the Company to pay additional consideration to the holders in case a registration statement is subsequently withdrawn at the request of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August 2021, the Companys board of directors approved a certificate of amendment to the Companys amended and restated certificate of incorporation which, among other things, (i) increased the authorized number of shares of the Companys common stock to 1,125,000,000 shares and (ii) increased the authorized number of shares of the Companys convertible preferred stock to 755,000,000 shares.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the Companys common stock are entitled to one vote per share on all matters to be voted on by the stockholders of the Company and are entitled to dividends, if and when declared by the Companys board of directors, subject to the prior rights of the preferred stockholders. Common stock outstanding in the condensed consolidated balance sheet and condensed consolidated statement of convertible preferred stock and stockholders deficit as of March 31, 2022 includes 36,883,063 shares of restricted stock that vest based on service conditions and are subject to the Companys right of repurchase upon termination of services and 7,000,000 shares of restricted stock that vest based on performance conditions and for which a grant date had not been established (see Note 12). </w:t>
      </w:r>
    </w:p>
    <w:p>
      <w:pPr>
        <w:pStyle w:val="TextBody"/>
        <w:bidi w:val="0"/>
        <w:spacing w:before="240" w:after="0"/>
        <w:jc w:val="left"/>
        <w:rPr>
          <w:rFonts w:ascii="Times New Roman" w:hAnsi="Times New Roman"/>
          <w:sz w:val="20"/>
        </w:rPr>
      </w:pPr>
      <w:r>
        <w:rPr>
          <w:rFonts w:ascii="Times New Roman" w:hAnsi="Times New Roman"/>
          <w:sz w:val="20"/>
        </w:rPr>
        <w:t xml:space="preserve">Common stock reserved for future issuance as of the period indicated consisted of the following: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12"/>
        <w:gridCol w:w="635"/>
        <w:gridCol w:w="112"/>
        <w:gridCol w:w="1517"/>
        <w:gridCol w:w="63"/>
      </w:tblGrid>
      <w:tr>
        <w:trPr/>
        <w:tc>
          <w:tcPr>
            <w:tcW w:w="4612" w:type="dxa"/>
            <w:tcBorders/>
            <w:vAlign w:val="center"/>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612"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16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2022</w:t>
            </w:r>
          </w:p>
        </w:tc>
        <w:tc>
          <w:tcPr>
            <w:tcW w:w="63" w:type="dxa"/>
            <w:tcBorders/>
            <w:vAlign w:val="bottom"/>
          </w:tcPr>
          <w:p>
            <w:pPr>
              <w:pStyle w:val="TableContents"/>
              <w:bidi w:val="0"/>
              <w:spacing w:before="0" w:after="283"/>
              <w:jc w:val="left"/>
              <w:rPr/>
            </w:pPr>
            <w:r>
              <w:rPr/>
              <w:t> </w:t>
            </w:r>
          </w:p>
        </w:tc>
      </w:tr>
      <w:tr>
        <w:trPr/>
        <w:tc>
          <w:tcPr>
            <w:tcW w:w="4612"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1629" w:type="dxa"/>
            <w:gridSpan w:val="2"/>
            <w:tcBorders/>
            <w:vAlign w:val="bottom"/>
          </w:tcPr>
          <w:p>
            <w:pPr>
              <w:pStyle w:val="TableContents"/>
              <w:bidi w:val="0"/>
              <w:spacing w:before="0" w:after="283"/>
              <w:jc w:val="center"/>
              <w:rPr>
                <w:b/>
              </w:rPr>
            </w:pPr>
            <w:r>
              <w:rPr>
                <w:b/>
              </w:rPr>
              <w:t>(in thousands)</w:t>
            </w:r>
          </w:p>
        </w:tc>
        <w:tc>
          <w:tcPr>
            <w:tcW w:w="63" w:type="dxa"/>
            <w:tcBorders/>
            <w:vAlign w:val="bottom"/>
          </w:tcPr>
          <w:p>
            <w:pPr>
              <w:pStyle w:val="TableContents"/>
              <w:bidi w:val="0"/>
              <w:spacing w:before="0" w:after="283"/>
              <w:jc w:val="left"/>
              <w:rPr/>
            </w:pPr>
            <w:r>
              <w:rPr/>
              <w:t> </w:t>
            </w:r>
          </w:p>
        </w:tc>
      </w:tr>
      <w:tr>
        <w:trPr/>
        <w:tc>
          <w:tcPr>
            <w:tcW w:w="4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conversion of outstanding Series A-1 and Series A-2 convertible preferred stock</w:t>
            </w:r>
          </w:p>
        </w:tc>
        <w:tc>
          <w:tcPr>
            <w:tcW w:w="63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743,126</w:t>
            </w:r>
          </w:p>
        </w:tc>
        <w:tc>
          <w:tcPr>
            <w:tcW w:w="63" w:type="dxa"/>
            <w:tcBorders/>
            <w:shd w:fill="CCEEFF" w:val="clear"/>
            <w:vAlign w:val="bottom"/>
          </w:tcPr>
          <w:p>
            <w:pPr>
              <w:pStyle w:val="TableContents"/>
              <w:bidi w:val="0"/>
              <w:spacing w:before="0" w:after="283"/>
              <w:jc w:val="left"/>
              <w:rPr/>
            </w:pPr>
            <w:r>
              <w:rPr/>
              <w:t> </w:t>
            </w:r>
          </w:p>
        </w:tc>
      </w:tr>
      <w:tr>
        <w:trPr/>
        <w:tc>
          <w:tcPr>
            <w:tcW w:w="4612"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Series A-1 convertible preferred stock related to Preferred Stock Warrants</w:t>
            </w:r>
          </w:p>
        </w:tc>
        <w:tc>
          <w:tcPr>
            <w:tcW w:w="63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2,293</w:t>
            </w:r>
          </w:p>
        </w:tc>
        <w:tc>
          <w:tcPr>
            <w:tcW w:w="63" w:type="dxa"/>
            <w:tcBorders/>
            <w:vAlign w:val="bottom"/>
          </w:tcPr>
          <w:p>
            <w:pPr>
              <w:pStyle w:val="TableContents"/>
              <w:bidi w:val="0"/>
              <w:spacing w:before="0" w:after="283"/>
              <w:jc w:val="left"/>
              <w:rPr/>
            </w:pPr>
            <w:r>
              <w:rPr/>
              <w:t> </w:t>
            </w:r>
          </w:p>
        </w:tc>
      </w:tr>
      <w:tr>
        <w:trPr/>
        <w:tc>
          <w:tcPr>
            <w:tcW w:w="4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options to purchase common stock under the Plans</w:t>
            </w:r>
          </w:p>
        </w:tc>
        <w:tc>
          <w:tcPr>
            <w:tcW w:w="63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70,736</w:t>
            </w:r>
          </w:p>
        </w:tc>
        <w:tc>
          <w:tcPr>
            <w:tcW w:w="63" w:type="dxa"/>
            <w:tcBorders/>
            <w:shd w:fill="CCEEFF" w:val="clear"/>
            <w:vAlign w:val="bottom"/>
          </w:tcPr>
          <w:p>
            <w:pPr>
              <w:pStyle w:val="TableContents"/>
              <w:bidi w:val="0"/>
              <w:spacing w:before="0" w:after="283"/>
              <w:jc w:val="left"/>
              <w:rPr/>
            </w:pPr>
            <w:r>
              <w:rPr/>
              <w:t> </w:t>
            </w:r>
          </w:p>
        </w:tc>
      </w:tr>
      <w:tr>
        <w:trPr/>
        <w:tc>
          <w:tcPr>
            <w:tcW w:w="4612"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issuance under the Plans</w:t>
            </w:r>
          </w:p>
        </w:tc>
        <w:tc>
          <w:tcPr>
            <w:tcW w:w="63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46,620</w:t>
            </w:r>
          </w:p>
        </w:tc>
        <w:tc>
          <w:tcPr>
            <w:tcW w:w="63" w:type="dxa"/>
            <w:tcBorders/>
            <w:vAlign w:val="bottom"/>
          </w:tcPr>
          <w:p>
            <w:pPr>
              <w:pStyle w:val="TableContents"/>
              <w:bidi w:val="0"/>
              <w:spacing w:before="0" w:after="283"/>
              <w:jc w:val="left"/>
              <w:rPr/>
            </w:pPr>
            <w:r>
              <w:rPr/>
              <w:t> </w:t>
            </w:r>
          </w:p>
        </w:tc>
      </w:tr>
      <w:tr>
        <w:trPr/>
        <w:tc>
          <w:tcPr>
            <w:tcW w:w="4612"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single" w:sz="2" w:space="1" w:color="000000"/>
              </w:pBdr>
              <w:bidi w:val="0"/>
              <w:spacing w:before="0" w:after="0"/>
              <w:jc w:val="left"/>
              <w:rPr/>
            </w:pPr>
            <w:r>
              <w:rPr/>
              <w:t> </w:t>
            </w:r>
          </w:p>
        </w:tc>
        <w:tc>
          <w:tcPr>
            <w:tcW w:w="15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3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862,775</w:t>
            </w:r>
          </w:p>
        </w:tc>
        <w:tc>
          <w:tcPr>
            <w:tcW w:w="63" w:type="dxa"/>
            <w:tcBorders/>
            <w:shd w:fill="CCEEFF" w:val="clear"/>
            <w:vAlign w:val="bottom"/>
          </w:tcPr>
          <w:p>
            <w:pPr>
              <w:pStyle w:val="TableContents"/>
              <w:bidi w:val="0"/>
              <w:spacing w:before="0" w:after="283"/>
              <w:jc w:val="left"/>
              <w:rPr/>
            </w:pPr>
            <w:r>
              <w:rPr/>
              <w:t> </w:t>
            </w:r>
          </w:p>
        </w:tc>
      </w:tr>
      <w:tr>
        <w:trPr/>
        <w:tc>
          <w:tcPr>
            <w:tcW w:w="4612"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double" w:sz="6" w:space="1" w:color="000000"/>
              </w:pBdr>
              <w:bidi w:val="0"/>
              <w:spacing w:before="0" w:after="0"/>
              <w:jc w:val="left"/>
              <w:rPr/>
            </w:pPr>
            <w:r>
              <w:rPr/>
              <w:t> </w:t>
            </w:r>
          </w:p>
        </w:tc>
        <w:tc>
          <w:tcPr>
            <w:tcW w:w="151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may be required to issue additional shares of its capital stock if certain milestone conditions are met pursuant to the contingent consideration and compensation arrangements associated with the Companys acquisitions of assets (see Note 6). As of March 31, 2022, the milestone conditions are not probable of being met and no shares have been reserved for potential future issuances. </w:t>
      </w:r>
    </w:p>
    <w:p>
      <w:pPr>
        <w:pStyle w:val="TextBody"/>
        <w:bidi w:val="0"/>
        <w:spacing w:before="240" w:after="0"/>
        <w:jc w:val="left"/>
        <w:rPr>
          <w:rFonts w:ascii="Times New Roman" w:hAnsi="Times New Roman"/>
          <w:sz w:val="20"/>
        </w:rPr>
      </w:pPr>
      <w:r>
        <w:rPr>
          <w:rFonts w:ascii="Times New Roman" w:hAnsi="Times New Roman"/>
          <w:sz w:val="20"/>
        </w:rPr>
        <w:t xml:space="preserve">In March 2021, the Company sold 3,000,000 shares of its common stock to a co-founder for the benefit of an existing investor in the Company at a purchase price of $0.32 per share, or $1.0 million in the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Preferred Stock Warrants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September 2020, in connection with the BlackThorn acquisition, the Company issued Preferred Stock Warrants to purchase up to 2,292,672 shares of Series A-1 convertible preferred stock with an exercise price of $1.35 per share, all of which were outstanding as of March 31, 2022. The expiration date of the Preferred Stock Warrants was amended in December 2021, such that these warrants lapse on the earlier of (i) December 31, 2022, (ii) immediately prior to the consummation of an underwritten initial public offering of the Companys common stock, and (iii) upon the closing of a deemed liquidation event. As the Preferred Stock Warrants are recorded at fair value, the amendment was accounted for as a component of the change in fair value (see Note 3). </w:t>
      </w:r>
    </w:p>
    <w:p>
      <w:pPr>
        <w:pStyle w:val="TextBody"/>
        <w:bidi w:val="0"/>
        <w:spacing w:before="240" w:after="0"/>
        <w:jc w:val="left"/>
        <w:rPr>
          <w:rFonts w:ascii="Times New Roman" w:hAnsi="Times New Roman"/>
          <w:sz w:val="20"/>
        </w:rPr>
      </w:pPr>
      <w:r>
        <w:rPr>
          <w:rFonts w:ascii="Times New Roman" w:hAnsi="Times New Roman"/>
          <w:sz w:val="20"/>
        </w:rPr>
        <w:t xml:space="preserve">The Preferred Stock Warrants provide for cashless net exercise pursuant to which the holder may, in lieu of payment of the exercise price in cash, surrender the Preferred Stock Warrant and receive a net amount of shares based on the fair market value of the Companys convertible preferred stock at the time of exercise after deduction of the aggregate exercise price. The Preferred Stock Warrants also provide for adjustments in the event of specified stock dividends, stock splits, reclassifications, and consolidations. Of the total of Preferred Stock Warrants, 820,434 were held by a related party as of December 31, 2021 and March 31,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Stock-Based Compensation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2020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January 2020, the Company adopted the 2020 Equity Incentive Plan (the 2020 Plan) that provides for the grant of incentive stock options, non-statutory stock options, restricted stock awards, restricted stock unit, and other stock-based awards to employees, directors and non-employee service providers of the Company. As of March 31, 2022, 137,899,025 shares of the Companys common stock were authorized for issuance under the 2020 Plan, of which 46,033,539 shares remained available for future grants. </w:t>
      </w:r>
    </w:p>
    <w:p>
      <w:pPr>
        <w:pStyle w:val="TextBody"/>
        <w:bidi w:val="0"/>
        <w:spacing w:before="360" w:after="0"/>
        <w:jc w:val="left"/>
        <w:rPr>
          <w:rFonts w:ascii="Times New Roman" w:hAnsi="Times New Roman"/>
          <w:b/>
          <w:sz w:val="20"/>
        </w:rPr>
      </w:pPr>
      <w:r>
        <w:rPr>
          <w:rFonts w:ascii="Times New Roman" w:hAnsi="Times New Roman"/>
          <w:b/>
          <w:sz w:val="20"/>
        </w:rPr>
        <w:t xml:space="preserve">2015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Upon the closing of the BlackThorn acquisition in September 2020, the Company assumed BlackThorns 2015 Equity Incentive Plan (the 2015 Plan, and collectively with the 2020 Plan, the Plans), pursuant to which outstanding stock options previously granted under the 2015 Plan converted into stock options to purchase common stock of the Company, which remain subject to the terms and conditions of the 2015 Plan. As of March 31, 2022, 2,330,374 shares of the Companys common stock were authorized for issuance under the 2015 Plan, of which 586,361 shares remained available for issuance although future grants will be made from the 2020 Plan. </w:t>
      </w:r>
    </w:p>
    <w:p>
      <w:pPr>
        <w:pStyle w:val="TextBody"/>
        <w:bidi w:val="0"/>
        <w:spacing w:before="360" w:after="0"/>
        <w:jc w:val="left"/>
        <w:rPr>
          <w:rFonts w:ascii="Times New Roman" w:hAnsi="Times New Roman"/>
          <w:b/>
          <w:sz w:val="20"/>
        </w:rPr>
      </w:pPr>
      <w:r>
        <w:rPr>
          <w:rFonts w:ascii="Times New Roman" w:hAnsi="Times New Roman"/>
          <w:b/>
          <w:sz w:val="20"/>
        </w:rPr>
        <w:t xml:space="preserve">Stock Option Activity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stock option activity under the Plans: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67"/>
        <w:gridCol w:w="317"/>
        <w:gridCol w:w="117"/>
        <w:gridCol w:w="1352"/>
        <w:gridCol w:w="155"/>
        <w:gridCol w:w="317"/>
        <w:gridCol w:w="242"/>
        <w:gridCol w:w="846"/>
        <w:gridCol w:w="60"/>
        <w:gridCol w:w="317"/>
        <w:gridCol w:w="199"/>
        <w:gridCol w:w="1084"/>
        <w:gridCol w:w="60"/>
        <w:gridCol w:w="317"/>
        <w:gridCol w:w="159"/>
        <w:gridCol w:w="912"/>
        <w:gridCol w:w="67"/>
      </w:tblGrid>
      <w:tr>
        <w:trPr/>
        <w:tc>
          <w:tcPr>
            <w:tcW w:w="2867"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867"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Stock Options</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088"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br/>
              <w:t>Average</w:t>
            </w:r>
            <w:r>
              <w:rPr/>
              <w:br/>
            </w:r>
            <w:r>
              <w:rPr>
                <w:b/>
              </w:rPr>
              <w:t>Exercise</w:t>
            </w:r>
            <w:r>
              <w:rPr/>
              <w:br/>
            </w:r>
            <w:r>
              <w:rPr>
                <w:b/>
              </w:rPr>
              <w:t>Price Per</w:t>
            </w:r>
            <w:r>
              <w:rPr/>
              <w:br/>
            </w:r>
            <w:r>
              <w:rPr>
                <w:b/>
              </w:rPr>
              <w:t>Share</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283"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br/>
              <w:t>Average</w:t>
              <w:br/>
              <w:t>Remaining</w:t>
            </w:r>
            <w:r>
              <w:rPr/>
              <w:br/>
            </w:r>
            <w:r>
              <w:rPr>
                <w:b/>
              </w:rPr>
              <w:t>Contractual</w:t>
            </w:r>
            <w:r>
              <w:rPr/>
              <w:br/>
            </w:r>
            <w:r>
              <w:rPr>
                <w:b/>
              </w:rPr>
              <w:t>Term (years)</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pPr>
            <w:r>
              <w:rPr>
                <w:b/>
              </w:rPr>
              <w:t>Aggregate</w:t>
              <w:br/>
              <w:t>Intrinsic</w:t>
            </w:r>
            <w:r>
              <w:rPr/>
              <w:br/>
            </w:r>
            <w:r>
              <w:rPr>
                <w:b/>
              </w:rPr>
              <w:t>Value</w:t>
            </w:r>
          </w:p>
        </w:tc>
        <w:tc>
          <w:tcPr>
            <w:tcW w:w="67" w:type="dxa"/>
            <w:tcBorders/>
            <w:vAlign w:val="bottom"/>
          </w:tcPr>
          <w:p>
            <w:pPr>
              <w:pStyle w:val="TableContents"/>
              <w:bidi w:val="0"/>
              <w:spacing w:before="0" w:after="283"/>
              <w:jc w:val="left"/>
              <w:rPr/>
            </w:pPr>
            <w:r>
              <w:rPr/>
              <w:t> </w:t>
            </w:r>
          </w:p>
        </w:tc>
      </w:tr>
      <w:tr>
        <w:trPr/>
        <w:tc>
          <w:tcPr>
            <w:tcW w:w="2867"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6137" w:type="dxa"/>
            <w:gridSpan w:val="14"/>
            <w:tcBorders/>
            <w:vAlign w:val="bottom"/>
          </w:tcPr>
          <w:p>
            <w:pPr>
              <w:pStyle w:val="TableContents"/>
              <w:bidi w:val="0"/>
              <w:spacing w:before="0" w:after="283"/>
              <w:jc w:val="center"/>
              <w:rPr>
                <w:b/>
              </w:rPr>
            </w:pPr>
            <w:r>
              <w:rPr>
                <w:b/>
              </w:rPr>
              <w:t>(in thousands, except per share amounts and years)</w:t>
            </w:r>
          </w:p>
        </w:tc>
        <w:tc>
          <w:tcPr>
            <w:tcW w:w="67" w:type="dxa"/>
            <w:tcBorders/>
            <w:vAlign w:val="bottom"/>
          </w:tcPr>
          <w:p>
            <w:pPr>
              <w:pStyle w:val="TableContents"/>
              <w:bidi w:val="0"/>
              <w:spacing w:before="0" w:after="283"/>
              <w:jc w:val="left"/>
              <w:rPr/>
            </w:pPr>
            <w:r>
              <w:rPr/>
              <w:t> </w:t>
            </w:r>
          </w:p>
        </w:tc>
      </w:tr>
      <w:tr>
        <w:trPr/>
        <w:tc>
          <w:tcPr>
            <w:tcW w:w="28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2021</w:t>
            </w:r>
          </w:p>
        </w:tc>
        <w:tc>
          <w:tcPr>
            <w:tcW w:w="31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46,909</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846" w:type="dxa"/>
            <w:tcBorders/>
            <w:shd w:fill="CCEEFF" w:val="clear"/>
            <w:vAlign w:val="bottom"/>
          </w:tcPr>
          <w:p>
            <w:pPr>
              <w:pStyle w:val="TableContents"/>
              <w:bidi w:val="0"/>
              <w:spacing w:before="0" w:after="283"/>
              <w:jc w:val="right"/>
              <w:rPr/>
            </w:pPr>
            <w:r>
              <w:rPr/>
              <w:t>0.38</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9.1</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12" w:type="dxa"/>
            <w:tcBorders/>
            <w:shd w:fill="CCEEFF" w:val="clear"/>
            <w:vAlign w:val="bottom"/>
          </w:tcPr>
          <w:p>
            <w:pPr>
              <w:pStyle w:val="TableContents"/>
              <w:bidi w:val="0"/>
              <w:spacing w:before="0" w:after="283"/>
              <w:jc w:val="right"/>
              <w:rPr/>
            </w:pPr>
            <w:r>
              <w:rPr/>
              <w:t>  </w:t>
            </w:r>
            <w:r>
              <w:rPr/>
              <w:t>10,614</w:t>
            </w:r>
          </w:p>
        </w:tc>
        <w:tc>
          <w:tcPr>
            <w:tcW w:w="67" w:type="dxa"/>
            <w:tcBorders/>
            <w:shd w:fill="CCEEFF" w:val="clear"/>
            <w:vAlign w:val="bottom"/>
          </w:tcPr>
          <w:p>
            <w:pPr>
              <w:pStyle w:val="TableContents"/>
              <w:bidi w:val="0"/>
              <w:spacing w:before="0" w:after="283"/>
              <w:jc w:val="left"/>
              <w:rPr/>
            </w:pPr>
            <w:r>
              <w:rPr/>
              <w:t> </w:t>
            </w:r>
          </w:p>
        </w:tc>
      </w:tr>
      <w:tr>
        <w:trPr/>
        <w:tc>
          <w:tcPr>
            <w:tcW w:w="2867"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1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30,482</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0.59</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8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1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(3,782</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0.32</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0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1,021</w:t>
            </w:r>
          </w:p>
        </w:tc>
        <w:tc>
          <w:tcPr>
            <w:tcW w:w="67" w:type="dxa"/>
            <w:tcBorders/>
            <w:shd w:fill="CCEEFF" w:val="clear"/>
            <w:vAlign w:val="bottom"/>
          </w:tcPr>
          <w:p>
            <w:pPr>
              <w:pStyle w:val="TableContents"/>
              <w:bidi w:val="0"/>
              <w:spacing w:before="0" w:after="283"/>
              <w:jc w:val="left"/>
              <w:rPr/>
            </w:pPr>
            <w:r>
              <w:rPr/>
              <w:t> </w:t>
            </w:r>
          </w:p>
        </w:tc>
      </w:tr>
      <w:tr>
        <w:trPr/>
        <w:tc>
          <w:tcPr>
            <w:tcW w:w="2867" w:type="dxa"/>
            <w:tcBorders/>
          </w:tcPr>
          <w:p>
            <w:pPr>
              <w:pStyle w:val="TableContents"/>
              <w:bidi w:val="0"/>
              <w:spacing w:before="0" w:after="0"/>
              <w:jc w:val="left"/>
              <w:rPr>
                <w:rFonts w:ascii="Times New Roman" w:hAnsi="Times New Roman"/>
                <w:sz w:val="20"/>
              </w:rPr>
            </w:pPr>
            <w:r>
              <w:rPr>
                <w:rFonts w:ascii="Times New Roman" w:hAnsi="Times New Roman"/>
                <w:sz w:val="20"/>
              </w:rPr>
              <w:t>Canceled and forfeited</w:t>
            </w:r>
          </w:p>
        </w:tc>
        <w:tc>
          <w:tcPr>
            <w:tcW w:w="31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(5,498</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0.33</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867"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8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8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March 31, 2022</w:t>
            </w:r>
          </w:p>
        </w:tc>
        <w:tc>
          <w:tcPr>
            <w:tcW w:w="31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68,111</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846" w:type="dxa"/>
            <w:tcBorders/>
            <w:shd w:fill="CCEEFF" w:val="clear"/>
            <w:vAlign w:val="bottom"/>
          </w:tcPr>
          <w:p>
            <w:pPr>
              <w:pStyle w:val="TableContents"/>
              <w:bidi w:val="0"/>
              <w:spacing w:before="0" w:after="283"/>
              <w:jc w:val="right"/>
              <w:rPr/>
            </w:pPr>
            <w:r>
              <w:rPr/>
              <w:t>0.48</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9.3</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12" w:type="dxa"/>
            <w:tcBorders/>
            <w:shd w:fill="CCEEFF" w:val="clear"/>
            <w:vAlign w:val="bottom"/>
          </w:tcPr>
          <w:p>
            <w:pPr>
              <w:pStyle w:val="TableContents"/>
              <w:bidi w:val="0"/>
              <w:spacing w:before="0" w:after="283"/>
              <w:jc w:val="right"/>
              <w:rPr/>
            </w:pPr>
            <w:r>
              <w:rPr/>
              <w:t>8,606</w:t>
            </w:r>
          </w:p>
        </w:tc>
        <w:tc>
          <w:tcPr>
            <w:tcW w:w="67" w:type="dxa"/>
            <w:tcBorders/>
            <w:shd w:fill="CCEEFF" w:val="clear"/>
            <w:vAlign w:val="bottom"/>
          </w:tcPr>
          <w:p>
            <w:pPr>
              <w:pStyle w:val="TableContents"/>
              <w:bidi w:val="0"/>
              <w:spacing w:before="0" w:after="283"/>
              <w:jc w:val="left"/>
              <w:rPr/>
            </w:pPr>
            <w:r>
              <w:rPr/>
              <w:t> </w:t>
            </w:r>
          </w:p>
        </w:tc>
      </w:tr>
      <w:tr>
        <w:trPr/>
        <w:tc>
          <w:tcPr>
            <w:tcW w:w="2867"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double" w:sz="6" w:space="1" w:color="000000"/>
              </w:pBdr>
              <w:bidi w:val="0"/>
              <w:spacing w:before="0" w:after="0"/>
              <w:jc w:val="left"/>
              <w:rPr/>
            </w:pPr>
            <w:r>
              <w:rPr/>
              <w:t> </w:t>
            </w:r>
          </w:p>
        </w:tc>
        <w:tc>
          <w:tcPr>
            <w:tcW w:w="13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8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912"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67" w:type="dxa"/>
            <w:tcBorders/>
          </w:tcPr>
          <w:p>
            <w:pPr>
              <w:pStyle w:val="TableContents"/>
              <w:bidi w:val="0"/>
              <w:spacing w:before="0" w:after="0"/>
              <w:jc w:val="left"/>
              <w:rPr>
                <w:rFonts w:ascii="Times New Roman" w:hAnsi="Times New Roman"/>
                <w:sz w:val="20"/>
              </w:rPr>
            </w:pPr>
            <w:r>
              <w:rPr>
                <w:rFonts w:ascii="Times New Roman" w:hAnsi="Times New Roman"/>
                <w:sz w:val="20"/>
              </w:rPr>
              <w:t>Vested as of March 31, 2022</w:t>
            </w:r>
          </w:p>
        </w:tc>
        <w:tc>
          <w:tcPr>
            <w:tcW w:w="31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8,048</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846" w:type="dxa"/>
            <w:tcBorders/>
            <w:vAlign w:val="bottom"/>
          </w:tcPr>
          <w:p>
            <w:pPr>
              <w:pStyle w:val="TableContents"/>
              <w:bidi w:val="0"/>
              <w:spacing w:before="0" w:after="283"/>
              <w:jc w:val="right"/>
              <w:rPr/>
            </w:pPr>
            <w:r>
              <w:rPr/>
              <w:t> </w:t>
            </w:r>
            <w:r>
              <w:rPr/>
              <w:t>0.47</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12" w:type="dxa"/>
            <w:tcBorders/>
            <w:vAlign w:val="bottom"/>
          </w:tcPr>
          <w:p>
            <w:pPr>
              <w:pStyle w:val="TableContents"/>
              <w:bidi w:val="0"/>
              <w:spacing w:before="0" w:after="283"/>
              <w:jc w:val="right"/>
              <w:rPr/>
            </w:pPr>
            <w:r>
              <w:rPr/>
              <w:t>1,832</w:t>
            </w:r>
          </w:p>
        </w:tc>
        <w:tc>
          <w:tcPr>
            <w:tcW w:w="67" w:type="dxa"/>
            <w:tcBorders/>
            <w:vAlign w:val="bottom"/>
          </w:tcPr>
          <w:p>
            <w:pPr>
              <w:pStyle w:val="TableContents"/>
              <w:bidi w:val="0"/>
              <w:spacing w:before="0" w:after="283"/>
              <w:jc w:val="left"/>
              <w:rPr/>
            </w:pPr>
            <w:r>
              <w:rPr/>
              <w:t> </w:t>
            </w:r>
          </w:p>
        </w:tc>
      </w:tr>
      <w:tr>
        <w:trPr/>
        <w:tc>
          <w:tcPr>
            <w:tcW w:w="28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as of March 31, 2022</w:t>
            </w:r>
          </w:p>
        </w:tc>
        <w:tc>
          <w:tcPr>
            <w:tcW w:w="31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11,515</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846" w:type="dxa"/>
            <w:tcBorders/>
            <w:shd w:fill="CCEEFF" w:val="clear"/>
            <w:vAlign w:val="bottom"/>
          </w:tcPr>
          <w:p>
            <w:pPr>
              <w:pStyle w:val="TableContents"/>
              <w:bidi w:val="0"/>
              <w:spacing w:before="0" w:after="283"/>
              <w:jc w:val="right"/>
              <w:rPr/>
            </w:pPr>
            <w:r>
              <w:rPr/>
              <w:t>0.51</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8.9</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12" w:type="dxa"/>
            <w:tcBorders/>
            <w:shd w:fill="CCEEFF" w:val="clear"/>
            <w:vAlign w:val="bottom"/>
          </w:tcPr>
          <w:p>
            <w:pPr>
              <w:pStyle w:val="TableContents"/>
              <w:bidi w:val="0"/>
              <w:spacing w:before="0" w:after="283"/>
              <w:jc w:val="right"/>
              <w:rPr/>
            </w:pPr>
            <w:r>
              <w:rPr/>
              <w:t>1,832</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stock option activity table above excludes options to purchase 5,500,000 shares of the Companys common stock issued to the Companys scientific advisors which vest based on the achievement of certain performance conditions to be separately defined and approved by the Companys board of directors (Performance Stock Options). As the performance conditions had not been determined as of March 31, 2022, the criteria for establishing a grant date, and accordingly a measurement date, were not met as of that date. </w:t>
      </w:r>
    </w:p>
    <w:p>
      <w:pPr>
        <w:pStyle w:val="TextBody"/>
        <w:bidi w:val="0"/>
        <w:spacing w:before="240" w:after="0"/>
        <w:jc w:val="left"/>
        <w:rPr>
          <w:rFonts w:ascii="Times New Roman" w:hAnsi="Times New Roman"/>
          <w:sz w:val="20"/>
        </w:rPr>
      </w:pPr>
      <w:r>
        <w:rPr>
          <w:rFonts w:ascii="Times New Roman" w:hAnsi="Times New Roman"/>
          <w:sz w:val="20"/>
        </w:rPr>
        <w:t xml:space="preserve">The stock option activity table above also excludes options granted to purchase 3,500,000 shares of common stock that have market and performance conditions granted to one of the Companys executives and 875,000 of such options awarded that were early exercised in 2021.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of Stock Options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stock options granted for employee and non-employee awards was estimated at the grant date using the Black-Scholes option pricing model based on the following assumptions: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43"/>
        <w:gridCol w:w="309"/>
        <w:gridCol w:w="1397"/>
        <w:gridCol w:w="309"/>
        <w:gridCol w:w="1397"/>
      </w:tblGrid>
      <w:tr>
        <w:trPr/>
        <w:tc>
          <w:tcPr>
            <w:tcW w:w="4343"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4343"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3103" w:type="dxa"/>
            <w:gridSpan w:val="3"/>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Three Months Ended March 31,</w:t>
            </w:r>
          </w:p>
        </w:tc>
      </w:tr>
      <w:tr>
        <w:trPr/>
        <w:tc>
          <w:tcPr>
            <w:tcW w:w="4343"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3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2021</w:t>
            </w:r>
          </w:p>
        </w:tc>
        <w:tc>
          <w:tcPr>
            <w:tcW w:w="309" w:type="dxa"/>
            <w:tcBorders/>
            <w:vAlign w:val="bottom"/>
          </w:tcPr>
          <w:p>
            <w:pPr>
              <w:pStyle w:val="TableContents"/>
              <w:bidi w:val="0"/>
              <w:spacing w:before="0" w:after="283"/>
              <w:jc w:val="left"/>
              <w:rPr/>
            </w:pPr>
            <w:r>
              <w:rPr/>
              <w:t>  </w:t>
            </w:r>
          </w:p>
        </w:tc>
        <w:tc>
          <w:tcPr>
            <w:tcW w:w="13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2022</w:t>
            </w:r>
          </w:p>
        </w:tc>
      </w:tr>
      <w:tr>
        <w:trPr/>
        <w:tc>
          <w:tcPr>
            <w:tcW w:w="4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309"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center"/>
              <w:rPr/>
            </w:pPr>
            <w:r>
              <w:rPr/>
              <w:t>94.9%  96.5%</w:t>
            </w:r>
          </w:p>
        </w:tc>
        <w:tc>
          <w:tcPr>
            <w:tcW w:w="309"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center"/>
              <w:rPr/>
            </w:pPr>
            <w:r>
              <w:rPr/>
              <w:t>87.2%  90.7%</w:t>
            </w:r>
          </w:p>
        </w:tc>
      </w:tr>
      <w:tr>
        <w:trPr/>
        <w:tc>
          <w:tcPr>
            <w:tcW w:w="4343"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309"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center"/>
              <w:rPr/>
            </w:pPr>
            <w:r>
              <w:rPr/>
              <w:t>5.0  6.0</w:t>
            </w:r>
          </w:p>
        </w:tc>
        <w:tc>
          <w:tcPr>
            <w:tcW w:w="309"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center"/>
              <w:rPr/>
            </w:pPr>
            <w:r>
              <w:rPr/>
              <w:t>5.4  6.5</w:t>
            </w:r>
          </w:p>
        </w:tc>
      </w:tr>
      <w:tr>
        <w:trPr/>
        <w:tc>
          <w:tcPr>
            <w:tcW w:w="4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309"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center"/>
              <w:rPr/>
            </w:pPr>
            <w:r>
              <w:rPr/>
              <w:t>0.7%  0.9%</w:t>
            </w:r>
          </w:p>
        </w:tc>
        <w:tc>
          <w:tcPr>
            <w:tcW w:w="309"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center"/>
              <w:rPr/>
            </w:pPr>
            <w:r>
              <w:rPr/>
              <w:t>1.7%  2.5%</w:t>
            </w:r>
          </w:p>
        </w:tc>
      </w:tr>
      <w:tr>
        <w:trPr/>
        <w:tc>
          <w:tcPr>
            <w:tcW w:w="4343"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309"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center"/>
              <w:rPr/>
            </w:pPr>
            <w:r>
              <w:rPr/>
              <w:t> %</w:t>
            </w:r>
          </w:p>
        </w:tc>
        <w:tc>
          <w:tcPr>
            <w:tcW w:w="309"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center"/>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Early Exercise of Employee Stock Options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Companys 2020 Plan allows certain employees to exercise their stock options prior to vesting into shares of restricted common stock. The proceeds from early exercised stock options are recorded as liabilities in the condensed consolidated balance sheets at the time of exercise and reclassified to common stock and additional paid-in capital as the underlying stock options vest and the Companys repurchase right lapses. As of March 31, 2022, the Company has issued 4,415,000 shares of restricted common stock upon the early exercise of unvested stock options, of which 2,269,167 shares of restricted common stock remained unvested. The total cash proceeds received were $1.4 million at a weighted-average exercise price of $0.32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The Companys 2020 Plan allows for the grant of restricted common stock to certain employees, executives, non-employee scientific advisors, and third-party service providers (the restricted stock). The restrictions lapse over time primarily according to service-based vesting conditions of each award. In the event of a voluntary or involuntary termination of the holders continuous provision of services to the Company, any unvested portion of the restricted stock award are automatically forfeited.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Companys restricted stock activity: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77"/>
        <w:gridCol w:w="494"/>
        <w:gridCol w:w="60"/>
        <w:gridCol w:w="735"/>
        <w:gridCol w:w="155"/>
        <w:gridCol w:w="494"/>
        <w:gridCol w:w="365"/>
        <w:gridCol w:w="1411"/>
        <w:gridCol w:w="64"/>
      </w:tblGrid>
      <w:tr>
        <w:trPr/>
        <w:tc>
          <w:tcPr>
            <w:tcW w:w="3977"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77"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7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776"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br/>
              <w:t>Average Grant</w:t>
              <w:br/>
              <w:t>Date Fair Value</w:t>
            </w:r>
            <w:r>
              <w:rPr/>
              <w:br/>
            </w:r>
            <w:r>
              <w:rPr>
                <w:b/>
              </w:rPr>
              <w:t>Per Share</w:t>
            </w:r>
          </w:p>
        </w:tc>
        <w:tc>
          <w:tcPr>
            <w:tcW w:w="64" w:type="dxa"/>
            <w:tcBorders/>
            <w:vAlign w:val="bottom"/>
          </w:tcPr>
          <w:p>
            <w:pPr>
              <w:pStyle w:val="TableContents"/>
              <w:bidi w:val="0"/>
              <w:spacing w:before="0" w:after="283"/>
              <w:jc w:val="left"/>
              <w:rPr/>
            </w:pPr>
            <w:r>
              <w:rPr/>
              <w:t> </w:t>
            </w:r>
          </w:p>
        </w:tc>
      </w:tr>
      <w:tr>
        <w:trPr/>
        <w:tc>
          <w:tcPr>
            <w:tcW w:w="3977"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3220" w:type="dxa"/>
            <w:gridSpan w:val="6"/>
            <w:tcBorders/>
            <w:vAlign w:val="bottom"/>
          </w:tcPr>
          <w:p>
            <w:pPr>
              <w:pStyle w:val="TableContents"/>
              <w:bidi w:val="0"/>
              <w:spacing w:before="0" w:after="283"/>
              <w:jc w:val="center"/>
              <w:rPr>
                <w:b/>
              </w:rPr>
            </w:pPr>
            <w:r>
              <w:rPr>
                <w:b/>
              </w:rPr>
              <w:t>(in thousands, except per</w:t>
              <w:br/>
              <w:t>share amounts)</w:t>
            </w:r>
          </w:p>
        </w:tc>
        <w:tc>
          <w:tcPr>
            <w:tcW w:w="64" w:type="dxa"/>
            <w:tcBorders/>
            <w:vAlign w:val="bottom"/>
          </w:tcPr>
          <w:p>
            <w:pPr>
              <w:pStyle w:val="TableContents"/>
              <w:bidi w:val="0"/>
              <w:spacing w:before="0" w:after="283"/>
              <w:jc w:val="left"/>
              <w:rPr/>
            </w:pPr>
            <w:r>
              <w:rPr/>
              <w:t> </w:t>
            </w:r>
          </w:p>
        </w:tc>
      </w:tr>
      <w:tr>
        <w:trPr/>
        <w:tc>
          <w:tcPr>
            <w:tcW w:w="3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and unvested as of December 31, 2021</w:t>
            </w:r>
          </w:p>
        </w:tc>
        <w:tc>
          <w:tcPr>
            <w:tcW w:w="4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39,222</w:t>
            </w:r>
          </w:p>
        </w:tc>
        <w:tc>
          <w:tcPr>
            <w:tcW w:w="155"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w:t>
            </w:r>
          </w:p>
        </w:tc>
        <w:tc>
          <w:tcPr>
            <w:tcW w:w="1411" w:type="dxa"/>
            <w:tcBorders/>
            <w:shd w:fill="CCEEFF" w:val="clear"/>
            <w:vAlign w:val="bottom"/>
          </w:tcPr>
          <w:p>
            <w:pPr>
              <w:pStyle w:val="TableContents"/>
              <w:bidi w:val="0"/>
              <w:spacing w:before="0" w:after="283"/>
              <w:jc w:val="right"/>
              <w:rPr/>
            </w:pPr>
            <w:r>
              <w:rPr/>
              <w:t> </w:t>
            </w:r>
            <w:r>
              <w:rPr/>
              <w:t>0.03</w:t>
            </w:r>
          </w:p>
        </w:tc>
        <w:tc>
          <w:tcPr>
            <w:tcW w:w="64" w:type="dxa"/>
            <w:tcBorders/>
            <w:shd w:fill="CCEEFF" w:val="clear"/>
            <w:vAlign w:val="bottom"/>
          </w:tcPr>
          <w:p>
            <w:pPr>
              <w:pStyle w:val="TableContents"/>
              <w:bidi w:val="0"/>
              <w:spacing w:before="0" w:after="283"/>
              <w:jc w:val="left"/>
              <w:rPr/>
            </w:pPr>
            <w:r>
              <w:rPr/>
              <w:t> </w:t>
            </w:r>
          </w:p>
        </w:tc>
      </w:tr>
      <w:tr>
        <w:trPr/>
        <w:tc>
          <w:tcPr>
            <w:tcW w:w="3977" w:type="dxa"/>
            <w:tcBorders/>
          </w:tcPr>
          <w:p>
            <w:pPr>
              <w:pStyle w:val="TableContents"/>
              <w:bidi w:val="0"/>
              <w:spacing w:before="0" w:after="0"/>
              <w:jc w:val="left"/>
              <w:rPr>
                <w:rFonts w:ascii="Times New Roman" w:hAnsi="Times New Roman"/>
                <w:sz w:val="20"/>
              </w:rPr>
            </w:pPr>
            <w:r>
              <w:rPr>
                <w:rFonts w:ascii="Times New Roman" w:hAnsi="Times New Roman"/>
                <w:sz w:val="20"/>
              </w:rPr>
              <w:t>Issued</w:t>
            </w:r>
          </w:p>
        </w:tc>
        <w:tc>
          <w:tcPr>
            <w:tcW w:w="4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4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(4,608</w:t>
            </w:r>
          </w:p>
        </w:tc>
        <w:tc>
          <w:tcPr>
            <w:tcW w:w="155"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0.02</w:t>
            </w:r>
          </w:p>
        </w:tc>
        <w:tc>
          <w:tcPr>
            <w:tcW w:w="64" w:type="dxa"/>
            <w:tcBorders/>
            <w:shd w:fill="CCEEFF" w:val="clear"/>
            <w:vAlign w:val="bottom"/>
          </w:tcPr>
          <w:p>
            <w:pPr>
              <w:pStyle w:val="TableContents"/>
              <w:bidi w:val="0"/>
              <w:spacing w:before="0" w:after="283"/>
              <w:jc w:val="left"/>
              <w:rPr/>
            </w:pPr>
            <w:r>
              <w:rPr/>
              <w:t> </w:t>
            </w:r>
          </w:p>
        </w:tc>
      </w:tr>
      <w:tr>
        <w:trPr/>
        <w:tc>
          <w:tcPr>
            <w:tcW w:w="3977"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141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977"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and unvested as of March 31, 2022</w:t>
            </w:r>
          </w:p>
        </w:tc>
        <w:tc>
          <w:tcPr>
            <w:tcW w:w="4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34,614</w:t>
            </w:r>
          </w:p>
        </w:tc>
        <w:tc>
          <w:tcPr>
            <w:tcW w:w="155"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w:t>
            </w:r>
          </w:p>
        </w:tc>
        <w:tc>
          <w:tcPr>
            <w:tcW w:w="1411" w:type="dxa"/>
            <w:tcBorders/>
            <w:vAlign w:val="bottom"/>
          </w:tcPr>
          <w:p>
            <w:pPr>
              <w:pStyle w:val="TableContents"/>
              <w:bidi w:val="0"/>
              <w:spacing w:before="0" w:after="283"/>
              <w:jc w:val="right"/>
              <w:rPr/>
            </w:pPr>
            <w:r>
              <w:rPr/>
              <w:t>0.03</w:t>
            </w:r>
          </w:p>
        </w:tc>
        <w:tc>
          <w:tcPr>
            <w:tcW w:w="64" w:type="dxa"/>
            <w:tcBorders/>
            <w:vAlign w:val="bottom"/>
          </w:tcPr>
          <w:p>
            <w:pPr>
              <w:pStyle w:val="TableContents"/>
              <w:bidi w:val="0"/>
              <w:spacing w:before="0" w:after="283"/>
              <w:jc w:val="left"/>
              <w:rPr/>
            </w:pPr>
            <w:r>
              <w:rPr/>
              <w:t> </w:t>
            </w:r>
          </w:p>
        </w:tc>
      </w:tr>
      <w:tr>
        <w:trPr/>
        <w:tc>
          <w:tcPr>
            <w:tcW w:w="3977"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141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restricted stock awards table above excludes 7,000,000 shares of restricted common stock issued to certain of the Companys scientific advisors which vest based on the achievement of certain performance conditions to be separately defined and approved by the Companys board of directors (Performance Restricted Stock). As the performance conditions had not been determined as of March 31, 2022, the criteria for establishing a grant date, and accordingly a measurement date, were not met as of that date. </w:t>
      </w:r>
    </w:p>
    <w:p>
      <w:pPr>
        <w:pStyle w:val="TextBody"/>
        <w:bidi w:val="0"/>
        <w:spacing w:before="360" w:after="0"/>
        <w:jc w:val="left"/>
        <w:rPr>
          <w:rFonts w:ascii="Times New Roman" w:hAnsi="Times New Roman"/>
          <w:b/>
          <w:sz w:val="20"/>
        </w:rPr>
      </w:pPr>
      <w:r>
        <w:rPr>
          <w:rFonts w:ascii="Times New Roman" w:hAnsi="Times New Roman"/>
          <w:b/>
          <w:sz w:val="20"/>
        </w:rPr>
        <w:t xml:space="preserve">Award with Market Conditions </w:t>
      </w:r>
    </w:p>
    <w:p>
      <w:pPr>
        <w:pStyle w:val="TextBody"/>
        <w:bidi w:val="0"/>
        <w:spacing w:before="120" w:after="0"/>
        <w:jc w:val="left"/>
        <w:rPr>
          <w:rFonts w:ascii="Times New Roman" w:hAnsi="Times New Roman"/>
          <w:sz w:val="20"/>
        </w:rPr>
      </w:pPr>
      <w:r>
        <w:rPr>
          <w:rFonts w:ascii="Times New Roman" w:hAnsi="Times New Roman"/>
          <w:sz w:val="20"/>
        </w:rPr>
        <w:t xml:space="preserve">In June 2021, the Company granted stock options to purchase 3,500,000 shares of its common stock to one of its executive officers with an exercise price of $0.32 per share that contain both market and service conditions (the Market Award). Subject to the holders continued service, the Market Award provided for vesting in four equal tranches once the Companys stock price exceeded certain thresholds. The original grant-date fair value of the Market Award of $0.9 million was determined using a Monte Carlo simulation model using an expected volatility of 100.0% and risk-free rate of 1.6%. </w:t>
      </w:r>
    </w:p>
    <w:p>
      <w:pPr>
        <w:pStyle w:val="TextBody"/>
        <w:bidi w:val="0"/>
        <w:spacing w:before="240" w:after="0"/>
        <w:jc w:val="left"/>
        <w:rPr>
          <w:rFonts w:ascii="Times New Roman" w:hAnsi="Times New Roman"/>
          <w:sz w:val="20"/>
        </w:rPr>
      </w:pPr>
      <w:r>
        <w:rPr>
          <w:rFonts w:ascii="Times New Roman" w:hAnsi="Times New Roman"/>
          <w:sz w:val="20"/>
        </w:rPr>
        <w:t xml:space="preserve">In January 2022, the Company amended the terms of the Market Award such that the award will vest in three modified tranches. One tranche of 1,750,000 stock options is based on a performance condition and two tranches of 875,000 stock options each are based on revised Company stock price thresholds and/or vesting schedules, subject to the holders continued service. The modification resulting in a performance-based tranche was determined to be a probable-to-improbable modification and the modification resulting in two revised market-based tranches were determined to be probable-to-probable modifications. The fair value of the performance-based tranche was estimated using the Black-Scholes Model using an expected volatility of 100.0%, a risk-free rate of 1.8% and an expected term of 9.4 years. The fair value of the market-based tranches was determined using a Monte Carlo simulation model using an expected volatility of 100.0% and risk-free rate of 1.8%. The modification resulted in $0.3 million in total incremental expense. </w:t>
      </w:r>
    </w:p>
    <w:p>
      <w:pPr>
        <w:pStyle w:val="TextBody"/>
        <w:bidi w:val="0"/>
        <w:spacing w:before="240" w:after="0"/>
        <w:jc w:val="left"/>
        <w:rPr>
          <w:rFonts w:ascii="Times New Roman" w:hAnsi="Times New Roman"/>
          <w:sz w:val="20"/>
        </w:rPr>
      </w:pPr>
      <w:r>
        <w:rPr>
          <w:rFonts w:ascii="Times New Roman" w:hAnsi="Times New Roman"/>
          <w:sz w:val="20"/>
        </w:rPr>
        <w:t xml:space="preserve">The unrecognized original grant-date fair value, together with any incremental expense, is recognized as compensation using the accelerated attribution method for each tranche over the requisite service period, which varies between approximately 1.4 years to 2.4 years for the performance-based tranche and 5.5 years to 6.0 years for the market-based tranches. For the three months ended March 31, 2022, the Company recognized $0.1 million of stock-based compensation related to the two market-based tranches. As of March 31, 2022, none of the market conditions for the two market-based tranches have been met. For the three months ended March 31, 2022, no expense was recognized for the performance-based tranche as the performance conditions were not probable of being met. </w:t>
      </w:r>
    </w:p>
    <w:p>
      <w:pPr>
        <w:pStyle w:val="TextBody"/>
        <w:bidi w:val="0"/>
        <w:spacing w:before="360" w:after="0"/>
        <w:jc w:val="left"/>
        <w:rPr>
          <w:rFonts w:ascii="Times New Roman" w:hAnsi="Times New Roman"/>
          <w:b/>
          <w:sz w:val="20"/>
        </w:rPr>
      </w:pPr>
      <w:r>
        <w:rPr>
          <w:rFonts w:ascii="Times New Roman" w:hAnsi="Times New Roman"/>
          <w:b/>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total stock-based compensation included in the Companys condensed consolidated statements of operations and comprehensive loss: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77"/>
        <w:gridCol w:w="373"/>
        <w:gridCol w:w="141"/>
        <w:gridCol w:w="531"/>
        <w:gridCol w:w="60"/>
        <w:gridCol w:w="373"/>
        <w:gridCol w:w="141"/>
        <w:gridCol w:w="695"/>
        <w:gridCol w:w="64"/>
      </w:tblGrid>
      <w:tr>
        <w:trPr/>
        <w:tc>
          <w:tcPr>
            <w:tcW w:w="5377"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77"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9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March 31,</w:t>
            </w:r>
          </w:p>
        </w:tc>
        <w:tc>
          <w:tcPr>
            <w:tcW w:w="64" w:type="dxa"/>
            <w:tcBorders/>
            <w:vAlign w:val="bottom"/>
          </w:tcPr>
          <w:p>
            <w:pPr>
              <w:pStyle w:val="TableContents"/>
              <w:bidi w:val="0"/>
              <w:spacing w:before="0" w:after="283"/>
              <w:jc w:val="left"/>
              <w:rPr/>
            </w:pPr>
            <w:r>
              <w:rPr/>
              <w:t> </w:t>
            </w:r>
          </w:p>
        </w:tc>
      </w:tr>
      <w:tr>
        <w:trPr/>
        <w:tc>
          <w:tcPr>
            <w:tcW w:w="5377"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6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8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5377"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941" w:type="dxa"/>
            <w:gridSpan w:val="6"/>
            <w:tcBorders/>
            <w:vAlign w:val="bottom"/>
          </w:tcPr>
          <w:p>
            <w:pPr>
              <w:pStyle w:val="TableContents"/>
              <w:bidi w:val="0"/>
              <w:spacing w:before="0" w:after="283"/>
              <w:jc w:val="center"/>
              <w:rPr>
                <w:b/>
              </w:rPr>
            </w:pPr>
            <w:r>
              <w:rPr>
                <w:b/>
              </w:rPr>
              <w:t>(in thousands)</w:t>
            </w:r>
          </w:p>
        </w:tc>
        <w:tc>
          <w:tcPr>
            <w:tcW w:w="64" w:type="dxa"/>
            <w:tcBorders/>
            <w:vAlign w:val="bottom"/>
          </w:tcPr>
          <w:p>
            <w:pPr>
              <w:pStyle w:val="TableContents"/>
              <w:bidi w:val="0"/>
              <w:spacing w:before="0" w:after="283"/>
              <w:jc w:val="left"/>
              <w:rPr/>
            </w:pPr>
            <w:r>
              <w:rPr/>
              <w:t> </w:t>
            </w:r>
          </w:p>
        </w:tc>
      </w:tr>
      <w:tr>
        <w:trPr/>
        <w:tc>
          <w:tcPr>
            <w:tcW w:w="53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7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31" w:type="dxa"/>
            <w:tcBorders/>
            <w:shd w:fill="CCEEFF" w:val="clear"/>
            <w:vAlign w:val="bottom"/>
          </w:tcPr>
          <w:p>
            <w:pPr>
              <w:pStyle w:val="TableContents"/>
              <w:bidi w:val="0"/>
              <w:spacing w:before="0" w:after="283"/>
              <w:jc w:val="right"/>
              <w:rPr/>
            </w:pPr>
            <w:r>
              <w:rPr/>
              <w:t>  </w:t>
            </w:r>
            <w:r>
              <w:rPr/>
              <w:t>606</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780</w:t>
            </w:r>
          </w:p>
        </w:tc>
        <w:tc>
          <w:tcPr>
            <w:tcW w:w="64" w:type="dxa"/>
            <w:tcBorders/>
            <w:shd w:fill="CCEEFF" w:val="clear"/>
            <w:vAlign w:val="bottom"/>
          </w:tcPr>
          <w:p>
            <w:pPr>
              <w:pStyle w:val="TableContents"/>
              <w:bidi w:val="0"/>
              <w:spacing w:before="0" w:after="283"/>
              <w:jc w:val="left"/>
              <w:rPr/>
            </w:pPr>
            <w:r>
              <w:rPr/>
              <w:t> </w:t>
            </w:r>
          </w:p>
        </w:tc>
      </w:tr>
      <w:tr>
        <w:trPr/>
        <w:tc>
          <w:tcPr>
            <w:tcW w:w="5377"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7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204</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874</w:t>
            </w:r>
          </w:p>
        </w:tc>
        <w:tc>
          <w:tcPr>
            <w:tcW w:w="64" w:type="dxa"/>
            <w:tcBorders/>
            <w:vAlign w:val="bottom"/>
          </w:tcPr>
          <w:p>
            <w:pPr>
              <w:pStyle w:val="TableContents"/>
              <w:bidi w:val="0"/>
              <w:spacing w:before="0" w:after="283"/>
              <w:jc w:val="left"/>
              <w:rPr/>
            </w:pPr>
            <w:r>
              <w:rPr/>
              <w:t> </w:t>
            </w:r>
          </w:p>
        </w:tc>
      </w:tr>
      <w:tr>
        <w:trPr/>
        <w:tc>
          <w:tcPr>
            <w:tcW w:w="5377"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w:t>
            </w:r>
          </w:p>
        </w:tc>
        <w:tc>
          <w:tcPr>
            <w:tcW w:w="37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31" w:type="dxa"/>
            <w:tcBorders/>
            <w:shd w:fill="CCEEFF" w:val="clear"/>
            <w:vAlign w:val="bottom"/>
          </w:tcPr>
          <w:p>
            <w:pPr>
              <w:pStyle w:val="TableContents"/>
              <w:bidi w:val="0"/>
              <w:spacing w:before="0" w:after="283"/>
              <w:jc w:val="right"/>
              <w:rPr/>
            </w:pPr>
            <w:r>
              <w:rPr/>
              <w:t>810</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  </w:t>
            </w:r>
            <w:r>
              <w:rPr/>
              <w:t>1,654</w:t>
            </w:r>
          </w:p>
        </w:tc>
        <w:tc>
          <w:tcPr>
            <w:tcW w:w="64" w:type="dxa"/>
            <w:tcBorders/>
            <w:shd w:fill="CCEEFF" w:val="clear"/>
            <w:vAlign w:val="bottom"/>
          </w:tcPr>
          <w:p>
            <w:pPr>
              <w:pStyle w:val="TableContents"/>
              <w:bidi w:val="0"/>
              <w:spacing w:before="0" w:after="283"/>
              <w:jc w:val="left"/>
              <w:rPr/>
            </w:pPr>
            <w:r>
              <w:rPr/>
              <w:t> </w:t>
            </w:r>
          </w:p>
        </w:tc>
      </w:tr>
      <w:tr>
        <w:trPr/>
        <w:tc>
          <w:tcPr>
            <w:tcW w:w="5377"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69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March 31, 2022, there was $22.0 million and $0.9 million of unrecognized stock-based compensation related to stock options and restricted stock awards outstanding, respectively, which were expected to be recognized over weighted-average remaining service periods of 3.0 years and 1.8 years,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In May 2020, the Company entered into a services agreement with a vendor for assistance in evaluating assets and technologies in the field of neurodegeneration. As consideration, the Company issued 1,000,000 shares of its restricted common stock with a grant-date fair value of $0.4 million, subject to a right of forfeiture that lapsed as to 50% of the shares in May 2021 and lapses as to the remaining 50% of the shares in May 2022. While services are being provided, the Company agreed to issue the vendor additional shares of its common stock representing a value of $1.0 million upon the achievement of certain milestones tied to the successful in-license or acquisition of assets (the Milestone Shares). The Company concluded the Milestone Shares are stock settled debt that are required to be classified as a liability and recognized at such time the milestones are probable of being met. As of March 31, 2022, the milestones were not probable of being met and subsequently, in April 2022, the services agreement was terminated (see Note 15).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Net Loss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computation of basic and diluted net loss per share: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32"/>
        <w:gridCol w:w="279"/>
        <w:gridCol w:w="214"/>
        <w:gridCol w:w="1236"/>
        <w:gridCol w:w="233"/>
        <w:gridCol w:w="330"/>
        <w:gridCol w:w="214"/>
        <w:gridCol w:w="1258"/>
        <w:gridCol w:w="159"/>
      </w:tblGrid>
      <w:tr>
        <w:trPr/>
        <w:tc>
          <w:tcPr>
            <w:tcW w:w="3832"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32"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34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9" w:type="dxa"/>
            <w:tcBorders/>
            <w:vAlign w:val="bottom"/>
          </w:tcPr>
          <w:p>
            <w:pPr>
              <w:pStyle w:val="TableContents"/>
              <w:bidi w:val="0"/>
              <w:spacing w:before="0" w:after="283"/>
              <w:jc w:val="left"/>
              <w:rPr/>
            </w:pPr>
            <w:r>
              <w:rPr/>
              <w:t> </w:t>
            </w:r>
          </w:p>
        </w:tc>
      </w:tr>
      <w:tr>
        <w:trPr/>
        <w:tc>
          <w:tcPr>
            <w:tcW w:w="3832"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233"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3832"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3485" w:type="dxa"/>
            <w:gridSpan w:val="6"/>
            <w:tcBorders/>
            <w:vAlign w:val="bottom"/>
          </w:tcPr>
          <w:p>
            <w:pPr>
              <w:pStyle w:val="TableContents"/>
              <w:bidi w:val="0"/>
              <w:spacing w:before="0" w:after="283"/>
              <w:jc w:val="center"/>
              <w:rPr>
                <w:b/>
              </w:rPr>
            </w:pPr>
            <w:r>
              <w:rPr>
                <w:b/>
              </w:rPr>
              <w:t>(in thousands, except per</w:t>
              <w:br/>
              <w:t>share amounts)</w:t>
            </w:r>
          </w:p>
        </w:tc>
        <w:tc>
          <w:tcPr>
            <w:tcW w:w="159" w:type="dxa"/>
            <w:tcBorders/>
            <w:vAlign w:val="bottom"/>
          </w:tcPr>
          <w:p>
            <w:pPr>
              <w:pStyle w:val="TableContents"/>
              <w:bidi w:val="0"/>
              <w:spacing w:before="0" w:after="283"/>
              <w:jc w:val="left"/>
              <w:rPr/>
            </w:pPr>
            <w:r>
              <w:rPr/>
              <w:t> </w:t>
            </w:r>
          </w:p>
        </w:tc>
      </w:tr>
      <w:tr>
        <w:trPr/>
        <w:tc>
          <w:tcPr>
            <w:tcW w:w="3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27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3271" w:type="dxa"/>
            <w:gridSpan w:val="5"/>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832"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7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236" w:type="dxa"/>
            <w:tcBorders/>
            <w:vAlign w:val="bottom"/>
          </w:tcPr>
          <w:p>
            <w:pPr>
              <w:pStyle w:val="TableContents"/>
              <w:bidi w:val="0"/>
              <w:spacing w:before="0" w:after="283"/>
              <w:jc w:val="right"/>
              <w:rPr/>
            </w:pPr>
            <w:r>
              <w:rPr/>
              <w:t>(15,304</w:t>
            </w:r>
          </w:p>
        </w:tc>
        <w:tc>
          <w:tcPr>
            <w:tcW w:w="233"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258" w:type="dxa"/>
            <w:tcBorders/>
            <w:vAlign w:val="bottom"/>
          </w:tcPr>
          <w:p>
            <w:pPr>
              <w:pStyle w:val="TableContents"/>
              <w:bidi w:val="0"/>
              <w:spacing w:before="0" w:after="283"/>
              <w:jc w:val="right"/>
              <w:rPr/>
            </w:pPr>
            <w:r>
              <w:rPr/>
              <w:t> </w:t>
            </w:r>
            <w:r>
              <w:rPr/>
              <w:t>(43,042</w:t>
            </w:r>
          </w:p>
        </w:tc>
        <w:tc>
          <w:tcPr>
            <w:tcW w:w="159" w:type="dxa"/>
            <w:tcBorders/>
            <w:vAlign w:val="bottom"/>
          </w:tcPr>
          <w:p>
            <w:pPr>
              <w:pStyle w:val="TableContents"/>
              <w:bidi w:val="0"/>
              <w:spacing w:before="0" w:after="283"/>
              <w:jc w:val="left"/>
              <w:rPr/>
            </w:pPr>
            <w:r>
              <w:rPr/>
              <w:t>) </w:t>
            </w:r>
          </w:p>
        </w:tc>
      </w:tr>
      <w:tr>
        <w:trPr/>
        <w:tc>
          <w:tcPr>
            <w:tcW w:w="3832"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236" w:type="dxa"/>
            <w:tcBorders/>
            <w:vAlign w:val="bottom"/>
          </w:tcPr>
          <w:p>
            <w:pPr>
              <w:pStyle w:val="TableContents"/>
              <w:pBdr>
                <w:top w:val="double" w:sz="6" w:space="1" w:color="000000"/>
              </w:pBdr>
              <w:bidi w:val="0"/>
              <w:spacing w:before="0" w:after="0"/>
              <w:jc w:val="left"/>
              <w:rPr/>
            </w:pPr>
            <w:r>
              <w:rPr/>
              <w:t> </w:t>
            </w:r>
          </w:p>
        </w:tc>
        <w:tc>
          <w:tcPr>
            <w:tcW w:w="233"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25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27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236"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25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832"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27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150,730</w:t>
            </w:r>
          </w:p>
        </w:tc>
        <w:tc>
          <w:tcPr>
            <w:tcW w:w="233"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204,122</w:t>
            </w:r>
          </w:p>
        </w:tc>
        <w:tc>
          <w:tcPr>
            <w:tcW w:w="159" w:type="dxa"/>
            <w:tcBorders/>
            <w:vAlign w:val="bottom"/>
          </w:tcPr>
          <w:p>
            <w:pPr>
              <w:pStyle w:val="TableContents"/>
              <w:bidi w:val="0"/>
              <w:spacing w:before="0" w:after="283"/>
              <w:jc w:val="left"/>
              <w:rPr/>
            </w:pPr>
            <w:r>
              <w:rPr/>
              <w:t> </w:t>
            </w:r>
          </w:p>
        </w:tc>
      </w:tr>
      <w:tr>
        <w:trPr/>
        <w:tc>
          <w:tcPr>
            <w:tcW w:w="3832"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236" w:type="dxa"/>
            <w:tcBorders/>
            <w:vAlign w:val="bottom"/>
          </w:tcPr>
          <w:p>
            <w:pPr>
              <w:pStyle w:val="TableContents"/>
              <w:pBdr>
                <w:top w:val="double" w:sz="6" w:space="1" w:color="000000"/>
              </w:pBdr>
              <w:bidi w:val="0"/>
              <w:spacing w:before="0" w:after="0"/>
              <w:jc w:val="left"/>
              <w:rPr/>
            </w:pPr>
            <w:r>
              <w:rPr/>
              <w:t> </w:t>
            </w:r>
          </w:p>
        </w:tc>
        <w:tc>
          <w:tcPr>
            <w:tcW w:w="233"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25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7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(0.10</w:t>
            </w:r>
          </w:p>
        </w:tc>
        <w:tc>
          <w:tcPr>
            <w:tcW w:w="233"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258" w:type="dxa"/>
            <w:tcBorders/>
            <w:shd w:fill="CCEEFF" w:val="clear"/>
            <w:vAlign w:val="bottom"/>
          </w:tcPr>
          <w:p>
            <w:pPr>
              <w:pStyle w:val="TableContents"/>
              <w:bidi w:val="0"/>
              <w:spacing w:before="0" w:after="283"/>
              <w:jc w:val="right"/>
              <w:rPr/>
            </w:pPr>
            <w:r>
              <w:rPr/>
              <w:t>(0.21</w:t>
            </w:r>
          </w:p>
        </w:tc>
        <w:tc>
          <w:tcPr>
            <w:tcW w:w="159" w:type="dxa"/>
            <w:tcBorders/>
            <w:shd w:fill="CCEEFF" w:val="clear"/>
            <w:vAlign w:val="bottom"/>
          </w:tcPr>
          <w:p>
            <w:pPr>
              <w:pStyle w:val="TableContents"/>
              <w:bidi w:val="0"/>
              <w:spacing w:before="0" w:after="283"/>
              <w:jc w:val="left"/>
              <w:rPr/>
            </w:pPr>
            <w:r>
              <w:rPr/>
              <w:t>) </w:t>
            </w:r>
          </w:p>
        </w:tc>
      </w:tr>
      <w:tr>
        <w:trPr/>
        <w:tc>
          <w:tcPr>
            <w:tcW w:w="3832"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236" w:type="dxa"/>
            <w:tcBorders/>
            <w:vAlign w:val="bottom"/>
          </w:tcPr>
          <w:p>
            <w:pPr>
              <w:pStyle w:val="TableContents"/>
              <w:pBdr>
                <w:top w:val="double" w:sz="6" w:space="1" w:color="000000"/>
              </w:pBdr>
              <w:bidi w:val="0"/>
              <w:spacing w:before="0" w:after="0"/>
              <w:jc w:val="left"/>
              <w:rPr/>
            </w:pPr>
            <w:r>
              <w:rPr/>
              <w:t> </w:t>
            </w:r>
          </w:p>
        </w:tc>
        <w:tc>
          <w:tcPr>
            <w:tcW w:w="233"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25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outstanding potentially dilutive common stock equivalents were excluded from the computation of diluted net loss per share for the periods presented because including them would have been antidilutive: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24"/>
        <w:gridCol w:w="244"/>
        <w:gridCol w:w="60"/>
        <w:gridCol w:w="800"/>
        <w:gridCol w:w="60"/>
        <w:gridCol w:w="244"/>
        <w:gridCol w:w="60"/>
        <w:gridCol w:w="800"/>
        <w:gridCol w:w="63"/>
      </w:tblGrid>
      <w:tr>
        <w:trPr/>
        <w:tc>
          <w:tcPr>
            <w:tcW w:w="5424"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2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02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63" w:type="dxa"/>
            <w:tcBorders/>
            <w:vAlign w:val="bottom"/>
          </w:tcPr>
          <w:p>
            <w:pPr>
              <w:pStyle w:val="TableContents"/>
              <w:bidi w:val="0"/>
              <w:spacing w:before="0" w:after="283"/>
              <w:jc w:val="left"/>
              <w:rPr/>
            </w:pPr>
            <w:r>
              <w:rPr/>
              <w:t> </w:t>
            </w:r>
          </w:p>
        </w:tc>
      </w:tr>
      <w:tr>
        <w:trPr/>
        <w:tc>
          <w:tcPr>
            <w:tcW w:w="542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3" w:type="dxa"/>
            <w:tcBorders/>
            <w:vAlign w:val="bottom"/>
          </w:tcPr>
          <w:p>
            <w:pPr>
              <w:pStyle w:val="TableContents"/>
              <w:bidi w:val="0"/>
              <w:spacing w:before="0" w:after="283"/>
              <w:jc w:val="left"/>
              <w:rPr/>
            </w:pPr>
            <w:r>
              <w:rPr/>
              <w:t> </w:t>
            </w:r>
          </w:p>
        </w:tc>
      </w:tr>
      <w:tr>
        <w:trPr/>
        <w:tc>
          <w:tcPr>
            <w:tcW w:w="542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024" w:type="dxa"/>
            <w:gridSpan w:val="6"/>
            <w:tcBorders/>
            <w:vAlign w:val="bottom"/>
          </w:tcPr>
          <w:p>
            <w:pPr>
              <w:pStyle w:val="TableContents"/>
              <w:bidi w:val="0"/>
              <w:spacing w:before="0" w:after="283"/>
              <w:jc w:val="center"/>
              <w:rPr>
                <w:b/>
              </w:rPr>
            </w:pPr>
            <w:r>
              <w:rPr>
                <w:b/>
              </w:rPr>
              <w:t>(in thousands)</w:t>
            </w:r>
          </w:p>
        </w:tc>
        <w:tc>
          <w:tcPr>
            <w:tcW w:w="63" w:type="dxa"/>
            <w:tcBorders/>
            <w:vAlign w:val="bottom"/>
          </w:tcPr>
          <w:p>
            <w:pPr>
              <w:pStyle w:val="TableContents"/>
              <w:bidi w:val="0"/>
              <w:spacing w:before="0" w:after="283"/>
              <w:jc w:val="left"/>
              <w:rPr/>
            </w:pPr>
            <w:r>
              <w:rPr/>
              <w:t> </w:t>
            </w:r>
          </w:p>
        </w:tc>
      </w:tr>
      <w:tr>
        <w:trPr/>
        <w:tc>
          <w:tcPr>
            <w:tcW w:w="5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294,876</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743,126</w:t>
            </w:r>
          </w:p>
        </w:tc>
        <w:tc>
          <w:tcPr>
            <w:tcW w:w="63" w:type="dxa"/>
            <w:tcBorders/>
            <w:shd w:fill="CCEEFF" w:val="clear"/>
            <w:vAlign w:val="bottom"/>
          </w:tcPr>
          <w:p>
            <w:pPr>
              <w:pStyle w:val="TableContents"/>
              <w:bidi w:val="0"/>
              <w:spacing w:before="0" w:after="283"/>
              <w:jc w:val="left"/>
              <w:rPr/>
            </w:pPr>
            <w:r>
              <w:rPr/>
              <w:t> </w:t>
            </w:r>
          </w:p>
        </w:tc>
      </w:tr>
      <w:tr>
        <w:trPr/>
        <w:tc>
          <w:tcPr>
            <w:tcW w:w="5424"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warrants</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2,293</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2,293</w:t>
            </w:r>
          </w:p>
        </w:tc>
        <w:tc>
          <w:tcPr>
            <w:tcW w:w="63" w:type="dxa"/>
            <w:tcBorders/>
            <w:vAlign w:val="bottom"/>
          </w:tcPr>
          <w:p>
            <w:pPr>
              <w:pStyle w:val="TableContents"/>
              <w:bidi w:val="0"/>
              <w:spacing w:before="0" w:after="283"/>
              <w:jc w:val="left"/>
              <w:rPr/>
            </w:pPr>
            <w:r>
              <w:rPr/>
              <w:t> </w:t>
            </w:r>
          </w:p>
        </w:tc>
      </w:tr>
      <w:tr>
        <w:trPr/>
        <w:tc>
          <w:tcPr>
            <w:tcW w:w="5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options</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27,766</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70,736</w:t>
            </w:r>
          </w:p>
        </w:tc>
        <w:tc>
          <w:tcPr>
            <w:tcW w:w="63" w:type="dxa"/>
            <w:tcBorders/>
            <w:shd w:fill="CCEEFF" w:val="clear"/>
            <w:vAlign w:val="bottom"/>
          </w:tcPr>
          <w:p>
            <w:pPr>
              <w:pStyle w:val="TableContents"/>
              <w:bidi w:val="0"/>
              <w:spacing w:before="0" w:after="283"/>
              <w:jc w:val="left"/>
              <w:rPr/>
            </w:pPr>
            <w:r>
              <w:rPr/>
              <w:t> </w:t>
            </w:r>
          </w:p>
        </w:tc>
      </w:tr>
      <w:tr>
        <w:trPr/>
        <w:tc>
          <w:tcPr>
            <w:tcW w:w="5424" w:type="dxa"/>
            <w:tcBorders/>
          </w:tcPr>
          <w:p>
            <w:pPr>
              <w:pStyle w:val="TableContents"/>
              <w:bidi w:val="0"/>
              <w:spacing w:before="0" w:after="0"/>
              <w:jc w:val="left"/>
              <w:rPr>
                <w:rFonts w:ascii="Times New Roman" w:hAnsi="Times New Roman"/>
                <w:sz w:val="20"/>
              </w:rPr>
            </w:pPr>
            <w:r>
              <w:rPr>
                <w:rFonts w:ascii="Times New Roman" w:hAnsi="Times New Roman"/>
                <w:sz w:val="20"/>
              </w:rPr>
              <w:t>Performance stock options</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5,500</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5,500</w:t>
            </w:r>
          </w:p>
        </w:tc>
        <w:tc>
          <w:tcPr>
            <w:tcW w:w="63" w:type="dxa"/>
            <w:tcBorders/>
            <w:vAlign w:val="bottom"/>
          </w:tcPr>
          <w:p>
            <w:pPr>
              <w:pStyle w:val="TableContents"/>
              <w:bidi w:val="0"/>
              <w:spacing w:before="0" w:after="283"/>
              <w:jc w:val="left"/>
              <w:rPr/>
            </w:pPr>
            <w:r>
              <w:rPr/>
              <w:t> </w:t>
            </w:r>
          </w:p>
        </w:tc>
      </w:tr>
      <w:tr>
        <w:trPr/>
        <w:tc>
          <w:tcPr>
            <w:tcW w:w="5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Early exercised stock options subject to future vesting</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790</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2,269</w:t>
            </w:r>
          </w:p>
        </w:tc>
        <w:tc>
          <w:tcPr>
            <w:tcW w:w="63" w:type="dxa"/>
            <w:tcBorders/>
            <w:shd w:fill="CCEEFF" w:val="clear"/>
            <w:vAlign w:val="bottom"/>
          </w:tcPr>
          <w:p>
            <w:pPr>
              <w:pStyle w:val="TableContents"/>
              <w:bidi w:val="0"/>
              <w:spacing w:before="0" w:after="283"/>
              <w:jc w:val="left"/>
              <w:rPr/>
            </w:pPr>
            <w:r>
              <w:rPr/>
              <w:t> </w:t>
            </w:r>
          </w:p>
        </w:tc>
      </w:tr>
      <w:tr>
        <w:trPr/>
        <w:tc>
          <w:tcPr>
            <w:tcW w:w="5424" w:type="dxa"/>
            <w:tcBorders/>
          </w:tcPr>
          <w:p>
            <w:pPr>
              <w:pStyle w:val="TableContents"/>
              <w:bidi w:val="0"/>
              <w:spacing w:before="0" w:after="0"/>
              <w:jc w:val="left"/>
              <w:rPr>
                <w:rFonts w:ascii="Times New Roman" w:hAnsi="Times New Roman"/>
                <w:sz w:val="20"/>
              </w:rPr>
            </w:pPr>
            <w:r>
              <w:rPr>
                <w:rFonts w:ascii="Times New Roman" w:hAnsi="Times New Roman"/>
                <w:sz w:val="20"/>
              </w:rPr>
              <w:t>Unvested restricted stock subject to repurchase</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55,739</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34,614</w:t>
            </w:r>
          </w:p>
        </w:tc>
        <w:tc>
          <w:tcPr>
            <w:tcW w:w="63" w:type="dxa"/>
            <w:tcBorders/>
            <w:vAlign w:val="bottom"/>
          </w:tcPr>
          <w:p>
            <w:pPr>
              <w:pStyle w:val="TableContents"/>
              <w:bidi w:val="0"/>
              <w:spacing w:before="0" w:after="283"/>
              <w:jc w:val="left"/>
              <w:rPr/>
            </w:pPr>
            <w:r>
              <w:rPr/>
              <w:t> </w:t>
            </w:r>
          </w:p>
        </w:tc>
      </w:tr>
      <w:tr>
        <w:trPr/>
        <w:tc>
          <w:tcPr>
            <w:tcW w:w="5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Performance restricted stock</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7,000</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7,000</w:t>
            </w:r>
          </w:p>
        </w:tc>
        <w:tc>
          <w:tcPr>
            <w:tcW w:w="63" w:type="dxa"/>
            <w:tcBorders/>
            <w:shd w:fill="CCEEFF" w:val="clear"/>
            <w:vAlign w:val="bottom"/>
          </w:tcPr>
          <w:p>
            <w:pPr>
              <w:pStyle w:val="TableContents"/>
              <w:bidi w:val="0"/>
              <w:spacing w:before="0" w:after="283"/>
              <w:jc w:val="left"/>
              <w:rPr/>
            </w:pPr>
            <w:r>
              <w:rPr/>
              <w:t> </w:t>
            </w:r>
          </w:p>
        </w:tc>
      </w:tr>
      <w:tr>
        <w:trPr/>
        <w:tc>
          <w:tcPr>
            <w:tcW w:w="5424"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subject to right of forfeiture</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20,833</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5424"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414,797</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865,538</w:t>
            </w:r>
          </w:p>
        </w:tc>
        <w:tc>
          <w:tcPr>
            <w:tcW w:w="63" w:type="dxa"/>
            <w:tcBorders/>
            <w:shd w:fill="CCEEFF" w:val="clear"/>
            <w:vAlign w:val="bottom"/>
          </w:tcPr>
          <w:p>
            <w:pPr>
              <w:pStyle w:val="TableContents"/>
              <w:bidi w:val="0"/>
              <w:spacing w:before="0" w:after="283"/>
              <w:jc w:val="left"/>
              <w:rPr/>
            </w:pPr>
            <w:r>
              <w:rPr/>
              <w:t> </w:t>
            </w:r>
          </w:p>
        </w:tc>
      </w:tr>
      <w:tr>
        <w:trPr/>
        <w:tc>
          <w:tcPr>
            <w:tcW w:w="5424"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Interim Condensed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August 2021, the Company issued 40,000,000 shares of its Series A-2 convertible preferred stock for total cash proceeds of $40.0 million to a significant stockholder that has designated members on the Companys board of directors and who is considered to be a related party.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2022, the Company was obligated to pay Amgen $6.3 million under the Amgen Collaboration Agreement (see Note 9). Subject to certain conditions, Amgen is also obligated to provide the Company additional financing of up to $100.0 million (see Note 10).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2022, out of the total, 820,434 Preferred Stock Warrants were held by a related party (see Note 11).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through June 10, 2022, the date these condensed consolidated financial statements were available to be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In April 2022, the Company terminated its services agreement with a vendor (see Note 12).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May 2022, the Company executed a sublease agreement for additional office and laboratory space in Boston, Massachusetts. The term of the sublease agreement commenced in June 2022 with respect to the office space and is expected to commence in August 2022 with respect to the laboratory space. The term of the sublease agreement expires in June 2025. Pursuant to this agreement, the Company is obligated to make total operating lease payments of approximately $10.6 million during the lease term plus operating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t xml:space="preserve">                          </w:t>
      </w:r>
      <w:r>
        <w:rPr>
          <w:rFonts w:ascii="Times New Roman" w:hAnsi="Times New Roman"/>
          <w:b/>
          <w:sz w:val="36"/>
        </w:rPr>
        <w:t xml:space="preserve">Shares </w:t>
      </w:r>
    </w:p>
    <w:p>
      <w:pPr>
        <w:pStyle w:val="TextBody"/>
        <w:bidi w:val="0"/>
        <w:spacing w:before="0" w:after="0"/>
        <w:jc w:val="center"/>
        <w:rPr/>
      </w:pPr>
      <w:r>
        <w:rPr/>
        <w:drawing>
          <wp:inline distT="0" distB="0" distL="0" distR="0">
            <wp:extent cx="284480" cy="6286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284480" cy="6286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0" w:after="0"/>
        <w:jc w:val="center"/>
        <w:rPr>
          <w:rFonts w:ascii="Times New Roman" w:hAnsi="Times New Roman"/>
          <w:b/>
          <w:sz w:val="32"/>
        </w:rPr>
      </w:pPr>
      <w:r>
        <w:rPr>
          <w:rFonts w:ascii="Times New Roman" w:hAnsi="Times New Roman"/>
          <w:b/>
          <w:sz w:val="32"/>
        </w:rPr>
        <w:t xml:space="preserve">Common Stock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32"/>
        </w:rPr>
      </w:pPr>
      <w:r>
        <w:rPr>
          <w:rFonts w:ascii="Times New Roman" w:hAnsi="Times New Roman"/>
          <w:b/>
          <w:sz w:val="32"/>
        </w:rPr>
        <w:t xml:space="preserve">Prospectus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p>
      <w:pPr>
        <w:pStyle w:val="TextBody"/>
        <w:bidi w:val="0"/>
        <w:spacing w:before="600" w:after="0"/>
        <w:jc w:val="center"/>
        <w:rPr>
          <w:rFonts w:ascii="Times New Roman" w:hAnsi="Times New Roman"/>
          <w:b/>
          <w:sz w:val="24"/>
        </w:rPr>
      </w:pPr>
      <w:r>
        <w:rPr>
          <w:rFonts w:ascii="Times New Roman" w:hAnsi="Times New Roman"/>
          <w:b/>
          <w:sz w:val="24"/>
        </w:rPr>
        <w:t xml:space="preserve">J.P. Morgan         BofA Securities         Credit Suisse        Stifel        Guggenheim Securities </w:t>
      </w:r>
    </w:p>
    <w:p>
      <w:pPr>
        <w:pStyle w:val="TextBody"/>
        <w:bidi w:val="0"/>
        <w:spacing w:before="1800" w:after="0"/>
        <w:jc w:val="center"/>
        <w:rPr/>
      </w:pPr>
      <w:r>
        <w:rPr/>
        <w:t>                         </w:t>
      </w:r>
      <w:r>
        <w:rPr>
          <w:rFonts w:ascii="Times New Roman" w:hAnsi="Times New Roman"/>
          <w:b/>
          <w:sz w:val="20"/>
        </w:rPr>
        <w:t xml:space="preserve">, 2022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costs and expenses, other than underwriting discounts and commissions, payable by us in connection with the sale of the common stock being registered. All amounts are estimates except for the Securities and Exchange Commission (SEC) registration fee, the Financial Industry Regulatory Authority (FINRA) filing fee and the Nasdaq Global Market (Nasdaq) listing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88"/>
        <w:gridCol w:w="428"/>
        <w:gridCol w:w="140"/>
        <w:gridCol w:w="1921"/>
        <w:gridCol w:w="62"/>
      </w:tblGrid>
      <w:tr>
        <w:trPr/>
        <w:tc>
          <w:tcPr>
            <w:tcW w:w="4388"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388"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0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Paid or</w:t>
              <w:br/>
              <w:t>to Be Paid</w:t>
            </w:r>
          </w:p>
        </w:tc>
        <w:tc>
          <w:tcPr>
            <w:tcW w:w="62" w:type="dxa"/>
            <w:tcBorders/>
            <w:vAlign w:val="bottom"/>
          </w:tcPr>
          <w:p>
            <w:pPr>
              <w:pStyle w:val="TableContents"/>
              <w:bidi w:val="0"/>
              <w:spacing w:before="0" w:after="283"/>
              <w:jc w:val="left"/>
              <w:rPr/>
            </w:pPr>
            <w:r>
              <w:rPr/>
              <w:t> </w:t>
            </w:r>
          </w:p>
        </w:tc>
      </w:tr>
      <w:tr>
        <w:trPr/>
        <w:tc>
          <w:tcPr>
            <w:tcW w:w="43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921" w:type="dxa"/>
            <w:tcBorders/>
            <w:shd w:fill="CCEEFF" w:val="clear"/>
            <w:vAlign w:val="bottom"/>
          </w:tcPr>
          <w:p>
            <w:pPr>
              <w:pStyle w:val="TableContents"/>
              <w:bidi w:val="0"/>
              <w:spacing w:before="0" w:after="283"/>
              <w:jc w:val="right"/>
              <w:rPr/>
            </w:pPr>
            <w:r>
              <w:rPr/>
              <w:t>            </w:t>
            </w:r>
            <w:r>
              <w:rPr/>
              <w:t>*</w:t>
            </w:r>
          </w:p>
        </w:tc>
        <w:tc>
          <w:tcPr>
            <w:tcW w:w="62" w:type="dxa"/>
            <w:tcBorders/>
            <w:shd w:fill="CCEEFF" w:val="clear"/>
            <w:vAlign w:val="bottom"/>
          </w:tcPr>
          <w:p>
            <w:pPr>
              <w:pStyle w:val="TableContents"/>
              <w:bidi w:val="0"/>
              <w:spacing w:before="0" w:after="283"/>
              <w:jc w:val="left"/>
              <w:rPr/>
            </w:pPr>
            <w:r>
              <w:rPr/>
              <w:t> </w:t>
            </w:r>
          </w:p>
        </w:tc>
      </w:tr>
      <w:tr>
        <w:trPr/>
        <w:tc>
          <w:tcPr>
            <w:tcW w:w="4388"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4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21" w:type="dxa"/>
            <w:tcBorders/>
            <w:vAlign w:val="bottom"/>
          </w:tcPr>
          <w:p>
            <w:pPr>
              <w:pStyle w:val="TableContents"/>
              <w:bidi w:val="0"/>
              <w:spacing w:before="0" w:after="283"/>
              <w:jc w:val="right"/>
              <w:rPr/>
            </w:pPr>
            <w:r>
              <w:rPr/>
              <w:t>            </w:t>
            </w:r>
            <w:r>
              <w:rPr/>
              <w:t>*</w:t>
            </w:r>
          </w:p>
        </w:tc>
        <w:tc>
          <w:tcPr>
            <w:tcW w:w="62" w:type="dxa"/>
            <w:tcBorders/>
            <w:vAlign w:val="bottom"/>
          </w:tcPr>
          <w:p>
            <w:pPr>
              <w:pStyle w:val="TableContents"/>
              <w:bidi w:val="0"/>
              <w:spacing w:before="0" w:after="283"/>
              <w:jc w:val="left"/>
              <w:rPr/>
            </w:pPr>
            <w:r>
              <w:rPr/>
              <w:t> </w:t>
            </w:r>
          </w:p>
        </w:tc>
      </w:tr>
      <w:tr>
        <w:trPr/>
        <w:tc>
          <w:tcPr>
            <w:tcW w:w="43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Nasdaq listing fee</w:t>
            </w:r>
          </w:p>
        </w:tc>
        <w:tc>
          <w:tcPr>
            <w:tcW w:w="4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921" w:type="dxa"/>
            <w:tcBorders/>
            <w:shd w:fill="CCEEFF" w:val="clear"/>
            <w:vAlign w:val="bottom"/>
          </w:tcPr>
          <w:p>
            <w:pPr>
              <w:pStyle w:val="TableContents"/>
              <w:bidi w:val="0"/>
              <w:spacing w:before="0" w:after="283"/>
              <w:jc w:val="right"/>
              <w:rPr/>
            </w:pPr>
            <w:r>
              <w:rPr/>
              <w:t>            </w:t>
            </w:r>
            <w:r>
              <w:rPr/>
              <w:t>*</w:t>
            </w:r>
          </w:p>
        </w:tc>
        <w:tc>
          <w:tcPr>
            <w:tcW w:w="62" w:type="dxa"/>
            <w:tcBorders/>
            <w:shd w:fill="CCEEFF" w:val="clear"/>
            <w:vAlign w:val="bottom"/>
          </w:tcPr>
          <w:p>
            <w:pPr>
              <w:pStyle w:val="TableContents"/>
              <w:bidi w:val="0"/>
              <w:spacing w:before="0" w:after="283"/>
              <w:jc w:val="left"/>
              <w:rPr/>
            </w:pPr>
            <w:r>
              <w:rPr/>
              <w:t> </w:t>
            </w:r>
          </w:p>
        </w:tc>
      </w:tr>
      <w:tr>
        <w:trPr/>
        <w:tc>
          <w:tcPr>
            <w:tcW w:w="4388" w:type="dxa"/>
            <w:tcBorders/>
          </w:tcPr>
          <w:p>
            <w:pPr>
              <w:pStyle w:val="TableContents"/>
              <w:bidi w:val="0"/>
              <w:spacing w:before="0" w:after="0"/>
              <w:jc w:val="left"/>
              <w:rPr>
                <w:rFonts w:ascii="Times New Roman" w:hAnsi="Times New Roman"/>
                <w:sz w:val="20"/>
              </w:rPr>
            </w:pPr>
            <w:r>
              <w:rPr>
                <w:rFonts w:ascii="Times New Roman" w:hAnsi="Times New Roman"/>
                <w:sz w:val="20"/>
              </w:rPr>
              <w:t>Transfer agents fees and expenses</w:t>
            </w:r>
          </w:p>
        </w:tc>
        <w:tc>
          <w:tcPr>
            <w:tcW w:w="4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21" w:type="dxa"/>
            <w:tcBorders/>
            <w:vAlign w:val="bottom"/>
          </w:tcPr>
          <w:p>
            <w:pPr>
              <w:pStyle w:val="TableContents"/>
              <w:bidi w:val="0"/>
              <w:spacing w:before="0" w:after="283"/>
              <w:jc w:val="right"/>
              <w:rPr/>
            </w:pPr>
            <w:r>
              <w:rPr/>
              <w:t>            </w:t>
            </w:r>
            <w:r>
              <w:rPr/>
              <w:t>*</w:t>
            </w:r>
          </w:p>
        </w:tc>
        <w:tc>
          <w:tcPr>
            <w:tcW w:w="62" w:type="dxa"/>
            <w:tcBorders/>
            <w:vAlign w:val="bottom"/>
          </w:tcPr>
          <w:p>
            <w:pPr>
              <w:pStyle w:val="TableContents"/>
              <w:bidi w:val="0"/>
              <w:spacing w:before="0" w:after="283"/>
              <w:jc w:val="left"/>
              <w:rPr/>
            </w:pPr>
            <w:r>
              <w:rPr/>
              <w:t> </w:t>
            </w:r>
          </w:p>
        </w:tc>
      </w:tr>
      <w:tr>
        <w:trPr/>
        <w:tc>
          <w:tcPr>
            <w:tcW w:w="43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Printing and engraving expenses</w:t>
            </w:r>
          </w:p>
        </w:tc>
        <w:tc>
          <w:tcPr>
            <w:tcW w:w="4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921" w:type="dxa"/>
            <w:tcBorders/>
            <w:shd w:fill="CCEEFF" w:val="clear"/>
            <w:vAlign w:val="bottom"/>
          </w:tcPr>
          <w:p>
            <w:pPr>
              <w:pStyle w:val="TableContents"/>
              <w:bidi w:val="0"/>
              <w:spacing w:before="0" w:after="283"/>
              <w:jc w:val="right"/>
              <w:rPr/>
            </w:pPr>
            <w:r>
              <w:rPr/>
              <w:t>            </w:t>
            </w:r>
            <w:r>
              <w:rPr/>
              <w:t>*</w:t>
            </w:r>
          </w:p>
        </w:tc>
        <w:tc>
          <w:tcPr>
            <w:tcW w:w="62" w:type="dxa"/>
            <w:tcBorders/>
            <w:shd w:fill="CCEEFF" w:val="clear"/>
            <w:vAlign w:val="bottom"/>
          </w:tcPr>
          <w:p>
            <w:pPr>
              <w:pStyle w:val="TableContents"/>
              <w:bidi w:val="0"/>
              <w:spacing w:before="0" w:after="283"/>
              <w:jc w:val="left"/>
              <w:rPr/>
            </w:pPr>
            <w:r>
              <w:rPr/>
              <w:t> </w:t>
            </w:r>
          </w:p>
        </w:tc>
      </w:tr>
      <w:tr>
        <w:trPr/>
        <w:tc>
          <w:tcPr>
            <w:tcW w:w="4388"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21" w:type="dxa"/>
            <w:tcBorders/>
            <w:vAlign w:val="bottom"/>
          </w:tcPr>
          <w:p>
            <w:pPr>
              <w:pStyle w:val="TableContents"/>
              <w:bidi w:val="0"/>
              <w:spacing w:before="0" w:after="283"/>
              <w:jc w:val="right"/>
              <w:rPr/>
            </w:pPr>
            <w:r>
              <w:rPr/>
              <w:t>            </w:t>
            </w:r>
            <w:r>
              <w:rPr/>
              <w:t>*</w:t>
            </w:r>
          </w:p>
        </w:tc>
        <w:tc>
          <w:tcPr>
            <w:tcW w:w="62" w:type="dxa"/>
            <w:tcBorders/>
            <w:vAlign w:val="bottom"/>
          </w:tcPr>
          <w:p>
            <w:pPr>
              <w:pStyle w:val="TableContents"/>
              <w:bidi w:val="0"/>
              <w:spacing w:before="0" w:after="283"/>
              <w:jc w:val="left"/>
              <w:rPr/>
            </w:pPr>
            <w:r>
              <w:rPr/>
              <w:t> </w:t>
            </w:r>
          </w:p>
        </w:tc>
      </w:tr>
      <w:tr>
        <w:trPr/>
        <w:tc>
          <w:tcPr>
            <w:tcW w:w="43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921" w:type="dxa"/>
            <w:tcBorders/>
            <w:shd w:fill="CCEEFF" w:val="clear"/>
            <w:vAlign w:val="bottom"/>
          </w:tcPr>
          <w:p>
            <w:pPr>
              <w:pStyle w:val="TableContents"/>
              <w:bidi w:val="0"/>
              <w:spacing w:before="0" w:after="283"/>
              <w:jc w:val="right"/>
              <w:rPr/>
            </w:pPr>
            <w:r>
              <w:rPr/>
              <w:t>            </w:t>
            </w:r>
            <w:r>
              <w:rPr/>
              <w:t>*</w:t>
            </w:r>
          </w:p>
        </w:tc>
        <w:tc>
          <w:tcPr>
            <w:tcW w:w="62" w:type="dxa"/>
            <w:tcBorders/>
            <w:shd w:fill="CCEEFF" w:val="clear"/>
            <w:vAlign w:val="bottom"/>
          </w:tcPr>
          <w:p>
            <w:pPr>
              <w:pStyle w:val="TableContents"/>
              <w:bidi w:val="0"/>
              <w:spacing w:before="0" w:after="283"/>
              <w:jc w:val="left"/>
              <w:rPr/>
            </w:pPr>
            <w:r>
              <w:rPr/>
              <w:t> </w:t>
            </w:r>
          </w:p>
        </w:tc>
      </w:tr>
      <w:tr>
        <w:trPr/>
        <w:tc>
          <w:tcPr>
            <w:tcW w:w="4388" w:type="dxa"/>
            <w:tcBorders/>
          </w:tcPr>
          <w:p>
            <w:pPr>
              <w:pStyle w:val="TableContents"/>
              <w:bidi w:val="0"/>
              <w:spacing w:before="0" w:after="0"/>
              <w:jc w:val="left"/>
              <w:rPr>
                <w:rFonts w:ascii="Times New Roman" w:hAnsi="Times New Roman"/>
                <w:sz w:val="20"/>
              </w:rPr>
            </w:pPr>
            <w:r>
              <w:rPr>
                <w:rFonts w:ascii="Times New Roman" w:hAnsi="Times New Roman"/>
                <w:sz w:val="20"/>
              </w:rPr>
              <w:t>Blue Sky fees and expenses</w:t>
            </w:r>
          </w:p>
        </w:tc>
        <w:tc>
          <w:tcPr>
            <w:tcW w:w="4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21" w:type="dxa"/>
            <w:tcBorders/>
            <w:vAlign w:val="bottom"/>
          </w:tcPr>
          <w:p>
            <w:pPr>
              <w:pStyle w:val="TableContents"/>
              <w:bidi w:val="0"/>
              <w:spacing w:before="0" w:after="283"/>
              <w:jc w:val="right"/>
              <w:rPr/>
            </w:pPr>
            <w:r>
              <w:rPr/>
              <w:t>            </w:t>
            </w:r>
            <w:r>
              <w:rPr/>
              <w:t>*</w:t>
            </w:r>
          </w:p>
        </w:tc>
        <w:tc>
          <w:tcPr>
            <w:tcW w:w="62" w:type="dxa"/>
            <w:tcBorders/>
            <w:vAlign w:val="bottom"/>
          </w:tcPr>
          <w:p>
            <w:pPr>
              <w:pStyle w:val="TableContents"/>
              <w:bidi w:val="0"/>
              <w:spacing w:before="0" w:after="283"/>
              <w:jc w:val="left"/>
              <w:rPr/>
            </w:pPr>
            <w:r>
              <w:rPr/>
              <w:t> </w:t>
            </w:r>
          </w:p>
        </w:tc>
      </w:tr>
      <w:tr>
        <w:trPr/>
        <w:tc>
          <w:tcPr>
            <w:tcW w:w="43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4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921" w:type="dxa"/>
            <w:tcBorders/>
            <w:shd w:fill="CCEEFF" w:val="clear"/>
            <w:vAlign w:val="bottom"/>
          </w:tcPr>
          <w:p>
            <w:pPr>
              <w:pStyle w:val="TableContents"/>
              <w:bidi w:val="0"/>
              <w:spacing w:before="0" w:after="283"/>
              <w:jc w:val="right"/>
              <w:rPr/>
            </w:pPr>
            <w:r>
              <w:rPr/>
              <w:t>            </w:t>
            </w:r>
            <w:r>
              <w:rPr/>
              <w:t>*</w:t>
            </w:r>
          </w:p>
        </w:tc>
        <w:tc>
          <w:tcPr>
            <w:tcW w:w="62" w:type="dxa"/>
            <w:tcBorders/>
            <w:shd w:fill="CCEEFF" w:val="clear"/>
            <w:vAlign w:val="bottom"/>
          </w:tcPr>
          <w:p>
            <w:pPr>
              <w:pStyle w:val="TableContents"/>
              <w:bidi w:val="0"/>
              <w:spacing w:before="0" w:after="283"/>
              <w:jc w:val="left"/>
              <w:rPr/>
            </w:pPr>
            <w:r>
              <w:rPr/>
              <w:t> </w:t>
            </w:r>
          </w:p>
        </w:tc>
      </w:tr>
      <w:tr>
        <w:trPr/>
        <w:tc>
          <w:tcPr>
            <w:tcW w:w="4388"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92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388"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921" w:type="dxa"/>
            <w:tcBorders/>
            <w:vAlign w:val="bottom"/>
          </w:tcPr>
          <w:p>
            <w:pPr>
              <w:pStyle w:val="TableContents"/>
              <w:bidi w:val="0"/>
              <w:spacing w:before="0" w:after="283"/>
              <w:jc w:val="right"/>
              <w:rPr/>
            </w:pPr>
            <w:r>
              <w:rPr/>
              <w:t>                        </w:t>
            </w:r>
            <w:r>
              <w:rPr/>
              <w:t>*</w:t>
            </w:r>
          </w:p>
        </w:tc>
        <w:tc>
          <w:tcPr>
            <w:tcW w:w="62" w:type="dxa"/>
            <w:tcBorders/>
            <w:vAlign w:val="bottom"/>
          </w:tcPr>
          <w:p>
            <w:pPr>
              <w:pStyle w:val="TableContents"/>
              <w:bidi w:val="0"/>
              <w:spacing w:before="0" w:after="283"/>
              <w:jc w:val="left"/>
              <w:rPr/>
            </w:pPr>
            <w:r>
              <w:rPr/>
              <w:t> </w:t>
            </w:r>
          </w:p>
        </w:tc>
      </w:tr>
      <w:tr>
        <w:trPr/>
        <w:tc>
          <w:tcPr>
            <w:tcW w:w="4388"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921"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completed by amendment.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14.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Article 9 of the registrants amended and restated certificate of incorporation provides for indemnification by the registrant of its directors, officers, and employees to the fullest extent permitted by the Delaware General Corporation Law. The registrant has entered into indemnification agreements with each of its current directors, executive officers, and certain other officers to provide these directors and officers additional contractual assurances regarding the scope of the indemnification set forth in the registrants amended and restated certificate of incorporation and amended and restated bylaws and to provide additional procedural protections. There is no pending litigation or proceeding involving a director or executive officer of the registrant for which indemnification is sought.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The registrants amended and restated certificate of incorporation provides for such limitation of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registrant maintains standard policies of insurance under which coverage is provided (a) to its directors and officers against loss rising from claims made by reason of breach of duty or other wrongful act, and (b) to the registrant with respect to payments that may be made by the registrant to such officers and directors pursuant to the above indemnification provision or otherwise as a matter of law. </w:t>
      </w:r>
    </w:p>
    <w:p>
      <w:pPr>
        <w:pStyle w:val="TextBody"/>
        <w:bidi w:val="0"/>
        <w:spacing w:before="240" w:after="0"/>
        <w:jc w:val="left"/>
        <w:rPr>
          <w:rFonts w:ascii="Times New Roman" w:hAnsi="Times New Roman"/>
          <w:sz w:val="20"/>
        </w:rPr>
      </w:pPr>
      <w:r>
        <w:rPr>
          <w:rFonts w:ascii="Times New Roman" w:hAnsi="Times New Roman"/>
          <w:sz w:val="20"/>
        </w:rPr>
        <w:t xml:space="preserve">The proposed form of underwriting agreement to be filed as Exhibit 1.1 to this registration statement provides for indemnification of directors and officers of the registrant by the underwriters against certain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Item 15. Recent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Since its inception in November 2019, the registrant has sold the following securities without registration under the Securities Act of 1933: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January 2020 to May 2022, the registrant issued 186,508,334 shares of its common stock for proceeds of approximately $49,553.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May 2020 to September 2020, the registrant issued 52,508,326 shares of its common stock in connection with its issuance and sale of its Series A-2 convertible preferred stock for no additional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September 2020, the registrant issued 45,178,495 shares of its Series A-1 convertible preferred stock at $1.00 per share for gross proceeds of approximately $45.2 million, in connection with its acquisition of BlackThorn.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September 2020, the registrant issued 2,292,672 shares of its Series A-1 convertible preferred stock upon exercise of warrants for proceeds of approximately $3.1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September 2020, the registrant issued 237,697,774 shares of its Series A-2 convertible preferred stock at $1.00 per share for gross proceeds of approximately $ 237.7 million, including conversion of the convertible promissory notes of an aggregate principal amount of approximately $55.9 million issued from February 2020 to September 2020.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November 2020, the registrant issued 12,000,000 shares of its Series A-2 convertible preferred stock at $1.00 per share for gross proceeds of $12.0 million, in connection with its acquisition of Alairion.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(g)</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August 2021 to September 2021, the registrant issued 191,250,000 shares of its Series A-2 convertible preferred stock at $1.00 per share for gross proceeds of approximately $191.3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September 2021, the registrant issued 100,000,000 shares of its Series A-2 convertible preferred stock at $1.00 per share for gross proceeds of approximately $100.0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September 2021, the registrant issued 157,000,000 shares of its Series A-2 convertible preferred stock in connection with the entry into an intellectual property license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(j)</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has granted equity awards under the 2015 Plan to its directors, officers, employees, and consultants, which awards consisted of 2,330,374 options to purchase an aggregate of 2,330,374 shares of its common stock at exercise prices ranging from $0.32 to $1.38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has issued an aggregate of 124,655 shares of its common stock upon the exercise of options under our 2015 Plan for aggregate proceeds of approximately $138,758.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(l)</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has granted equity awards under the 2020 Plan its directors, officers, employees, and consultants, which awards consisted of 98,163,944 options to purchase an aggregate of 98,163,944 shares of its common stock at exercise prices ranging from $0.32 to $0.59 per share and 4,000,000 restricted stock awards issued at $0.32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(m)</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has issued an aggregate of 11,906,792 shares of its common stock upon the exercise of options under our 2020 Plan for aggregate proceeds of approximately $4.7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offers, sales and issuances of the securities described in Item 15(a) through 15(m) were exempt from registration under the Securities Act in reliance upon Section 4(a)(2) of the Securities Act or Regulation D promulgated thereunder as transactions by an issuer not involving any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our company. </w:t>
      </w:r>
    </w:p>
    <w:p>
      <w:pPr>
        <w:pStyle w:val="TextBody"/>
        <w:bidi w:val="0"/>
        <w:spacing w:before="240" w:after="0"/>
        <w:jc w:val="left"/>
        <w:rPr>
          <w:rFonts w:ascii="Times New Roman" w:hAnsi="Times New Roman"/>
          <w:sz w:val="20"/>
        </w:rPr>
      </w:pPr>
      <w:r>
        <w:rPr>
          <w:rFonts w:ascii="Times New Roman" w:hAnsi="Times New Roman"/>
          <w:sz w:val="20"/>
        </w:rPr>
        <w:t xml:space="preserve">The offers, sales, and issuances of the securities described in Item 15(j) through 15(m) were exempt from registration under the Securities Act under either Rule 701, in that the transaction were under compensatory benefit plans and contracts relating to compensation, or under Section 4(a)(2) of the Securities Act in that the transactions were between an issuer and members of its senior executive management and did not involve any public offering within the meaning of Section 4(a)(2). The recipients of such securities were our employees, directors or consultants. Appropriate legends were affixed to the securities issued in these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120" w:after="0"/>
        <w:jc w:val="left"/>
        <w:rPr>
          <w:rFonts w:ascii="Times New Roman" w:hAnsi="Times New Roman"/>
          <w:sz w:val="20"/>
        </w:rPr>
      </w:pPr>
      <w:r>
        <w:rPr>
          <w:rFonts w:ascii="Times New Roman" w:hAnsi="Times New Roman"/>
          <w:sz w:val="20"/>
        </w:rPr>
        <w:t xml:space="preserve">See the Exhibit Index attached to this registration statement, which Exhibit Index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Schedules not listed above have been omitted because the information required to be set forth therein is not applicable or is shown in the financial statements or notes thereto. </w:t>
      </w:r>
    </w:p>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1"/>
        <w:gridCol w:w="144"/>
        <w:gridCol w:w="4882"/>
        <w:gridCol w:w="202"/>
        <w:gridCol w:w="761"/>
        <w:gridCol w:w="225"/>
        <w:gridCol w:w="691"/>
        <w:gridCol w:w="225"/>
        <w:gridCol w:w="988"/>
        <w:gridCol w:w="202"/>
        <w:gridCol w:w="934"/>
      </w:tblGrid>
      <w:tr>
        <w:trPr/>
        <w:tc>
          <w:tcPr>
            <w:tcW w:w="951"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951" w:type="dxa"/>
            <w:tcBorders/>
            <w:vAlign w:val="bottom"/>
          </w:tcPr>
          <w:p>
            <w:pPr>
              <w:pStyle w:val="TableContents"/>
              <w:bidi w:val="0"/>
              <w:spacing w:before="0" w:after="283"/>
              <w:jc w:val="center"/>
              <w:rPr/>
            </w:pPr>
            <w:r>
              <w:rPr/>
              <w:t>Exhibit</w:t>
            </w:r>
          </w:p>
        </w:tc>
        <w:tc>
          <w:tcPr>
            <w:tcW w:w="144" w:type="dxa"/>
            <w:tcBorders/>
            <w:vAlign w:val="bottom"/>
          </w:tcPr>
          <w:p>
            <w:pPr>
              <w:pStyle w:val="TableContents"/>
              <w:bidi w:val="0"/>
              <w:spacing w:before="0" w:after="283"/>
              <w:jc w:val="left"/>
              <w:rPr/>
            </w:pPr>
            <w:r>
              <w:rPr/>
              <w:t> </w:t>
            </w:r>
          </w:p>
        </w:tc>
        <w:tc>
          <w:tcPr>
            <w:tcW w:w="488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2890" w:type="dxa"/>
            <w:gridSpan w:val="5"/>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Incorporated by Reference</w:t>
            </w:r>
          </w:p>
        </w:tc>
        <w:tc>
          <w:tcPr>
            <w:tcW w:w="202" w:type="dxa"/>
            <w:vMerge w:val="restart"/>
            <w:tcBorders/>
            <w:vAlign w:val="bottom"/>
          </w:tcPr>
          <w:p>
            <w:pPr>
              <w:pStyle w:val="TableContents"/>
              <w:bidi w:val="0"/>
              <w:spacing w:before="0" w:after="283"/>
              <w:jc w:val="left"/>
              <w:rPr/>
            </w:pPr>
            <w:r>
              <w:rPr/>
              <w:t>  </w:t>
            </w:r>
          </w:p>
        </w:tc>
        <w:tc>
          <w:tcPr>
            <w:tcW w:w="934" w:type="dxa"/>
            <w:vMerge w:val="restart"/>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Filed</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Herewith</w:t>
            </w:r>
          </w:p>
        </w:tc>
      </w:tr>
      <w:tr>
        <w:trPr/>
        <w:tc>
          <w:tcPr>
            <w:tcW w:w="951"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Number</w:t>
            </w:r>
          </w:p>
        </w:tc>
        <w:tc>
          <w:tcPr>
            <w:tcW w:w="144" w:type="dxa"/>
            <w:tcBorders/>
            <w:vAlign w:val="bottom"/>
          </w:tcPr>
          <w:p>
            <w:pPr>
              <w:pStyle w:val="TableContents"/>
              <w:bidi w:val="0"/>
              <w:spacing w:before="0" w:after="283"/>
              <w:jc w:val="left"/>
              <w:rPr/>
            </w:pPr>
            <w:r>
              <w:rPr/>
              <w:t> </w:t>
            </w:r>
          </w:p>
        </w:tc>
        <w:tc>
          <w:tcPr>
            <w:tcW w:w="4882"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 Description</w:t>
            </w:r>
          </w:p>
        </w:tc>
        <w:tc>
          <w:tcPr>
            <w:tcW w:w="202" w:type="dxa"/>
            <w:tcBorders/>
            <w:vAlign w:val="bottom"/>
          </w:tcPr>
          <w:p>
            <w:pPr>
              <w:pStyle w:val="TableContents"/>
              <w:bidi w:val="0"/>
              <w:spacing w:before="0" w:after="283"/>
              <w:jc w:val="left"/>
              <w:rPr/>
            </w:pPr>
            <w:r>
              <w:rPr/>
              <w:t>  </w:t>
            </w:r>
          </w:p>
        </w:tc>
        <w:tc>
          <w:tcPr>
            <w:tcW w:w="761"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Form</w:t>
            </w:r>
          </w:p>
        </w:tc>
        <w:tc>
          <w:tcPr>
            <w:tcW w:w="225" w:type="dxa"/>
            <w:tcBorders/>
            <w:vAlign w:val="bottom"/>
          </w:tcPr>
          <w:p>
            <w:pPr>
              <w:pStyle w:val="TableContents"/>
              <w:bidi w:val="0"/>
              <w:spacing w:before="0" w:after="283"/>
              <w:jc w:val="left"/>
              <w:rPr/>
            </w:pPr>
            <w:r>
              <w:rPr/>
              <w:t>  </w:t>
            </w:r>
          </w:p>
        </w:tc>
        <w:tc>
          <w:tcPr>
            <w:tcW w:w="691"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Date</w:t>
            </w:r>
          </w:p>
        </w:tc>
        <w:tc>
          <w:tcPr>
            <w:tcW w:w="225" w:type="dxa"/>
            <w:tcBorders/>
            <w:vAlign w:val="bottom"/>
          </w:tcPr>
          <w:p>
            <w:pPr>
              <w:pStyle w:val="TableContents"/>
              <w:bidi w:val="0"/>
              <w:spacing w:before="0" w:after="283"/>
              <w:jc w:val="left"/>
              <w:rPr/>
            </w:pPr>
            <w:r>
              <w:rPr/>
              <w:t>  </w:t>
            </w:r>
          </w:p>
        </w:tc>
        <w:tc>
          <w:tcPr>
            <w:tcW w:w="988"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Number</w:t>
            </w:r>
          </w:p>
        </w:tc>
        <w:tc>
          <w:tcPr>
            <w:tcW w:w="202" w:type="dxa"/>
            <w:vMerge w:val="continue"/>
            <w:tcBorders/>
            <w:vAlign w:val="bottom"/>
          </w:tcPr>
          <w:p>
            <w:pPr>
              <w:pStyle w:val="Normal"/>
              <w:bidi w:val="0"/>
              <w:jc w:val="left"/>
              <w:rPr/>
            </w:pPr>
            <w:r>
              <w:rPr/>
            </w:r>
          </w:p>
        </w:tc>
        <w:tc>
          <w:tcPr>
            <w:tcW w:w="934" w:type="dxa"/>
            <w:vMerge w:val="continue"/>
            <w:tcBorders/>
            <w:vAlign w:val="bottom"/>
          </w:tcPr>
          <w:p>
            <w:pPr>
              <w:pStyle w:val="Normal"/>
              <w:bidi w:val="0"/>
              <w:jc w:val="left"/>
              <w:rPr/>
            </w:pPr>
            <w:r>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before="0" w:after="283"/>
              <w:jc w:val="left"/>
              <w:rPr>
                <w:sz w:val="4"/>
                <w:szCs w:val="4"/>
              </w:rPr>
            </w:pPr>
            <w:r>
              <w:rPr>
                <w:sz w:val="4"/>
                <w:szCs w:val="4"/>
              </w:rPr>
            </w:r>
          </w:p>
        </w:tc>
        <w:tc>
          <w:tcPr>
            <w:tcW w:w="1213" w:type="dxa"/>
            <w:gridSpan w:val="2"/>
            <w:tcBorders/>
            <w:vAlign w:val="center"/>
          </w:tcPr>
          <w:p>
            <w:pPr>
              <w:pStyle w:val="TableContents"/>
              <w:bidi w:val="0"/>
              <w:spacing w:before="0" w:after="283"/>
              <w:jc w:val="left"/>
              <w:rPr>
                <w:sz w:val="4"/>
                <w:szCs w:val="4"/>
              </w:rPr>
            </w:pPr>
            <w:r>
              <w:rPr>
                <w:sz w:val="4"/>
                <w:szCs w:val="4"/>
              </w:rPr>
            </w:r>
          </w:p>
        </w:tc>
        <w:tc>
          <w:tcPr>
            <w:tcW w:w="1136" w:type="dxa"/>
            <w:gridSpan w:val="2"/>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1.1*</w:t>
            </w:r>
          </w:p>
        </w:tc>
        <w:tc>
          <w:tcPr>
            <w:tcW w:w="144"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Form of Underwriting Agreement</w:t>
            </w:r>
          </w:p>
        </w:tc>
        <w:tc>
          <w:tcPr>
            <w:tcW w:w="202"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before="0" w:after="283"/>
              <w:jc w:val="left"/>
              <w:rPr>
                <w:sz w:val="4"/>
                <w:szCs w:val="4"/>
              </w:rPr>
            </w:pPr>
            <w:r>
              <w:rPr>
                <w:sz w:val="4"/>
                <w:szCs w:val="4"/>
              </w:rPr>
            </w:r>
          </w:p>
        </w:tc>
        <w:tc>
          <w:tcPr>
            <w:tcW w:w="1213" w:type="dxa"/>
            <w:gridSpan w:val="2"/>
            <w:tcBorders/>
            <w:vAlign w:val="center"/>
          </w:tcPr>
          <w:p>
            <w:pPr>
              <w:pStyle w:val="TableContents"/>
              <w:bidi w:val="0"/>
              <w:spacing w:before="0" w:after="283"/>
              <w:jc w:val="left"/>
              <w:rPr>
                <w:sz w:val="4"/>
                <w:szCs w:val="4"/>
              </w:rPr>
            </w:pPr>
            <w:r>
              <w:rPr>
                <w:sz w:val="4"/>
                <w:szCs w:val="4"/>
              </w:rPr>
            </w:r>
          </w:p>
        </w:tc>
        <w:tc>
          <w:tcPr>
            <w:tcW w:w="1136" w:type="dxa"/>
            <w:gridSpan w:val="2"/>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2.1*</w:t>
            </w:r>
          </w:p>
        </w:tc>
        <w:tc>
          <w:tcPr>
            <w:tcW w:w="144"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Agreement and Plan of Merger, dated June 1, 2020, by and among the Registrant, Berries Merger Sub, Inc, BlackThorn Therapeutics, Inc. and Fortis Advisors LLC</w:t>
            </w:r>
          </w:p>
        </w:tc>
        <w:tc>
          <w:tcPr>
            <w:tcW w:w="202"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before="0" w:after="283"/>
              <w:jc w:val="left"/>
              <w:rPr>
                <w:sz w:val="4"/>
                <w:szCs w:val="4"/>
              </w:rPr>
            </w:pPr>
            <w:r>
              <w:rPr>
                <w:sz w:val="4"/>
                <w:szCs w:val="4"/>
              </w:rPr>
            </w:r>
          </w:p>
        </w:tc>
        <w:tc>
          <w:tcPr>
            <w:tcW w:w="1213" w:type="dxa"/>
            <w:gridSpan w:val="2"/>
            <w:tcBorders/>
            <w:vAlign w:val="center"/>
          </w:tcPr>
          <w:p>
            <w:pPr>
              <w:pStyle w:val="TableContents"/>
              <w:bidi w:val="0"/>
              <w:spacing w:before="0" w:after="283"/>
              <w:jc w:val="left"/>
              <w:rPr>
                <w:sz w:val="4"/>
                <w:szCs w:val="4"/>
              </w:rPr>
            </w:pPr>
            <w:r>
              <w:rPr>
                <w:sz w:val="4"/>
                <w:szCs w:val="4"/>
              </w:rPr>
            </w:r>
          </w:p>
        </w:tc>
        <w:tc>
          <w:tcPr>
            <w:tcW w:w="1136" w:type="dxa"/>
            <w:gridSpan w:val="2"/>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2.2*</w:t>
            </w:r>
          </w:p>
        </w:tc>
        <w:tc>
          <w:tcPr>
            <w:tcW w:w="144"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Agreement and Plan of Merger, dated November 24, 2020, by and among the Registrant, Alairion Merger Sub I, Inc, Alairion Merger Sub II, LLC, Alairion, Inc. and John F. Lee</w:t>
            </w:r>
          </w:p>
        </w:tc>
        <w:tc>
          <w:tcPr>
            <w:tcW w:w="202"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before="0" w:after="283"/>
              <w:jc w:val="left"/>
              <w:rPr>
                <w:sz w:val="4"/>
                <w:szCs w:val="4"/>
              </w:rPr>
            </w:pPr>
            <w:r>
              <w:rPr>
                <w:sz w:val="4"/>
                <w:szCs w:val="4"/>
              </w:rPr>
            </w:r>
          </w:p>
        </w:tc>
        <w:tc>
          <w:tcPr>
            <w:tcW w:w="1213" w:type="dxa"/>
            <w:gridSpan w:val="2"/>
            <w:tcBorders/>
            <w:vAlign w:val="center"/>
          </w:tcPr>
          <w:p>
            <w:pPr>
              <w:pStyle w:val="TableContents"/>
              <w:bidi w:val="0"/>
              <w:spacing w:before="0" w:after="283"/>
              <w:jc w:val="left"/>
              <w:rPr>
                <w:sz w:val="4"/>
                <w:szCs w:val="4"/>
              </w:rPr>
            </w:pPr>
            <w:r>
              <w:rPr>
                <w:sz w:val="4"/>
                <w:szCs w:val="4"/>
              </w:rPr>
            </w:r>
          </w:p>
        </w:tc>
        <w:tc>
          <w:tcPr>
            <w:tcW w:w="1136" w:type="dxa"/>
            <w:gridSpan w:val="2"/>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3.1*</w:t>
            </w:r>
          </w:p>
        </w:tc>
        <w:tc>
          <w:tcPr>
            <w:tcW w:w="144"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Amended and Restated Certificate of Incorporation, as amended, currently in effect</w:t>
            </w:r>
          </w:p>
        </w:tc>
        <w:tc>
          <w:tcPr>
            <w:tcW w:w="202"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before="0" w:after="283"/>
              <w:jc w:val="left"/>
              <w:rPr>
                <w:sz w:val="4"/>
                <w:szCs w:val="4"/>
              </w:rPr>
            </w:pPr>
            <w:r>
              <w:rPr>
                <w:sz w:val="4"/>
                <w:szCs w:val="4"/>
              </w:rPr>
            </w:r>
          </w:p>
        </w:tc>
        <w:tc>
          <w:tcPr>
            <w:tcW w:w="1213" w:type="dxa"/>
            <w:gridSpan w:val="2"/>
            <w:tcBorders/>
            <w:vAlign w:val="center"/>
          </w:tcPr>
          <w:p>
            <w:pPr>
              <w:pStyle w:val="TableContents"/>
              <w:bidi w:val="0"/>
              <w:spacing w:before="0" w:after="283"/>
              <w:jc w:val="left"/>
              <w:rPr>
                <w:sz w:val="4"/>
                <w:szCs w:val="4"/>
              </w:rPr>
            </w:pPr>
            <w:r>
              <w:rPr>
                <w:sz w:val="4"/>
                <w:szCs w:val="4"/>
              </w:rPr>
            </w:r>
          </w:p>
        </w:tc>
        <w:tc>
          <w:tcPr>
            <w:tcW w:w="1136" w:type="dxa"/>
            <w:gridSpan w:val="2"/>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3.2*</w:t>
            </w:r>
          </w:p>
        </w:tc>
        <w:tc>
          <w:tcPr>
            <w:tcW w:w="144"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Form of Amended and Restated Certificate of Incorporation, to be in effect immediately prior to the completion of this offering</w:t>
            </w:r>
          </w:p>
        </w:tc>
        <w:tc>
          <w:tcPr>
            <w:tcW w:w="202"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before="0" w:after="283"/>
              <w:jc w:val="left"/>
              <w:rPr>
                <w:sz w:val="4"/>
                <w:szCs w:val="4"/>
              </w:rPr>
            </w:pPr>
            <w:r>
              <w:rPr>
                <w:sz w:val="4"/>
                <w:szCs w:val="4"/>
              </w:rPr>
            </w:r>
          </w:p>
        </w:tc>
        <w:tc>
          <w:tcPr>
            <w:tcW w:w="1213" w:type="dxa"/>
            <w:gridSpan w:val="2"/>
            <w:tcBorders/>
            <w:vAlign w:val="center"/>
          </w:tcPr>
          <w:p>
            <w:pPr>
              <w:pStyle w:val="TableContents"/>
              <w:bidi w:val="0"/>
              <w:spacing w:before="0" w:after="283"/>
              <w:jc w:val="left"/>
              <w:rPr>
                <w:sz w:val="4"/>
                <w:szCs w:val="4"/>
              </w:rPr>
            </w:pPr>
            <w:r>
              <w:rPr>
                <w:sz w:val="4"/>
                <w:szCs w:val="4"/>
              </w:rPr>
            </w:r>
          </w:p>
        </w:tc>
        <w:tc>
          <w:tcPr>
            <w:tcW w:w="1136" w:type="dxa"/>
            <w:gridSpan w:val="2"/>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3.3*</w:t>
            </w:r>
          </w:p>
        </w:tc>
        <w:tc>
          <w:tcPr>
            <w:tcW w:w="144"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Bylaws, currently in effect</w:t>
            </w:r>
          </w:p>
        </w:tc>
        <w:tc>
          <w:tcPr>
            <w:tcW w:w="202"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before="0" w:after="283"/>
              <w:jc w:val="left"/>
              <w:rPr>
                <w:sz w:val="4"/>
                <w:szCs w:val="4"/>
              </w:rPr>
            </w:pPr>
            <w:r>
              <w:rPr>
                <w:sz w:val="4"/>
                <w:szCs w:val="4"/>
              </w:rPr>
            </w:r>
          </w:p>
        </w:tc>
        <w:tc>
          <w:tcPr>
            <w:tcW w:w="1213" w:type="dxa"/>
            <w:gridSpan w:val="2"/>
            <w:tcBorders/>
            <w:vAlign w:val="center"/>
          </w:tcPr>
          <w:p>
            <w:pPr>
              <w:pStyle w:val="TableContents"/>
              <w:bidi w:val="0"/>
              <w:spacing w:before="0" w:after="283"/>
              <w:jc w:val="left"/>
              <w:rPr>
                <w:sz w:val="4"/>
                <w:szCs w:val="4"/>
              </w:rPr>
            </w:pPr>
            <w:r>
              <w:rPr>
                <w:sz w:val="4"/>
                <w:szCs w:val="4"/>
              </w:rPr>
            </w:r>
          </w:p>
        </w:tc>
        <w:tc>
          <w:tcPr>
            <w:tcW w:w="1136" w:type="dxa"/>
            <w:gridSpan w:val="2"/>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3.4*</w:t>
            </w:r>
          </w:p>
        </w:tc>
        <w:tc>
          <w:tcPr>
            <w:tcW w:w="144"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Form of Amended and Restated Bylaws, to be in effect immediately prior to the completion of this offering</w:t>
            </w:r>
          </w:p>
        </w:tc>
        <w:tc>
          <w:tcPr>
            <w:tcW w:w="202"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before="0" w:after="283"/>
              <w:jc w:val="left"/>
              <w:rPr>
                <w:sz w:val="4"/>
                <w:szCs w:val="4"/>
              </w:rPr>
            </w:pPr>
            <w:r>
              <w:rPr>
                <w:sz w:val="4"/>
                <w:szCs w:val="4"/>
              </w:rPr>
            </w:r>
          </w:p>
        </w:tc>
        <w:tc>
          <w:tcPr>
            <w:tcW w:w="1213" w:type="dxa"/>
            <w:gridSpan w:val="2"/>
            <w:tcBorders/>
            <w:vAlign w:val="center"/>
          </w:tcPr>
          <w:p>
            <w:pPr>
              <w:pStyle w:val="TableContents"/>
              <w:bidi w:val="0"/>
              <w:spacing w:before="0" w:after="283"/>
              <w:jc w:val="left"/>
              <w:rPr>
                <w:sz w:val="4"/>
                <w:szCs w:val="4"/>
              </w:rPr>
            </w:pPr>
            <w:r>
              <w:rPr>
                <w:sz w:val="4"/>
                <w:szCs w:val="4"/>
              </w:rPr>
            </w:r>
          </w:p>
        </w:tc>
        <w:tc>
          <w:tcPr>
            <w:tcW w:w="1136" w:type="dxa"/>
            <w:gridSpan w:val="2"/>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4.1*</w:t>
            </w:r>
          </w:p>
        </w:tc>
        <w:tc>
          <w:tcPr>
            <w:tcW w:w="144"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Reference is made to Exhibits 3.1 through 3.4</w:t>
            </w:r>
          </w:p>
        </w:tc>
        <w:tc>
          <w:tcPr>
            <w:tcW w:w="202"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before="0" w:after="283"/>
              <w:jc w:val="left"/>
              <w:rPr>
                <w:sz w:val="4"/>
                <w:szCs w:val="4"/>
              </w:rPr>
            </w:pPr>
            <w:r>
              <w:rPr>
                <w:sz w:val="4"/>
                <w:szCs w:val="4"/>
              </w:rPr>
            </w:r>
          </w:p>
        </w:tc>
        <w:tc>
          <w:tcPr>
            <w:tcW w:w="1213" w:type="dxa"/>
            <w:gridSpan w:val="2"/>
            <w:tcBorders/>
            <w:vAlign w:val="center"/>
          </w:tcPr>
          <w:p>
            <w:pPr>
              <w:pStyle w:val="TableContents"/>
              <w:bidi w:val="0"/>
              <w:spacing w:before="0" w:after="283"/>
              <w:jc w:val="left"/>
              <w:rPr>
                <w:sz w:val="4"/>
                <w:szCs w:val="4"/>
              </w:rPr>
            </w:pPr>
            <w:r>
              <w:rPr>
                <w:sz w:val="4"/>
                <w:szCs w:val="4"/>
              </w:rPr>
            </w:r>
          </w:p>
        </w:tc>
        <w:tc>
          <w:tcPr>
            <w:tcW w:w="1136" w:type="dxa"/>
            <w:gridSpan w:val="2"/>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4.2*</w:t>
            </w:r>
          </w:p>
        </w:tc>
        <w:tc>
          <w:tcPr>
            <w:tcW w:w="144"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Form of Common Stock Certificate</w:t>
            </w:r>
          </w:p>
        </w:tc>
        <w:tc>
          <w:tcPr>
            <w:tcW w:w="202"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before="0" w:after="283"/>
              <w:jc w:val="left"/>
              <w:rPr>
                <w:sz w:val="4"/>
                <w:szCs w:val="4"/>
              </w:rPr>
            </w:pPr>
            <w:r>
              <w:rPr>
                <w:sz w:val="4"/>
                <w:szCs w:val="4"/>
              </w:rPr>
            </w:r>
          </w:p>
        </w:tc>
        <w:tc>
          <w:tcPr>
            <w:tcW w:w="1213" w:type="dxa"/>
            <w:gridSpan w:val="2"/>
            <w:tcBorders/>
            <w:vAlign w:val="center"/>
          </w:tcPr>
          <w:p>
            <w:pPr>
              <w:pStyle w:val="TableContents"/>
              <w:bidi w:val="0"/>
              <w:spacing w:before="0" w:after="283"/>
              <w:jc w:val="left"/>
              <w:rPr>
                <w:sz w:val="4"/>
                <w:szCs w:val="4"/>
              </w:rPr>
            </w:pPr>
            <w:r>
              <w:rPr>
                <w:sz w:val="4"/>
                <w:szCs w:val="4"/>
              </w:rPr>
            </w:r>
          </w:p>
        </w:tc>
        <w:tc>
          <w:tcPr>
            <w:tcW w:w="1136" w:type="dxa"/>
            <w:gridSpan w:val="2"/>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5.1*</w:t>
            </w:r>
          </w:p>
        </w:tc>
        <w:tc>
          <w:tcPr>
            <w:tcW w:w="144"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Opinion of Latham &amp; Watkins LLP</w:t>
            </w:r>
          </w:p>
        </w:tc>
        <w:tc>
          <w:tcPr>
            <w:tcW w:w="202"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before="0" w:after="283"/>
              <w:jc w:val="left"/>
              <w:rPr>
                <w:sz w:val="4"/>
                <w:szCs w:val="4"/>
              </w:rPr>
            </w:pPr>
            <w:r>
              <w:rPr>
                <w:sz w:val="4"/>
                <w:szCs w:val="4"/>
              </w:rPr>
            </w:r>
          </w:p>
        </w:tc>
        <w:tc>
          <w:tcPr>
            <w:tcW w:w="1213" w:type="dxa"/>
            <w:gridSpan w:val="2"/>
            <w:tcBorders/>
            <w:vAlign w:val="center"/>
          </w:tcPr>
          <w:p>
            <w:pPr>
              <w:pStyle w:val="TableContents"/>
              <w:bidi w:val="0"/>
              <w:spacing w:before="0" w:after="283"/>
              <w:jc w:val="left"/>
              <w:rPr>
                <w:sz w:val="4"/>
                <w:szCs w:val="4"/>
              </w:rPr>
            </w:pPr>
            <w:r>
              <w:rPr>
                <w:sz w:val="4"/>
                <w:szCs w:val="4"/>
              </w:rPr>
            </w:r>
          </w:p>
        </w:tc>
        <w:tc>
          <w:tcPr>
            <w:tcW w:w="1136" w:type="dxa"/>
            <w:gridSpan w:val="2"/>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10.1*</w:t>
            </w:r>
          </w:p>
        </w:tc>
        <w:tc>
          <w:tcPr>
            <w:tcW w:w="144"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Investors Rights Agreement, dated September 8, 2020, by and among the Registrant and the investors listed therein</w:t>
            </w:r>
          </w:p>
        </w:tc>
        <w:tc>
          <w:tcPr>
            <w:tcW w:w="202"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before="0" w:after="283"/>
              <w:jc w:val="left"/>
              <w:rPr>
                <w:sz w:val="4"/>
                <w:szCs w:val="4"/>
              </w:rPr>
            </w:pPr>
            <w:r>
              <w:rPr>
                <w:sz w:val="4"/>
                <w:szCs w:val="4"/>
              </w:rPr>
            </w:r>
          </w:p>
        </w:tc>
        <w:tc>
          <w:tcPr>
            <w:tcW w:w="1213" w:type="dxa"/>
            <w:gridSpan w:val="2"/>
            <w:tcBorders/>
            <w:vAlign w:val="center"/>
          </w:tcPr>
          <w:p>
            <w:pPr>
              <w:pStyle w:val="TableContents"/>
              <w:bidi w:val="0"/>
              <w:spacing w:before="0" w:after="283"/>
              <w:jc w:val="left"/>
              <w:rPr>
                <w:sz w:val="4"/>
                <w:szCs w:val="4"/>
              </w:rPr>
            </w:pPr>
            <w:r>
              <w:rPr>
                <w:sz w:val="4"/>
                <w:szCs w:val="4"/>
              </w:rPr>
            </w:r>
          </w:p>
        </w:tc>
        <w:tc>
          <w:tcPr>
            <w:tcW w:w="1136" w:type="dxa"/>
            <w:gridSpan w:val="2"/>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10.2**</w:t>
            </w:r>
          </w:p>
        </w:tc>
        <w:tc>
          <w:tcPr>
            <w:tcW w:w="144"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Research Collaboration and License Agreement, dated September 10, 2021, by and between the Registrant and Amgen Inc.</w:t>
            </w:r>
          </w:p>
        </w:tc>
        <w:tc>
          <w:tcPr>
            <w:tcW w:w="202"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before="0" w:after="283"/>
              <w:jc w:val="left"/>
              <w:rPr>
                <w:sz w:val="4"/>
                <w:szCs w:val="4"/>
              </w:rPr>
            </w:pPr>
            <w:r>
              <w:rPr>
                <w:sz w:val="4"/>
                <w:szCs w:val="4"/>
              </w:rPr>
            </w:r>
          </w:p>
        </w:tc>
        <w:tc>
          <w:tcPr>
            <w:tcW w:w="1213" w:type="dxa"/>
            <w:gridSpan w:val="2"/>
            <w:tcBorders/>
            <w:vAlign w:val="center"/>
          </w:tcPr>
          <w:p>
            <w:pPr>
              <w:pStyle w:val="TableContents"/>
              <w:bidi w:val="0"/>
              <w:spacing w:before="0" w:after="283"/>
              <w:jc w:val="left"/>
              <w:rPr>
                <w:sz w:val="4"/>
                <w:szCs w:val="4"/>
              </w:rPr>
            </w:pPr>
            <w:r>
              <w:rPr>
                <w:sz w:val="4"/>
                <w:szCs w:val="4"/>
              </w:rPr>
            </w:r>
          </w:p>
        </w:tc>
        <w:tc>
          <w:tcPr>
            <w:tcW w:w="1136" w:type="dxa"/>
            <w:gridSpan w:val="2"/>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10.3**</w:t>
            </w:r>
          </w:p>
        </w:tc>
        <w:tc>
          <w:tcPr>
            <w:tcW w:w="144"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Exclusive License Agreement for CK1</w:t>
            </w:r>
            <w:r>
              <w:rPr>
                <w:rFonts w:ascii="SYMBOL" w:hAnsi="SYMBOL"/>
              </w:rPr>
              <w:t>d</w:t>
            </w:r>
            <w:r>
              <w:rPr/>
              <w:t>, dated September 10, 2021, by and between the Registrant and Amgen Inc.</w:t>
            </w:r>
          </w:p>
        </w:tc>
        <w:tc>
          <w:tcPr>
            <w:tcW w:w="202"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before="0" w:after="283"/>
              <w:jc w:val="left"/>
              <w:rPr>
                <w:sz w:val="4"/>
                <w:szCs w:val="4"/>
              </w:rPr>
            </w:pPr>
            <w:r>
              <w:rPr>
                <w:sz w:val="4"/>
                <w:szCs w:val="4"/>
              </w:rPr>
            </w:r>
          </w:p>
        </w:tc>
        <w:tc>
          <w:tcPr>
            <w:tcW w:w="1213" w:type="dxa"/>
            <w:gridSpan w:val="2"/>
            <w:tcBorders/>
            <w:vAlign w:val="center"/>
          </w:tcPr>
          <w:p>
            <w:pPr>
              <w:pStyle w:val="TableContents"/>
              <w:bidi w:val="0"/>
              <w:spacing w:before="0" w:after="283"/>
              <w:jc w:val="left"/>
              <w:rPr>
                <w:sz w:val="4"/>
                <w:szCs w:val="4"/>
              </w:rPr>
            </w:pPr>
            <w:r>
              <w:rPr>
                <w:sz w:val="4"/>
                <w:szCs w:val="4"/>
              </w:rPr>
            </w:r>
          </w:p>
        </w:tc>
        <w:tc>
          <w:tcPr>
            <w:tcW w:w="1136" w:type="dxa"/>
            <w:gridSpan w:val="2"/>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10.4**</w:t>
            </w:r>
          </w:p>
        </w:tc>
        <w:tc>
          <w:tcPr>
            <w:tcW w:w="144"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Exclusive License Agreement for GCASE, dated September 10, 2021, by and between the Registrant and Amgen Inc.</w:t>
            </w:r>
          </w:p>
        </w:tc>
        <w:tc>
          <w:tcPr>
            <w:tcW w:w="202"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before="0" w:after="283"/>
              <w:jc w:val="left"/>
              <w:rPr>
                <w:sz w:val="4"/>
                <w:szCs w:val="4"/>
              </w:rPr>
            </w:pPr>
            <w:r>
              <w:rPr>
                <w:sz w:val="4"/>
                <w:szCs w:val="4"/>
              </w:rPr>
            </w:r>
          </w:p>
        </w:tc>
        <w:tc>
          <w:tcPr>
            <w:tcW w:w="1213" w:type="dxa"/>
            <w:gridSpan w:val="2"/>
            <w:tcBorders/>
            <w:vAlign w:val="center"/>
          </w:tcPr>
          <w:p>
            <w:pPr>
              <w:pStyle w:val="TableContents"/>
              <w:bidi w:val="0"/>
              <w:spacing w:before="0" w:after="283"/>
              <w:jc w:val="left"/>
              <w:rPr>
                <w:sz w:val="4"/>
                <w:szCs w:val="4"/>
              </w:rPr>
            </w:pPr>
            <w:r>
              <w:rPr>
                <w:sz w:val="4"/>
                <w:szCs w:val="4"/>
              </w:rPr>
            </w:r>
          </w:p>
        </w:tc>
        <w:tc>
          <w:tcPr>
            <w:tcW w:w="1136" w:type="dxa"/>
            <w:gridSpan w:val="2"/>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10.5(a)**</w:t>
            </w:r>
          </w:p>
        </w:tc>
        <w:tc>
          <w:tcPr>
            <w:tcW w:w="144"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License Agreement, dated November 23, 2015, by and between BlackThorn Therapeutics, Inc. and Scripps Research Institute</w:t>
            </w:r>
          </w:p>
        </w:tc>
        <w:tc>
          <w:tcPr>
            <w:tcW w:w="202"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before="0" w:after="283"/>
              <w:jc w:val="left"/>
              <w:rPr>
                <w:sz w:val="4"/>
                <w:szCs w:val="4"/>
              </w:rPr>
            </w:pPr>
            <w:r>
              <w:rPr>
                <w:sz w:val="4"/>
                <w:szCs w:val="4"/>
              </w:rPr>
            </w:r>
          </w:p>
        </w:tc>
        <w:tc>
          <w:tcPr>
            <w:tcW w:w="1213" w:type="dxa"/>
            <w:gridSpan w:val="2"/>
            <w:tcBorders/>
            <w:vAlign w:val="center"/>
          </w:tcPr>
          <w:p>
            <w:pPr>
              <w:pStyle w:val="TableContents"/>
              <w:bidi w:val="0"/>
              <w:spacing w:before="0" w:after="283"/>
              <w:jc w:val="left"/>
              <w:rPr>
                <w:sz w:val="4"/>
                <w:szCs w:val="4"/>
              </w:rPr>
            </w:pPr>
            <w:r>
              <w:rPr>
                <w:sz w:val="4"/>
                <w:szCs w:val="4"/>
              </w:rPr>
            </w:r>
          </w:p>
        </w:tc>
        <w:tc>
          <w:tcPr>
            <w:tcW w:w="1136" w:type="dxa"/>
            <w:gridSpan w:val="2"/>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10.5(b)**</w:t>
            </w:r>
          </w:p>
        </w:tc>
        <w:tc>
          <w:tcPr>
            <w:tcW w:w="144"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First Amendment to License Agreement, dated November 13, 2017, by and between BlackThorn Therapeutics, Inc. and Scripps Research Institute</w:t>
            </w:r>
          </w:p>
        </w:tc>
        <w:tc>
          <w:tcPr>
            <w:tcW w:w="202"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before="0" w:after="283"/>
              <w:jc w:val="left"/>
              <w:rPr>
                <w:sz w:val="4"/>
                <w:szCs w:val="4"/>
              </w:rPr>
            </w:pPr>
            <w:r>
              <w:rPr>
                <w:sz w:val="4"/>
                <w:szCs w:val="4"/>
              </w:rPr>
            </w:r>
          </w:p>
        </w:tc>
        <w:tc>
          <w:tcPr>
            <w:tcW w:w="1213" w:type="dxa"/>
            <w:gridSpan w:val="2"/>
            <w:tcBorders/>
            <w:vAlign w:val="center"/>
          </w:tcPr>
          <w:p>
            <w:pPr>
              <w:pStyle w:val="TableContents"/>
              <w:bidi w:val="0"/>
              <w:spacing w:before="0" w:after="283"/>
              <w:jc w:val="left"/>
              <w:rPr>
                <w:sz w:val="4"/>
                <w:szCs w:val="4"/>
              </w:rPr>
            </w:pPr>
            <w:r>
              <w:rPr>
                <w:sz w:val="4"/>
                <w:szCs w:val="4"/>
              </w:rPr>
            </w:r>
          </w:p>
        </w:tc>
        <w:tc>
          <w:tcPr>
            <w:tcW w:w="1136" w:type="dxa"/>
            <w:gridSpan w:val="2"/>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10.5(c)**</w:t>
            </w:r>
          </w:p>
        </w:tc>
        <w:tc>
          <w:tcPr>
            <w:tcW w:w="144"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Second Amendment to License Agreement, dated April 9, 2019, by and between BlackThorn Therapeutics, Inc. and Scripps Research Institute</w:t>
            </w:r>
          </w:p>
        </w:tc>
        <w:tc>
          <w:tcPr>
            <w:tcW w:w="202"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before="0" w:after="283"/>
              <w:jc w:val="left"/>
              <w:rPr>
                <w:sz w:val="4"/>
                <w:szCs w:val="4"/>
              </w:rPr>
            </w:pPr>
            <w:r>
              <w:rPr>
                <w:sz w:val="4"/>
                <w:szCs w:val="4"/>
              </w:rPr>
            </w:r>
          </w:p>
        </w:tc>
        <w:tc>
          <w:tcPr>
            <w:tcW w:w="1213" w:type="dxa"/>
            <w:gridSpan w:val="2"/>
            <w:tcBorders/>
            <w:vAlign w:val="center"/>
          </w:tcPr>
          <w:p>
            <w:pPr>
              <w:pStyle w:val="TableContents"/>
              <w:bidi w:val="0"/>
              <w:spacing w:before="0" w:after="283"/>
              <w:jc w:val="left"/>
              <w:rPr>
                <w:sz w:val="4"/>
                <w:szCs w:val="4"/>
              </w:rPr>
            </w:pPr>
            <w:r>
              <w:rPr>
                <w:sz w:val="4"/>
                <w:szCs w:val="4"/>
              </w:rPr>
            </w:r>
          </w:p>
        </w:tc>
        <w:tc>
          <w:tcPr>
            <w:tcW w:w="1136" w:type="dxa"/>
            <w:gridSpan w:val="2"/>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10.6(a)**</w:t>
            </w:r>
          </w:p>
        </w:tc>
        <w:tc>
          <w:tcPr>
            <w:tcW w:w="144"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License Agreement, dated June 15, 2020, by and between Syllable Life Sciences, Inc. and the President and Fellows of Harvard College</w:t>
            </w:r>
          </w:p>
        </w:tc>
        <w:tc>
          <w:tcPr>
            <w:tcW w:w="202"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before="0" w:after="283"/>
              <w:jc w:val="left"/>
              <w:rPr>
                <w:sz w:val="4"/>
                <w:szCs w:val="4"/>
              </w:rPr>
            </w:pPr>
            <w:r>
              <w:rPr>
                <w:sz w:val="4"/>
                <w:szCs w:val="4"/>
              </w:rPr>
            </w:r>
          </w:p>
        </w:tc>
        <w:tc>
          <w:tcPr>
            <w:tcW w:w="1213" w:type="dxa"/>
            <w:gridSpan w:val="2"/>
            <w:tcBorders/>
            <w:vAlign w:val="center"/>
          </w:tcPr>
          <w:p>
            <w:pPr>
              <w:pStyle w:val="TableContents"/>
              <w:bidi w:val="0"/>
              <w:spacing w:before="0" w:after="283"/>
              <w:jc w:val="left"/>
              <w:rPr>
                <w:sz w:val="4"/>
                <w:szCs w:val="4"/>
              </w:rPr>
            </w:pPr>
            <w:r>
              <w:rPr>
                <w:sz w:val="4"/>
                <w:szCs w:val="4"/>
              </w:rPr>
            </w:r>
          </w:p>
        </w:tc>
        <w:tc>
          <w:tcPr>
            <w:tcW w:w="1136" w:type="dxa"/>
            <w:gridSpan w:val="2"/>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10.6(b)**</w:t>
            </w:r>
          </w:p>
        </w:tc>
        <w:tc>
          <w:tcPr>
            <w:tcW w:w="144"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left"/>
              <w:rPr/>
            </w:pPr>
            <w:r>
              <w:rPr/>
              <w:t>Amendment No. 1 to License Agreement, dated March 31, 2021, by and between Syllable Life Sciences, Inc. and the President and Fellows of Harvard College</w:t>
            </w:r>
          </w:p>
        </w:tc>
        <w:tc>
          <w:tcPr>
            <w:tcW w:w="202"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71"/>
        <w:gridCol w:w="130"/>
        <w:gridCol w:w="4447"/>
        <w:gridCol w:w="188"/>
        <w:gridCol w:w="950"/>
        <w:gridCol w:w="188"/>
        <w:gridCol w:w="950"/>
        <w:gridCol w:w="188"/>
        <w:gridCol w:w="950"/>
        <w:gridCol w:w="188"/>
        <w:gridCol w:w="955"/>
      </w:tblGrid>
      <w:tr>
        <w:trPr/>
        <w:tc>
          <w:tcPr>
            <w:tcW w:w="1071"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447"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1071" w:type="dxa"/>
            <w:tcBorders/>
            <w:vAlign w:val="bottom"/>
          </w:tcPr>
          <w:p>
            <w:pPr>
              <w:pStyle w:val="TableContents"/>
              <w:bidi w:val="0"/>
              <w:spacing w:before="0" w:after="283"/>
              <w:jc w:val="center"/>
              <w:rPr/>
            </w:pPr>
            <w:r>
              <w:rPr/>
              <w:t>Exhibit</w:t>
            </w:r>
          </w:p>
        </w:tc>
        <w:tc>
          <w:tcPr>
            <w:tcW w:w="130" w:type="dxa"/>
            <w:tcBorders/>
            <w:vAlign w:val="bottom"/>
          </w:tcPr>
          <w:p>
            <w:pPr>
              <w:pStyle w:val="TableContents"/>
              <w:bidi w:val="0"/>
              <w:spacing w:before="0" w:after="283"/>
              <w:jc w:val="left"/>
              <w:rPr/>
            </w:pPr>
            <w:r>
              <w:rPr/>
              <w:t> </w:t>
            </w:r>
          </w:p>
        </w:tc>
        <w:tc>
          <w:tcPr>
            <w:tcW w:w="444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226" w:type="dxa"/>
            <w:gridSpan w:val="5"/>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Incorporated by Reference</w:t>
            </w:r>
          </w:p>
        </w:tc>
        <w:tc>
          <w:tcPr>
            <w:tcW w:w="188" w:type="dxa"/>
            <w:vMerge w:val="restart"/>
            <w:tcBorders/>
            <w:vAlign w:val="bottom"/>
          </w:tcPr>
          <w:p>
            <w:pPr>
              <w:pStyle w:val="TableContents"/>
              <w:bidi w:val="0"/>
              <w:spacing w:before="0" w:after="283"/>
              <w:jc w:val="left"/>
              <w:rPr/>
            </w:pPr>
            <w:r>
              <w:rPr/>
              <w:t>  </w:t>
            </w:r>
          </w:p>
        </w:tc>
        <w:tc>
          <w:tcPr>
            <w:tcW w:w="955" w:type="dxa"/>
            <w:vMerge w:val="restart"/>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Filed</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Herewith</w:t>
            </w:r>
          </w:p>
        </w:tc>
      </w:tr>
      <w:tr>
        <w:trPr/>
        <w:tc>
          <w:tcPr>
            <w:tcW w:w="1071"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Number</w:t>
            </w:r>
          </w:p>
        </w:tc>
        <w:tc>
          <w:tcPr>
            <w:tcW w:w="130" w:type="dxa"/>
            <w:tcBorders/>
            <w:vAlign w:val="bottom"/>
          </w:tcPr>
          <w:p>
            <w:pPr>
              <w:pStyle w:val="TableContents"/>
              <w:bidi w:val="0"/>
              <w:spacing w:before="0" w:after="283"/>
              <w:jc w:val="left"/>
              <w:rPr/>
            </w:pPr>
            <w:r>
              <w:rPr/>
              <w:t> </w:t>
            </w:r>
          </w:p>
        </w:tc>
        <w:tc>
          <w:tcPr>
            <w:tcW w:w="4447"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 Description</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Form</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Date</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Number</w:t>
            </w:r>
          </w:p>
        </w:tc>
        <w:tc>
          <w:tcPr>
            <w:tcW w:w="188" w:type="dxa"/>
            <w:vMerge w:val="continue"/>
            <w:tcBorders/>
            <w:vAlign w:val="bottom"/>
          </w:tcPr>
          <w:p>
            <w:pPr>
              <w:pStyle w:val="Normal"/>
              <w:bidi w:val="0"/>
              <w:jc w:val="left"/>
              <w:rPr/>
            </w:pPr>
            <w:r>
              <w:rPr/>
            </w:r>
          </w:p>
        </w:tc>
        <w:tc>
          <w:tcPr>
            <w:tcW w:w="955" w:type="dxa"/>
            <w:vMerge w:val="continue"/>
            <w:tcBorders/>
            <w:vAlign w:val="bottom"/>
          </w:tcPr>
          <w:p>
            <w:pPr>
              <w:pStyle w:val="Normal"/>
              <w:bidi w:val="0"/>
              <w:jc w:val="left"/>
              <w:rPr/>
            </w:pPr>
            <w:r>
              <w:rPr/>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10.7*</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pPr>
            <w:r>
              <w:rPr/>
              <w:t>Lease, dated September 16, 2020, by and between the Registrant and BRE-BMR Grove LLC</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10.8*</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pPr>
            <w:r>
              <w:rPr/>
              <w:t>Sublease Agreement, dated as of May 25, 2022, by and between the Registrant and C4 Therapeutics, Inc.</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10.9(a)*#</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pPr>
            <w:r>
              <w:rPr/>
              <w:t>2020 Equity Incentive Plan</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10.9(b)*#</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pPr>
            <w:r>
              <w:rPr/>
              <w:t>Form of Stock Option Agreement under the 2020 Equity Incentive Plan</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10.9(c)*#</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pPr>
            <w:r>
              <w:rPr/>
              <w:t>Form of Restricted Stock Purchase Agreement under the 2020 Equity Incentive Plan</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10.10(a)*#</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pPr>
            <w:r>
              <w:rPr/>
              <w:t>2022 Incentive Award Plan</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10.10(b)*#</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pPr>
            <w:r>
              <w:rPr/>
              <w:t>Form of Stock Option Grant Notice and Stock Option Agreement under the 2022 Incentive Award Plan</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            </w:t>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10.10(c)*#</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pPr>
            <w:r>
              <w:rPr/>
              <w:t>Form of Restricted Stock Award Grant Notice and Restricted Stock Award Agreement under the 2022 Incentive Award Plan</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10.10(d)*#</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pPr>
            <w:r>
              <w:rPr/>
              <w:t>Form of Restricted Stock Unit Award Grant Notice and Restricted Stock Unit Award Agreement under the 2022 Incentive Award Plan</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10.11*#</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pPr>
            <w:r>
              <w:rPr/>
              <w:t>Employee Stock Purchase Plan</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10.12*#</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pPr>
            <w:r>
              <w:rPr/>
              <w:t>Employment Agreement by and between the Registrant and Paul Berns</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10.13*#</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pPr>
            <w:r>
              <w:rPr/>
              <w:t>Offer Letter by and between the Registrant and Lori Lyons-Williams</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10.14*#</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pPr>
            <w:r>
              <w:rPr/>
              <w:t>Employment Agreement by and between the Registrant and Joshua Pinto, Ph.D.</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10.15*#</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pPr>
            <w:r>
              <w:rPr/>
              <w:t>Non-Employee Director Compensation Program</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10.16*</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pPr>
            <w:r>
              <w:rPr/>
              <w:t>Form of Indemnification and Advancement Agreement for directors and officers</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10.17*</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0"/>
              <w:jc w:val="left"/>
              <w:rPr>
                <w:rFonts w:ascii="Times New Roman" w:hAnsi="Times New Roman"/>
                <w:sz w:val="20"/>
              </w:rPr>
            </w:pPr>
            <w:r>
              <w:rPr>
                <w:rFonts w:ascii="Times New Roman" w:hAnsi="Times New Roman"/>
                <w:sz w:val="20"/>
              </w:rPr>
              <w:t>License Agreement, dated February 10, 2022, by and between the Registrant and Vanderbilt University</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10.18*</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pPr>
            <w:r>
              <w:rPr/>
              <w:t>Sponsored Research Agreement, dated February 10, 2022, by and between the Registrant and Vanderbilt University</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10.19**#</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pPr>
            <w:r>
              <w:rPr/>
              <w:t>Transition and Separation Agreement by and between the Registrant and Lori Lyons-Williams</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10.20**#</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pPr>
            <w:r>
              <w:rPr/>
              <w:t>Form of Executive Employment Agreement</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10.21**#</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pPr>
            <w:r>
              <w:rPr/>
              <w:t>Form of Executive Employment Agreement for Chief Executive Officer</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21.1*</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pPr>
            <w:r>
              <w:rPr/>
              <w:t>List of subsidiaries</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23.1*</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pPr>
            <w:r>
              <w:rPr/>
              <w:t>Consent of Independent Registered Public Accounting Firm</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23.2*</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pPr>
            <w:r>
              <w:rPr/>
              <w:t>Consent of Latham &amp; Watkins LLP (included in Exhibit 5.1)</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24.1*</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pPr>
            <w:r>
              <w:rPr/>
              <w:t>Power of Attorney (reference is made to the signature page to the Registration Statement)</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71" w:type="dxa"/>
            <w:tcBorders/>
            <w:vAlign w:val="center"/>
          </w:tcPr>
          <w:p>
            <w:pPr>
              <w:pStyle w:val="TableContents"/>
              <w:bidi w:val="0"/>
              <w:spacing w:before="0" w:after="283"/>
              <w:jc w:val="left"/>
              <w:rPr>
                <w:sz w:val="4"/>
                <w:szCs w:val="4"/>
              </w:rPr>
            </w:pPr>
            <w:r>
              <w:rPr>
                <w:sz w:val="4"/>
                <w:szCs w:val="4"/>
              </w:rPr>
            </w:r>
          </w:p>
        </w:tc>
        <w:tc>
          <w:tcPr>
            <w:tcW w:w="4577"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143"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tcPr>
          <w:p>
            <w:pPr>
              <w:pStyle w:val="TableContents"/>
              <w:bidi w:val="0"/>
              <w:spacing w:before="0" w:after="283"/>
              <w:jc w:val="left"/>
              <w:rPr/>
            </w:pPr>
            <w:r>
              <w:rPr/>
              <w:t>107</w:t>
            </w:r>
          </w:p>
        </w:tc>
        <w:tc>
          <w:tcPr>
            <w:tcW w:w="130"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pPr>
            <w:r>
              <w:rPr/>
              <w:t>Filing Fee Table</w:t>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Indicates management contract or compensatory plan.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portions of this document that constitute confidential information have been redacted in accordance with Regulation S-K, Item 601(b)(10).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has duly caused this registration statement to be signed on its behalf by the undersigned, thereunto duly authorized, in the City of Watertown, State of Massachusetts, on the    day of                 , 2022.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0"/>
        <w:gridCol w:w="60"/>
        <w:gridCol w:w="3382"/>
      </w:tblGrid>
      <w:tr>
        <w:trPr/>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NEUMORA THERAPEUTICS, INC.</w:t>
            </w:r>
          </w:p>
        </w:tc>
      </w:tr>
      <w:tr>
        <w:trPr>
          <w:trHeight w:val="240" w:hRule="atLeast"/>
        </w:trPr>
        <w:tc>
          <w:tcPr>
            <w:tcW w:w="640" w:type="dxa"/>
            <w:tcBorders/>
            <w:vAlign w:val="center"/>
          </w:tcPr>
          <w:p>
            <w:pPr>
              <w:pStyle w:val="TableContents"/>
              <w:bidi w:val="0"/>
              <w:spacing w:before="0" w:after="283"/>
              <w:jc w:val="left"/>
              <w:rPr>
                <w:sz w:val="4"/>
                <w:szCs w:val="4"/>
              </w:rPr>
            </w:pPr>
            <w:r>
              <w:rPr>
                <w:sz w:val="4"/>
                <w:szCs w:val="4"/>
              </w:rPr>
            </w:r>
          </w:p>
        </w:tc>
        <w:tc>
          <w:tcPr>
            <w:tcW w:w="3442" w:type="dxa"/>
            <w:gridSpan w:val="2"/>
            <w:tcBorders/>
            <w:vAlign w:val="center"/>
          </w:tcPr>
          <w:p>
            <w:pPr>
              <w:pStyle w:val="TableContents"/>
              <w:bidi w:val="0"/>
              <w:spacing w:before="0" w:after="283"/>
              <w:jc w:val="left"/>
              <w:rPr>
                <w:sz w:val="4"/>
                <w:szCs w:val="4"/>
              </w:rPr>
            </w:pPr>
            <w:r>
              <w:rPr>
                <w:sz w:val="4"/>
                <w:szCs w:val="4"/>
              </w:rPr>
            </w:r>
          </w:p>
        </w:tc>
      </w:tr>
      <w:tr>
        <w:trPr/>
        <w:tc>
          <w:tcPr>
            <w:tcW w:w="64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82" w:type="dxa"/>
            <w:tcBorders/>
            <w:vAlign w:val="bottom"/>
          </w:tcPr>
          <w:p>
            <w:pPr>
              <w:pStyle w:val="TableContents"/>
              <w:pBdr>
                <w:bottom w:val="single" w:sz="2" w:space="1" w:color="000000"/>
              </w:pBdr>
              <w:bidi w:val="0"/>
              <w:spacing w:before="0" w:after="20"/>
              <w:jc w:val="left"/>
              <w:rPr/>
            </w:pPr>
            <w:r>
              <w:rPr/>
              <w:t> </w:t>
            </w:r>
          </w:p>
        </w:tc>
      </w:tr>
      <w:tr>
        <w:trPr/>
        <w:tc>
          <w:tcPr>
            <w:tcW w:w="64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Paul Berns</w:t>
            </w:r>
          </w:p>
        </w:tc>
      </w:tr>
      <w:tr>
        <w:trPr/>
        <w:tc>
          <w:tcPr>
            <w:tcW w:w="64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Paul Berns and Joshua Pinto, Ph.D.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52"/>
        <w:gridCol w:w="120"/>
        <w:gridCol w:w="4124"/>
        <w:gridCol w:w="206"/>
        <w:gridCol w:w="2003"/>
      </w:tblGrid>
      <w:tr>
        <w:trPr/>
        <w:tc>
          <w:tcPr>
            <w:tcW w:w="37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124"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r>
      <w:tr>
        <w:trPr/>
        <w:tc>
          <w:tcPr>
            <w:tcW w:w="375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12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6" w:type="dxa"/>
            <w:tcBorders/>
            <w:vAlign w:val="bottom"/>
          </w:tcPr>
          <w:p>
            <w:pPr>
              <w:pStyle w:val="TableContents"/>
              <w:bidi w:val="0"/>
              <w:spacing w:before="0" w:after="283"/>
              <w:jc w:val="left"/>
              <w:rPr/>
            </w:pPr>
            <w:r>
              <w:rPr/>
              <w:t>  </w:t>
            </w:r>
          </w:p>
        </w:tc>
        <w:tc>
          <w:tcPr>
            <w:tcW w:w="200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120" w:hRule="atLeast"/>
        </w:trPr>
        <w:tc>
          <w:tcPr>
            <w:tcW w:w="3752" w:type="dxa"/>
            <w:tcBorders/>
            <w:vAlign w:val="center"/>
          </w:tcPr>
          <w:p>
            <w:pPr>
              <w:pStyle w:val="TableContents"/>
              <w:bidi w:val="0"/>
              <w:spacing w:before="0" w:after="283"/>
              <w:jc w:val="left"/>
              <w:rPr>
                <w:sz w:val="4"/>
                <w:szCs w:val="4"/>
              </w:rPr>
            </w:pPr>
            <w:r>
              <w:rPr>
                <w:sz w:val="4"/>
                <w:szCs w:val="4"/>
              </w:rPr>
            </w:r>
          </w:p>
        </w:tc>
        <w:tc>
          <w:tcPr>
            <w:tcW w:w="4244" w:type="dxa"/>
            <w:gridSpan w:val="2"/>
            <w:tcBorders/>
            <w:vAlign w:val="center"/>
          </w:tcPr>
          <w:p>
            <w:pPr>
              <w:pStyle w:val="TableContents"/>
              <w:bidi w:val="0"/>
              <w:spacing w:before="0" w:after="283"/>
              <w:jc w:val="left"/>
              <w:rPr>
                <w:sz w:val="4"/>
                <w:szCs w:val="4"/>
              </w:rPr>
            </w:pPr>
            <w:r>
              <w:rPr>
                <w:sz w:val="4"/>
                <w:szCs w:val="4"/>
              </w:rPr>
            </w:r>
          </w:p>
        </w:tc>
        <w:tc>
          <w:tcPr>
            <w:tcW w:w="2209" w:type="dxa"/>
            <w:gridSpan w:val="2"/>
            <w:tcBorders/>
            <w:vAlign w:val="center"/>
          </w:tcPr>
          <w:p>
            <w:pPr>
              <w:pStyle w:val="TableContents"/>
              <w:bidi w:val="0"/>
              <w:spacing w:before="0" w:after="283"/>
              <w:jc w:val="left"/>
              <w:rPr>
                <w:sz w:val="4"/>
                <w:szCs w:val="4"/>
              </w:rPr>
            </w:pPr>
            <w:r>
              <w:rPr>
                <w:sz w:val="4"/>
                <w:szCs w:val="4"/>
              </w:rPr>
            </w:r>
          </w:p>
        </w:tc>
      </w:tr>
      <w:tr>
        <w:trPr/>
        <w:tc>
          <w:tcPr>
            <w:tcW w:w="3752"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4124" w:type="dxa"/>
            <w:tcBorders/>
            <w:vAlign w:val="bottom"/>
          </w:tcPr>
          <w:p>
            <w:pPr>
              <w:pStyle w:val="TableContents"/>
              <w:bidi w:val="0"/>
              <w:spacing w:before="0" w:after="283"/>
              <w:jc w:val="center"/>
              <w:rPr/>
            </w:pPr>
            <w:r>
              <w:rPr/>
              <w:t xml:space="preserve">Chief Executive Officer and Director </w:t>
            </w:r>
          </w:p>
        </w:tc>
        <w:tc>
          <w:tcPr>
            <w:tcW w:w="206" w:type="dxa"/>
            <w:tcBorders/>
            <w:vAlign w:val="bottom"/>
          </w:tcPr>
          <w:p>
            <w:pPr>
              <w:pStyle w:val="TableContents"/>
              <w:bidi w:val="0"/>
              <w:spacing w:before="0" w:after="283"/>
              <w:jc w:val="left"/>
              <w:rPr/>
            </w:pPr>
            <w:r>
              <w:rPr/>
              <w:t>  </w:t>
            </w:r>
          </w:p>
        </w:tc>
        <w:tc>
          <w:tcPr>
            <w:tcW w:w="2003" w:type="dxa"/>
            <w:tcBorders/>
            <w:vAlign w:val="bottom"/>
          </w:tcPr>
          <w:p>
            <w:pPr>
              <w:pStyle w:val="TableContents"/>
              <w:bidi w:val="0"/>
              <w:spacing w:before="0" w:after="283"/>
              <w:jc w:val="center"/>
              <w:rPr/>
            </w:pPr>
            <w:r>
              <w:rPr/>
              <w:t>                </w:t>
            </w:r>
            <w:r>
              <w:rPr/>
              <w:t>, 2022</w:t>
            </w:r>
          </w:p>
        </w:tc>
      </w:tr>
      <w:tr>
        <w:trPr/>
        <w:tc>
          <w:tcPr>
            <w:tcW w:w="3752" w:type="dxa"/>
            <w:tcBorders/>
          </w:tcPr>
          <w:p>
            <w:pPr>
              <w:pStyle w:val="TableContents"/>
              <w:bidi w:val="0"/>
              <w:spacing w:before="0" w:after="283"/>
              <w:jc w:val="center"/>
              <w:rPr/>
            </w:pPr>
            <w:r>
              <w:rPr/>
              <w:t>Paul Berns</w:t>
            </w:r>
          </w:p>
        </w:tc>
        <w:tc>
          <w:tcPr>
            <w:tcW w:w="120" w:type="dxa"/>
            <w:tcBorders/>
            <w:vAlign w:val="bottom"/>
          </w:tcPr>
          <w:p>
            <w:pPr>
              <w:pStyle w:val="TableContents"/>
              <w:bidi w:val="0"/>
              <w:spacing w:before="0" w:after="283"/>
              <w:jc w:val="left"/>
              <w:rPr/>
            </w:pPr>
            <w:r>
              <w:rPr/>
              <w:t>  </w:t>
            </w:r>
          </w:p>
        </w:tc>
        <w:tc>
          <w:tcPr>
            <w:tcW w:w="4124" w:type="dxa"/>
            <w:tcBorders/>
            <w:vAlign w:val="bottom"/>
          </w:tcPr>
          <w:p>
            <w:pPr>
              <w:pStyle w:val="TableContents"/>
              <w:bidi w:val="0"/>
              <w:spacing w:before="0" w:after="283"/>
              <w:jc w:val="center"/>
              <w:rPr/>
            </w:pPr>
            <w:r>
              <w:rPr/>
              <w:t>(principal executive officer)</w:t>
            </w:r>
          </w:p>
        </w:tc>
        <w:tc>
          <w:tcPr>
            <w:tcW w:w="206" w:type="dxa"/>
            <w:tcBorders/>
            <w:vAlign w:val="bottom"/>
          </w:tcPr>
          <w:p>
            <w:pPr>
              <w:pStyle w:val="TableContents"/>
              <w:bidi w:val="0"/>
              <w:spacing w:before="0" w:after="283"/>
              <w:jc w:val="left"/>
              <w:rPr/>
            </w:pPr>
            <w:r>
              <w:rPr/>
              <w:t>  </w:t>
            </w:r>
          </w:p>
        </w:tc>
        <w:tc>
          <w:tcPr>
            <w:tcW w:w="200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752" w:type="dxa"/>
            <w:tcBorders/>
            <w:vAlign w:val="center"/>
          </w:tcPr>
          <w:p>
            <w:pPr>
              <w:pStyle w:val="TableContents"/>
              <w:bidi w:val="0"/>
              <w:spacing w:before="0" w:after="283"/>
              <w:jc w:val="left"/>
              <w:rPr>
                <w:sz w:val="4"/>
                <w:szCs w:val="4"/>
              </w:rPr>
            </w:pPr>
            <w:r>
              <w:rPr>
                <w:sz w:val="4"/>
                <w:szCs w:val="4"/>
              </w:rPr>
            </w:r>
          </w:p>
        </w:tc>
        <w:tc>
          <w:tcPr>
            <w:tcW w:w="4244" w:type="dxa"/>
            <w:gridSpan w:val="2"/>
            <w:tcBorders/>
            <w:vAlign w:val="center"/>
          </w:tcPr>
          <w:p>
            <w:pPr>
              <w:pStyle w:val="TableContents"/>
              <w:bidi w:val="0"/>
              <w:spacing w:before="0" w:after="283"/>
              <w:jc w:val="left"/>
              <w:rPr>
                <w:sz w:val="4"/>
                <w:szCs w:val="4"/>
              </w:rPr>
            </w:pPr>
            <w:r>
              <w:rPr>
                <w:sz w:val="4"/>
                <w:szCs w:val="4"/>
              </w:rPr>
            </w:r>
          </w:p>
        </w:tc>
        <w:tc>
          <w:tcPr>
            <w:tcW w:w="2209" w:type="dxa"/>
            <w:gridSpan w:val="2"/>
            <w:tcBorders/>
            <w:vAlign w:val="center"/>
          </w:tcPr>
          <w:p>
            <w:pPr>
              <w:pStyle w:val="TableContents"/>
              <w:bidi w:val="0"/>
              <w:spacing w:before="0" w:after="283"/>
              <w:jc w:val="left"/>
              <w:rPr>
                <w:sz w:val="4"/>
                <w:szCs w:val="4"/>
              </w:rPr>
            </w:pPr>
            <w:r>
              <w:rPr>
                <w:sz w:val="4"/>
                <w:szCs w:val="4"/>
              </w:rPr>
            </w:r>
          </w:p>
        </w:tc>
      </w:tr>
      <w:tr>
        <w:trPr/>
        <w:tc>
          <w:tcPr>
            <w:tcW w:w="3752" w:type="dxa"/>
            <w:tcBorders/>
          </w:tcPr>
          <w:p>
            <w:pPr>
              <w:pStyle w:val="TableContents"/>
              <w:pBdr>
                <w:bottom w:val="single" w:sz="2" w:space="1" w:color="000000"/>
              </w:pBdr>
              <w:bidi w:val="0"/>
              <w:spacing w:before="0" w:after="20"/>
              <w:jc w:val="center"/>
              <w:rPr/>
            </w:pPr>
            <w:r>
              <w:rPr/>
              <w:t> </w:t>
            </w:r>
          </w:p>
        </w:tc>
        <w:tc>
          <w:tcPr>
            <w:tcW w:w="120" w:type="dxa"/>
            <w:tcBorders/>
            <w:vAlign w:val="bottom"/>
          </w:tcPr>
          <w:p>
            <w:pPr>
              <w:pStyle w:val="TableContents"/>
              <w:bidi w:val="0"/>
              <w:spacing w:before="0" w:after="283"/>
              <w:jc w:val="left"/>
              <w:rPr/>
            </w:pPr>
            <w:r>
              <w:rPr/>
              <w:t>  </w:t>
            </w:r>
          </w:p>
        </w:tc>
        <w:tc>
          <w:tcPr>
            <w:tcW w:w="4124" w:type="dxa"/>
            <w:tcBorders/>
            <w:vAlign w:val="bottom"/>
          </w:tcPr>
          <w:p>
            <w:pPr>
              <w:pStyle w:val="TableContents"/>
              <w:bidi w:val="0"/>
              <w:spacing w:before="0" w:after="283"/>
              <w:jc w:val="center"/>
              <w:rPr/>
            </w:pPr>
            <w:r>
              <w:rPr/>
              <w:t xml:space="preserve">Chief Financial Officer (principal </w:t>
            </w:r>
          </w:p>
        </w:tc>
        <w:tc>
          <w:tcPr>
            <w:tcW w:w="206" w:type="dxa"/>
            <w:tcBorders/>
            <w:vAlign w:val="bottom"/>
          </w:tcPr>
          <w:p>
            <w:pPr>
              <w:pStyle w:val="TableContents"/>
              <w:bidi w:val="0"/>
              <w:spacing w:before="0" w:after="283"/>
              <w:jc w:val="left"/>
              <w:rPr/>
            </w:pPr>
            <w:r>
              <w:rPr/>
              <w:t>  </w:t>
            </w:r>
          </w:p>
        </w:tc>
        <w:tc>
          <w:tcPr>
            <w:tcW w:w="2003" w:type="dxa"/>
            <w:tcBorders/>
            <w:vAlign w:val="bottom"/>
          </w:tcPr>
          <w:p>
            <w:pPr>
              <w:pStyle w:val="TableContents"/>
              <w:bidi w:val="0"/>
              <w:spacing w:before="0" w:after="283"/>
              <w:jc w:val="center"/>
              <w:rPr/>
            </w:pPr>
            <w:r>
              <w:rPr/>
              <w:t>                </w:t>
            </w:r>
            <w:r>
              <w:rPr/>
              <w:t>, 2022</w:t>
            </w:r>
          </w:p>
        </w:tc>
      </w:tr>
      <w:tr>
        <w:trPr/>
        <w:tc>
          <w:tcPr>
            <w:tcW w:w="3752" w:type="dxa"/>
            <w:tcBorders/>
          </w:tcPr>
          <w:p>
            <w:pPr>
              <w:pStyle w:val="TableContents"/>
              <w:bidi w:val="0"/>
              <w:spacing w:before="0" w:after="283"/>
              <w:jc w:val="center"/>
              <w:rPr/>
            </w:pPr>
            <w:r>
              <w:rPr/>
              <w:t>Joshua Pinto, Ph.D.</w:t>
            </w:r>
          </w:p>
        </w:tc>
        <w:tc>
          <w:tcPr>
            <w:tcW w:w="120" w:type="dxa"/>
            <w:tcBorders/>
            <w:vAlign w:val="bottom"/>
          </w:tcPr>
          <w:p>
            <w:pPr>
              <w:pStyle w:val="TableContents"/>
              <w:bidi w:val="0"/>
              <w:spacing w:before="0" w:after="283"/>
              <w:jc w:val="left"/>
              <w:rPr/>
            </w:pPr>
            <w:r>
              <w:rPr/>
              <w:t>  </w:t>
            </w:r>
          </w:p>
        </w:tc>
        <w:tc>
          <w:tcPr>
            <w:tcW w:w="4124" w:type="dxa"/>
            <w:tcBorders/>
            <w:vAlign w:val="bottom"/>
          </w:tcPr>
          <w:p>
            <w:pPr>
              <w:pStyle w:val="TableContents"/>
              <w:bidi w:val="0"/>
              <w:spacing w:before="0" w:after="283"/>
              <w:jc w:val="center"/>
              <w:rPr/>
            </w:pPr>
            <w:r>
              <w:rPr/>
              <w:t>financial officer)</w:t>
            </w:r>
          </w:p>
        </w:tc>
        <w:tc>
          <w:tcPr>
            <w:tcW w:w="206" w:type="dxa"/>
            <w:tcBorders/>
            <w:vAlign w:val="bottom"/>
          </w:tcPr>
          <w:p>
            <w:pPr>
              <w:pStyle w:val="TableContents"/>
              <w:bidi w:val="0"/>
              <w:spacing w:before="0" w:after="283"/>
              <w:jc w:val="left"/>
              <w:rPr/>
            </w:pPr>
            <w:r>
              <w:rPr/>
              <w:t>  </w:t>
            </w:r>
          </w:p>
        </w:tc>
        <w:tc>
          <w:tcPr>
            <w:tcW w:w="200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752" w:type="dxa"/>
            <w:tcBorders/>
            <w:vAlign w:val="center"/>
          </w:tcPr>
          <w:p>
            <w:pPr>
              <w:pStyle w:val="TableContents"/>
              <w:bidi w:val="0"/>
              <w:spacing w:before="0" w:after="283"/>
              <w:jc w:val="left"/>
              <w:rPr>
                <w:sz w:val="4"/>
                <w:szCs w:val="4"/>
              </w:rPr>
            </w:pPr>
            <w:r>
              <w:rPr>
                <w:sz w:val="4"/>
                <w:szCs w:val="4"/>
              </w:rPr>
            </w:r>
          </w:p>
        </w:tc>
        <w:tc>
          <w:tcPr>
            <w:tcW w:w="4244" w:type="dxa"/>
            <w:gridSpan w:val="2"/>
            <w:tcBorders/>
            <w:vAlign w:val="center"/>
          </w:tcPr>
          <w:p>
            <w:pPr>
              <w:pStyle w:val="TableContents"/>
              <w:bidi w:val="0"/>
              <w:spacing w:before="0" w:after="283"/>
              <w:jc w:val="left"/>
              <w:rPr>
                <w:sz w:val="4"/>
                <w:szCs w:val="4"/>
              </w:rPr>
            </w:pPr>
            <w:r>
              <w:rPr>
                <w:sz w:val="4"/>
                <w:szCs w:val="4"/>
              </w:rPr>
            </w:r>
          </w:p>
        </w:tc>
        <w:tc>
          <w:tcPr>
            <w:tcW w:w="2209" w:type="dxa"/>
            <w:gridSpan w:val="2"/>
            <w:tcBorders/>
            <w:vAlign w:val="center"/>
          </w:tcPr>
          <w:p>
            <w:pPr>
              <w:pStyle w:val="TableContents"/>
              <w:bidi w:val="0"/>
              <w:spacing w:before="0" w:after="283"/>
              <w:jc w:val="left"/>
              <w:rPr>
                <w:sz w:val="4"/>
                <w:szCs w:val="4"/>
              </w:rPr>
            </w:pPr>
            <w:r>
              <w:rPr>
                <w:sz w:val="4"/>
                <w:szCs w:val="4"/>
              </w:rPr>
            </w:r>
          </w:p>
        </w:tc>
      </w:tr>
      <w:tr>
        <w:trPr/>
        <w:tc>
          <w:tcPr>
            <w:tcW w:w="3752" w:type="dxa"/>
            <w:tcBorders/>
          </w:tcPr>
          <w:p>
            <w:pPr>
              <w:pStyle w:val="TableContents"/>
              <w:pBdr>
                <w:bottom w:val="single" w:sz="2" w:space="1" w:color="000000"/>
              </w:pBdr>
              <w:bidi w:val="0"/>
              <w:spacing w:before="0" w:after="20"/>
              <w:jc w:val="center"/>
              <w:rPr/>
            </w:pPr>
            <w:r>
              <w:rPr/>
              <w:t> </w:t>
            </w:r>
          </w:p>
        </w:tc>
        <w:tc>
          <w:tcPr>
            <w:tcW w:w="120" w:type="dxa"/>
            <w:tcBorders/>
            <w:vAlign w:val="bottom"/>
          </w:tcPr>
          <w:p>
            <w:pPr>
              <w:pStyle w:val="TableContents"/>
              <w:bidi w:val="0"/>
              <w:spacing w:before="0" w:after="283"/>
              <w:jc w:val="left"/>
              <w:rPr/>
            </w:pPr>
            <w:r>
              <w:rPr/>
              <w:t>  </w:t>
            </w:r>
          </w:p>
        </w:tc>
        <w:tc>
          <w:tcPr>
            <w:tcW w:w="4124" w:type="dxa"/>
            <w:tcBorders/>
            <w:vAlign w:val="bottom"/>
          </w:tcPr>
          <w:p>
            <w:pPr>
              <w:pStyle w:val="TableContents"/>
              <w:bidi w:val="0"/>
              <w:spacing w:before="0" w:after="283"/>
              <w:jc w:val="center"/>
              <w:rPr/>
            </w:pPr>
            <w:r>
              <w:rPr/>
              <w:t>Principal Accounting Officer</w:t>
            </w:r>
          </w:p>
        </w:tc>
        <w:tc>
          <w:tcPr>
            <w:tcW w:w="206" w:type="dxa"/>
            <w:tcBorders/>
            <w:vAlign w:val="bottom"/>
          </w:tcPr>
          <w:p>
            <w:pPr>
              <w:pStyle w:val="TableContents"/>
              <w:bidi w:val="0"/>
              <w:spacing w:before="0" w:after="283"/>
              <w:jc w:val="left"/>
              <w:rPr/>
            </w:pPr>
            <w:r>
              <w:rPr/>
              <w:t>  </w:t>
            </w:r>
          </w:p>
        </w:tc>
        <w:tc>
          <w:tcPr>
            <w:tcW w:w="2003" w:type="dxa"/>
            <w:tcBorders/>
            <w:vAlign w:val="bottom"/>
          </w:tcPr>
          <w:p>
            <w:pPr>
              <w:pStyle w:val="TableContents"/>
              <w:bidi w:val="0"/>
              <w:spacing w:before="0" w:after="283"/>
              <w:jc w:val="center"/>
              <w:rPr/>
            </w:pPr>
            <w:r>
              <w:rPr/>
              <w:t>                </w:t>
            </w:r>
            <w:r>
              <w:rPr/>
              <w:t>, 2022</w:t>
            </w:r>
          </w:p>
        </w:tc>
      </w:tr>
      <w:tr>
        <w:trPr/>
        <w:tc>
          <w:tcPr>
            <w:tcW w:w="3752" w:type="dxa"/>
            <w:tcBorders/>
          </w:tcPr>
          <w:p>
            <w:pPr>
              <w:pStyle w:val="TableContents"/>
              <w:bidi w:val="0"/>
              <w:spacing w:before="0" w:after="283"/>
              <w:jc w:val="center"/>
              <w:rPr/>
            </w:pPr>
            <w:r>
              <w:rPr/>
              <w:t>Michael Milligan</w:t>
            </w:r>
          </w:p>
        </w:tc>
        <w:tc>
          <w:tcPr>
            <w:tcW w:w="120" w:type="dxa"/>
            <w:tcBorders/>
            <w:vAlign w:val="bottom"/>
          </w:tcPr>
          <w:p>
            <w:pPr>
              <w:pStyle w:val="TableContents"/>
              <w:bidi w:val="0"/>
              <w:spacing w:before="0" w:after="283"/>
              <w:jc w:val="left"/>
              <w:rPr/>
            </w:pPr>
            <w:r>
              <w:rPr/>
              <w:t>  </w:t>
            </w:r>
          </w:p>
        </w:tc>
        <w:tc>
          <w:tcPr>
            <w:tcW w:w="4124"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200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752" w:type="dxa"/>
            <w:tcBorders/>
            <w:vAlign w:val="center"/>
          </w:tcPr>
          <w:p>
            <w:pPr>
              <w:pStyle w:val="TableContents"/>
              <w:bidi w:val="0"/>
              <w:spacing w:before="0" w:after="283"/>
              <w:jc w:val="left"/>
              <w:rPr>
                <w:sz w:val="4"/>
                <w:szCs w:val="4"/>
              </w:rPr>
            </w:pPr>
            <w:r>
              <w:rPr>
                <w:sz w:val="4"/>
                <w:szCs w:val="4"/>
              </w:rPr>
            </w:r>
          </w:p>
        </w:tc>
        <w:tc>
          <w:tcPr>
            <w:tcW w:w="4244" w:type="dxa"/>
            <w:gridSpan w:val="2"/>
            <w:tcBorders/>
            <w:vAlign w:val="center"/>
          </w:tcPr>
          <w:p>
            <w:pPr>
              <w:pStyle w:val="TableContents"/>
              <w:bidi w:val="0"/>
              <w:spacing w:before="0" w:after="283"/>
              <w:jc w:val="left"/>
              <w:rPr>
                <w:sz w:val="4"/>
                <w:szCs w:val="4"/>
              </w:rPr>
            </w:pPr>
            <w:r>
              <w:rPr>
                <w:sz w:val="4"/>
                <w:szCs w:val="4"/>
              </w:rPr>
            </w:r>
          </w:p>
        </w:tc>
        <w:tc>
          <w:tcPr>
            <w:tcW w:w="2209" w:type="dxa"/>
            <w:gridSpan w:val="2"/>
            <w:tcBorders/>
            <w:vAlign w:val="center"/>
          </w:tcPr>
          <w:p>
            <w:pPr>
              <w:pStyle w:val="TableContents"/>
              <w:bidi w:val="0"/>
              <w:spacing w:before="0" w:after="283"/>
              <w:jc w:val="left"/>
              <w:rPr>
                <w:sz w:val="4"/>
                <w:szCs w:val="4"/>
              </w:rPr>
            </w:pPr>
            <w:r>
              <w:rPr>
                <w:sz w:val="4"/>
                <w:szCs w:val="4"/>
              </w:rPr>
            </w:r>
          </w:p>
        </w:tc>
      </w:tr>
      <w:tr>
        <w:trPr/>
        <w:tc>
          <w:tcPr>
            <w:tcW w:w="3752" w:type="dxa"/>
            <w:tcBorders/>
          </w:tcPr>
          <w:p>
            <w:pPr>
              <w:pStyle w:val="TableContents"/>
              <w:pBdr>
                <w:bottom w:val="single" w:sz="2" w:space="1" w:color="000000"/>
              </w:pBdr>
              <w:bidi w:val="0"/>
              <w:spacing w:before="0" w:after="20"/>
              <w:jc w:val="center"/>
              <w:rPr/>
            </w:pPr>
            <w:r>
              <w:rPr/>
              <w:t> </w:t>
            </w:r>
          </w:p>
        </w:tc>
        <w:tc>
          <w:tcPr>
            <w:tcW w:w="120" w:type="dxa"/>
            <w:tcBorders/>
            <w:vAlign w:val="bottom"/>
          </w:tcPr>
          <w:p>
            <w:pPr>
              <w:pStyle w:val="TableContents"/>
              <w:bidi w:val="0"/>
              <w:spacing w:before="0" w:after="283"/>
              <w:jc w:val="left"/>
              <w:rPr/>
            </w:pPr>
            <w:r>
              <w:rPr/>
              <w:t>  </w:t>
            </w:r>
          </w:p>
        </w:tc>
        <w:tc>
          <w:tcPr>
            <w:tcW w:w="4124" w:type="dxa"/>
            <w:tcBorders/>
            <w:vAlign w:val="bottom"/>
          </w:tcPr>
          <w:p>
            <w:pPr>
              <w:pStyle w:val="TableContents"/>
              <w:bidi w:val="0"/>
              <w:spacing w:before="0" w:after="283"/>
              <w:jc w:val="center"/>
              <w:rPr/>
            </w:pPr>
            <w:r>
              <w:rPr/>
              <w:t>Director</w:t>
            </w:r>
          </w:p>
        </w:tc>
        <w:tc>
          <w:tcPr>
            <w:tcW w:w="206" w:type="dxa"/>
            <w:tcBorders/>
            <w:vAlign w:val="bottom"/>
          </w:tcPr>
          <w:p>
            <w:pPr>
              <w:pStyle w:val="TableContents"/>
              <w:bidi w:val="0"/>
              <w:spacing w:before="0" w:after="283"/>
              <w:jc w:val="left"/>
              <w:rPr/>
            </w:pPr>
            <w:r>
              <w:rPr/>
              <w:t>  </w:t>
            </w:r>
          </w:p>
        </w:tc>
        <w:tc>
          <w:tcPr>
            <w:tcW w:w="2003" w:type="dxa"/>
            <w:tcBorders/>
            <w:vAlign w:val="bottom"/>
          </w:tcPr>
          <w:p>
            <w:pPr>
              <w:pStyle w:val="TableContents"/>
              <w:bidi w:val="0"/>
              <w:spacing w:before="0" w:after="283"/>
              <w:jc w:val="center"/>
              <w:rPr/>
            </w:pPr>
            <w:r>
              <w:rPr/>
              <w:t>                </w:t>
            </w:r>
            <w:r>
              <w:rPr/>
              <w:t>, 2022</w:t>
            </w:r>
          </w:p>
        </w:tc>
      </w:tr>
      <w:tr>
        <w:trPr/>
        <w:tc>
          <w:tcPr>
            <w:tcW w:w="3752" w:type="dxa"/>
            <w:tcBorders/>
          </w:tcPr>
          <w:p>
            <w:pPr>
              <w:pStyle w:val="TableContents"/>
              <w:bidi w:val="0"/>
              <w:spacing w:before="0" w:after="283"/>
              <w:jc w:val="center"/>
              <w:rPr/>
            </w:pPr>
            <w:r>
              <w:rPr/>
              <w:t>Kristina M. Burow</w:t>
            </w:r>
          </w:p>
        </w:tc>
        <w:tc>
          <w:tcPr>
            <w:tcW w:w="120" w:type="dxa"/>
            <w:tcBorders/>
            <w:vAlign w:val="bottom"/>
          </w:tcPr>
          <w:p>
            <w:pPr>
              <w:pStyle w:val="TableContents"/>
              <w:bidi w:val="0"/>
              <w:spacing w:before="0" w:after="283"/>
              <w:jc w:val="left"/>
              <w:rPr/>
            </w:pPr>
            <w:r>
              <w:rPr/>
              <w:t>  </w:t>
            </w:r>
          </w:p>
        </w:tc>
        <w:tc>
          <w:tcPr>
            <w:tcW w:w="4124"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200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752" w:type="dxa"/>
            <w:tcBorders/>
            <w:vAlign w:val="center"/>
          </w:tcPr>
          <w:p>
            <w:pPr>
              <w:pStyle w:val="TableContents"/>
              <w:bidi w:val="0"/>
              <w:spacing w:before="0" w:after="283"/>
              <w:jc w:val="left"/>
              <w:rPr>
                <w:sz w:val="4"/>
                <w:szCs w:val="4"/>
              </w:rPr>
            </w:pPr>
            <w:r>
              <w:rPr>
                <w:sz w:val="4"/>
                <w:szCs w:val="4"/>
              </w:rPr>
            </w:r>
          </w:p>
        </w:tc>
        <w:tc>
          <w:tcPr>
            <w:tcW w:w="4244" w:type="dxa"/>
            <w:gridSpan w:val="2"/>
            <w:tcBorders/>
            <w:vAlign w:val="center"/>
          </w:tcPr>
          <w:p>
            <w:pPr>
              <w:pStyle w:val="TableContents"/>
              <w:bidi w:val="0"/>
              <w:spacing w:before="0" w:after="283"/>
              <w:jc w:val="left"/>
              <w:rPr>
                <w:sz w:val="4"/>
                <w:szCs w:val="4"/>
              </w:rPr>
            </w:pPr>
            <w:r>
              <w:rPr>
                <w:sz w:val="4"/>
                <w:szCs w:val="4"/>
              </w:rPr>
            </w:r>
          </w:p>
        </w:tc>
        <w:tc>
          <w:tcPr>
            <w:tcW w:w="2209" w:type="dxa"/>
            <w:gridSpan w:val="2"/>
            <w:tcBorders/>
            <w:vAlign w:val="center"/>
          </w:tcPr>
          <w:p>
            <w:pPr>
              <w:pStyle w:val="TableContents"/>
              <w:bidi w:val="0"/>
              <w:spacing w:before="0" w:after="283"/>
              <w:jc w:val="left"/>
              <w:rPr>
                <w:sz w:val="4"/>
                <w:szCs w:val="4"/>
              </w:rPr>
            </w:pPr>
            <w:r>
              <w:rPr>
                <w:sz w:val="4"/>
                <w:szCs w:val="4"/>
              </w:rPr>
            </w:r>
          </w:p>
        </w:tc>
      </w:tr>
      <w:tr>
        <w:trPr/>
        <w:tc>
          <w:tcPr>
            <w:tcW w:w="3752" w:type="dxa"/>
            <w:tcBorders/>
          </w:tcPr>
          <w:p>
            <w:pPr>
              <w:pStyle w:val="TableContents"/>
              <w:pBdr>
                <w:bottom w:val="single" w:sz="2" w:space="1" w:color="000000"/>
              </w:pBdr>
              <w:bidi w:val="0"/>
              <w:spacing w:before="0" w:after="20"/>
              <w:jc w:val="center"/>
              <w:rPr/>
            </w:pPr>
            <w:r>
              <w:rPr/>
              <w:t> </w:t>
            </w:r>
          </w:p>
        </w:tc>
        <w:tc>
          <w:tcPr>
            <w:tcW w:w="120" w:type="dxa"/>
            <w:tcBorders/>
            <w:vAlign w:val="bottom"/>
          </w:tcPr>
          <w:p>
            <w:pPr>
              <w:pStyle w:val="TableContents"/>
              <w:bidi w:val="0"/>
              <w:spacing w:before="0" w:after="283"/>
              <w:jc w:val="left"/>
              <w:rPr/>
            </w:pPr>
            <w:r>
              <w:rPr/>
              <w:t>  </w:t>
            </w:r>
          </w:p>
        </w:tc>
        <w:tc>
          <w:tcPr>
            <w:tcW w:w="4124" w:type="dxa"/>
            <w:tcBorders/>
            <w:vAlign w:val="bottom"/>
          </w:tcPr>
          <w:p>
            <w:pPr>
              <w:pStyle w:val="TableContents"/>
              <w:bidi w:val="0"/>
              <w:spacing w:before="0" w:after="283"/>
              <w:jc w:val="center"/>
              <w:rPr/>
            </w:pPr>
            <w:r>
              <w:rPr/>
              <w:t>Director</w:t>
            </w:r>
          </w:p>
        </w:tc>
        <w:tc>
          <w:tcPr>
            <w:tcW w:w="206" w:type="dxa"/>
            <w:tcBorders/>
            <w:vAlign w:val="bottom"/>
          </w:tcPr>
          <w:p>
            <w:pPr>
              <w:pStyle w:val="TableContents"/>
              <w:bidi w:val="0"/>
              <w:spacing w:before="0" w:after="283"/>
              <w:jc w:val="left"/>
              <w:rPr/>
            </w:pPr>
            <w:r>
              <w:rPr/>
              <w:t>  </w:t>
            </w:r>
          </w:p>
        </w:tc>
        <w:tc>
          <w:tcPr>
            <w:tcW w:w="2003" w:type="dxa"/>
            <w:tcBorders/>
            <w:vAlign w:val="bottom"/>
          </w:tcPr>
          <w:p>
            <w:pPr>
              <w:pStyle w:val="TableContents"/>
              <w:bidi w:val="0"/>
              <w:spacing w:before="0" w:after="283"/>
              <w:jc w:val="center"/>
              <w:rPr/>
            </w:pPr>
            <w:r>
              <w:rPr/>
              <w:t>                </w:t>
            </w:r>
            <w:r>
              <w:rPr/>
              <w:t>, 2022</w:t>
            </w:r>
          </w:p>
        </w:tc>
      </w:tr>
      <w:tr>
        <w:trPr/>
        <w:tc>
          <w:tcPr>
            <w:tcW w:w="3752" w:type="dxa"/>
            <w:tcBorders/>
          </w:tcPr>
          <w:p>
            <w:pPr>
              <w:pStyle w:val="TableContents"/>
              <w:bidi w:val="0"/>
              <w:spacing w:before="0" w:after="283"/>
              <w:jc w:val="center"/>
              <w:rPr/>
            </w:pPr>
            <w:r>
              <w:rPr/>
              <w:t>Matthew Fust</w:t>
            </w:r>
          </w:p>
        </w:tc>
        <w:tc>
          <w:tcPr>
            <w:tcW w:w="120" w:type="dxa"/>
            <w:tcBorders/>
            <w:vAlign w:val="bottom"/>
          </w:tcPr>
          <w:p>
            <w:pPr>
              <w:pStyle w:val="TableContents"/>
              <w:bidi w:val="0"/>
              <w:spacing w:before="0" w:after="283"/>
              <w:jc w:val="left"/>
              <w:rPr/>
            </w:pPr>
            <w:r>
              <w:rPr/>
              <w:t>  </w:t>
            </w:r>
          </w:p>
        </w:tc>
        <w:tc>
          <w:tcPr>
            <w:tcW w:w="4124"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200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752" w:type="dxa"/>
            <w:tcBorders/>
            <w:vAlign w:val="center"/>
          </w:tcPr>
          <w:p>
            <w:pPr>
              <w:pStyle w:val="TableContents"/>
              <w:bidi w:val="0"/>
              <w:spacing w:before="0" w:after="283"/>
              <w:jc w:val="left"/>
              <w:rPr>
                <w:sz w:val="4"/>
                <w:szCs w:val="4"/>
              </w:rPr>
            </w:pPr>
            <w:r>
              <w:rPr>
                <w:sz w:val="4"/>
                <w:szCs w:val="4"/>
              </w:rPr>
            </w:r>
          </w:p>
        </w:tc>
        <w:tc>
          <w:tcPr>
            <w:tcW w:w="4244" w:type="dxa"/>
            <w:gridSpan w:val="2"/>
            <w:tcBorders/>
            <w:vAlign w:val="center"/>
          </w:tcPr>
          <w:p>
            <w:pPr>
              <w:pStyle w:val="TableContents"/>
              <w:bidi w:val="0"/>
              <w:spacing w:before="0" w:after="283"/>
              <w:jc w:val="left"/>
              <w:rPr>
                <w:sz w:val="4"/>
                <w:szCs w:val="4"/>
              </w:rPr>
            </w:pPr>
            <w:r>
              <w:rPr>
                <w:sz w:val="4"/>
                <w:szCs w:val="4"/>
              </w:rPr>
            </w:r>
          </w:p>
        </w:tc>
        <w:tc>
          <w:tcPr>
            <w:tcW w:w="2209" w:type="dxa"/>
            <w:gridSpan w:val="2"/>
            <w:tcBorders/>
            <w:vAlign w:val="center"/>
          </w:tcPr>
          <w:p>
            <w:pPr>
              <w:pStyle w:val="TableContents"/>
              <w:bidi w:val="0"/>
              <w:spacing w:before="0" w:after="283"/>
              <w:jc w:val="left"/>
              <w:rPr>
                <w:sz w:val="4"/>
                <w:szCs w:val="4"/>
              </w:rPr>
            </w:pPr>
            <w:r>
              <w:rPr>
                <w:sz w:val="4"/>
                <w:szCs w:val="4"/>
              </w:rPr>
            </w:r>
          </w:p>
        </w:tc>
      </w:tr>
      <w:tr>
        <w:trPr/>
        <w:tc>
          <w:tcPr>
            <w:tcW w:w="3752" w:type="dxa"/>
            <w:tcBorders/>
          </w:tcPr>
          <w:p>
            <w:pPr>
              <w:pStyle w:val="TableContents"/>
              <w:pBdr>
                <w:bottom w:val="single" w:sz="2" w:space="1" w:color="000000"/>
              </w:pBdr>
              <w:bidi w:val="0"/>
              <w:spacing w:before="0" w:after="20"/>
              <w:jc w:val="center"/>
              <w:rPr/>
            </w:pPr>
            <w:r>
              <w:rPr/>
              <w:t> </w:t>
            </w:r>
          </w:p>
        </w:tc>
        <w:tc>
          <w:tcPr>
            <w:tcW w:w="120" w:type="dxa"/>
            <w:tcBorders/>
            <w:vAlign w:val="bottom"/>
          </w:tcPr>
          <w:p>
            <w:pPr>
              <w:pStyle w:val="TableContents"/>
              <w:bidi w:val="0"/>
              <w:spacing w:before="0" w:after="283"/>
              <w:jc w:val="left"/>
              <w:rPr/>
            </w:pPr>
            <w:r>
              <w:rPr/>
              <w:t>  </w:t>
            </w:r>
          </w:p>
        </w:tc>
        <w:tc>
          <w:tcPr>
            <w:tcW w:w="4124" w:type="dxa"/>
            <w:tcBorders/>
            <w:vAlign w:val="bottom"/>
          </w:tcPr>
          <w:p>
            <w:pPr>
              <w:pStyle w:val="TableContents"/>
              <w:bidi w:val="0"/>
              <w:spacing w:before="0" w:after="283"/>
              <w:jc w:val="center"/>
              <w:rPr/>
            </w:pPr>
            <w:r>
              <w:rPr/>
              <w:t>Director</w:t>
            </w:r>
          </w:p>
        </w:tc>
        <w:tc>
          <w:tcPr>
            <w:tcW w:w="206" w:type="dxa"/>
            <w:tcBorders/>
            <w:vAlign w:val="bottom"/>
          </w:tcPr>
          <w:p>
            <w:pPr>
              <w:pStyle w:val="TableContents"/>
              <w:bidi w:val="0"/>
              <w:spacing w:before="0" w:after="283"/>
              <w:jc w:val="left"/>
              <w:rPr/>
            </w:pPr>
            <w:r>
              <w:rPr/>
              <w:t>  </w:t>
            </w:r>
          </w:p>
        </w:tc>
        <w:tc>
          <w:tcPr>
            <w:tcW w:w="2003" w:type="dxa"/>
            <w:tcBorders/>
            <w:vAlign w:val="bottom"/>
          </w:tcPr>
          <w:p>
            <w:pPr>
              <w:pStyle w:val="TableContents"/>
              <w:bidi w:val="0"/>
              <w:spacing w:before="0" w:after="283"/>
              <w:jc w:val="center"/>
              <w:rPr/>
            </w:pPr>
            <w:r>
              <w:rPr/>
              <w:t>                </w:t>
            </w:r>
            <w:r>
              <w:rPr/>
              <w:t>, 2022</w:t>
            </w:r>
          </w:p>
        </w:tc>
      </w:tr>
      <w:tr>
        <w:trPr/>
        <w:tc>
          <w:tcPr>
            <w:tcW w:w="3752" w:type="dxa"/>
            <w:tcBorders/>
          </w:tcPr>
          <w:p>
            <w:pPr>
              <w:pStyle w:val="TableContents"/>
              <w:bidi w:val="0"/>
              <w:spacing w:before="0" w:after="283"/>
              <w:jc w:val="center"/>
              <w:rPr/>
            </w:pPr>
            <w:r>
              <w:rPr/>
              <w:t>Maykin Ho, Ph.D.</w:t>
            </w:r>
          </w:p>
        </w:tc>
        <w:tc>
          <w:tcPr>
            <w:tcW w:w="120" w:type="dxa"/>
            <w:tcBorders/>
            <w:vAlign w:val="bottom"/>
          </w:tcPr>
          <w:p>
            <w:pPr>
              <w:pStyle w:val="TableContents"/>
              <w:bidi w:val="0"/>
              <w:spacing w:before="0" w:after="283"/>
              <w:jc w:val="left"/>
              <w:rPr/>
            </w:pPr>
            <w:r>
              <w:rPr/>
              <w:t>  </w:t>
            </w:r>
          </w:p>
        </w:tc>
        <w:tc>
          <w:tcPr>
            <w:tcW w:w="4124"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200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752" w:type="dxa"/>
            <w:tcBorders/>
            <w:vAlign w:val="center"/>
          </w:tcPr>
          <w:p>
            <w:pPr>
              <w:pStyle w:val="TableContents"/>
              <w:bidi w:val="0"/>
              <w:spacing w:before="0" w:after="283"/>
              <w:jc w:val="left"/>
              <w:rPr>
                <w:sz w:val="4"/>
                <w:szCs w:val="4"/>
              </w:rPr>
            </w:pPr>
            <w:r>
              <w:rPr>
                <w:sz w:val="4"/>
                <w:szCs w:val="4"/>
              </w:rPr>
            </w:r>
          </w:p>
        </w:tc>
        <w:tc>
          <w:tcPr>
            <w:tcW w:w="4244" w:type="dxa"/>
            <w:gridSpan w:val="2"/>
            <w:tcBorders/>
            <w:vAlign w:val="center"/>
          </w:tcPr>
          <w:p>
            <w:pPr>
              <w:pStyle w:val="TableContents"/>
              <w:bidi w:val="0"/>
              <w:spacing w:before="0" w:after="283"/>
              <w:jc w:val="left"/>
              <w:rPr>
                <w:sz w:val="4"/>
                <w:szCs w:val="4"/>
              </w:rPr>
            </w:pPr>
            <w:r>
              <w:rPr>
                <w:sz w:val="4"/>
                <w:szCs w:val="4"/>
              </w:rPr>
            </w:r>
          </w:p>
        </w:tc>
        <w:tc>
          <w:tcPr>
            <w:tcW w:w="2209" w:type="dxa"/>
            <w:gridSpan w:val="2"/>
            <w:tcBorders/>
            <w:vAlign w:val="center"/>
          </w:tcPr>
          <w:p>
            <w:pPr>
              <w:pStyle w:val="TableContents"/>
              <w:bidi w:val="0"/>
              <w:spacing w:before="0" w:after="283"/>
              <w:jc w:val="left"/>
              <w:rPr>
                <w:sz w:val="4"/>
                <w:szCs w:val="4"/>
              </w:rPr>
            </w:pPr>
            <w:r>
              <w:rPr>
                <w:sz w:val="4"/>
                <w:szCs w:val="4"/>
              </w:rPr>
            </w:r>
          </w:p>
        </w:tc>
      </w:tr>
      <w:tr>
        <w:trPr/>
        <w:tc>
          <w:tcPr>
            <w:tcW w:w="3752" w:type="dxa"/>
            <w:tcBorders/>
          </w:tcPr>
          <w:p>
            <w:pPr>
              <w:pStyle w:val="TableContents"/>
              <w:pBdr>
                <w:bottom w:val="single" w:sz="2" w:space="1" w:color="000000"/>
              </w:pBdr>
              <w:bidi w:val="0"/>
              <w:spacing w:before="0" w:after="20"/>
              <w:jc w:val="center"/>
              <w:rPr/>
            </w:pPr>
            <w:r>
              <w:rPr/>
              <w:t> </w:t>
            </w:r>
          </w:p>
        </w:tc>
        <w:tc>
          <w:tcPr>
            <w:tcW w:w="120" w:type="dxa"/>
            <w:tcBorders/>
            <w:vAlign w:val="bottom"/>
          </w:tcPr>
          <w:p>
            <w:pPr>
              <w:pStyle w:val="TableContents"/>
              <w:bidi w:val="0"/>
              <w:spacing w:before="0" w:after="283"/>
              <w:jc w:val="left"/>
              <w:rPr/>
            </w:pPr>
            <w:r>
              <w:rPr/>
              <w:t>  </w:t>
            </w:r>
          </w:p>
        </w:tc>
        <w:tc>
          <w:tcPr>
            <w:tcW w:w="4124" w:type="dxa"/>
            <w:tcBorders/>
            <w:vAlign w:val="bottom"/>
          </w:tcPr>
          <w:p>
            <w:pPr>
              <w:pStyle w:val="TableContents"/>
              <w:bidi w:val="0"/>
              <w:spacing w:before="0" w:after="283"/>
              <w:jc w:val="center"/>
              <w:rPr/>
            </w:pPr>
            <w:r>
              <w:rPr/>
              <w:t>Director</w:t>
            </w:r>
          </w:p>
        </w:tc>
        <w:tc>
          <w:tcPr>
            <w:tcW w:w="206" w:type="dxa"/>
            <w:tcBorders/>
            <w:vAlign w:val="bottom"/>
          </w:tcPr>
          <w:p>
            <w:pPr>
              <w:pStyle w:val="TableContents"/>
              <w:bidi w:val="0"/>
              <w:spacing w:before="0" w:after="283"/>
              <w:jc w:val="left"/>
              <w:rPr/>
            </w:pPr>
            <w:r>
              <w:rPr/>
              <w:t>  </w:t>
            </w:r>
          </w:p>
        </w:tc>
        <w:tc>
          <w:tcPr>
            <w:tcW w:w="2003" w:type="dxa"/>
            <w:tcBorders/>
            <w:vAlign w:val="bottom"/>
          </w:tcPr>
          <w:p>
            <w:pPr>
              <w:pStyle w:val="TableContents"/>
              <w:bidi w:val="0"/>
              <w:spacing w:before="0" w:after="283"/>
              <w:jc w:val="center"/>
              <w:rPr/>
            </w:pPr>
            <w:r>
              <w:rPr/>
              <w:t>                </w:t>
            </w:r>
            <w:r>
              <w:rPr/>
              <w:t>, 2022</w:t>
            </w:r>
          </w:p>
        </w:tc>
      </w:tr>
      <w:tr>
        <w:trPr/>
        <w:tc>
          <w:tcPr>
            <w:tcW w:w="3752" w:type="dxa"/>
            <w:tcBorders/>
          </w:tcPr>
          <w:p>
            <w:pPr>
              <w:pStyle w:val="TableContents"/>
              <w:bidi w:val="0"/>
              <w:spacing w:before="0" w:after="283"/>
              <w:jc w:val="center"/>
              <w:rPr/>
            </w:pPr>
            <w:r>
              <w:rPr/>
              <w:t>Robert Nelsen</w:t>
            </w:r>
          </w:p>
        </w:tc>
        <w:tc>
          <w:tcPr>
            <w:tcW w:w="120" w:type="dxa"/>
            <w:tcBorders/>
            <w:vAlign w:val="bottom"/>
          </w:tcPr>
          <w:p>
            <w:pPr>
              <w:pStyle w:val="TableContents"/>
              <w:bidi w:val="0"/>
              <w:spacing w:before="0" w:after="283"/>
              <w:jc w:val="left"/>
              <w:rPr/>
            </w:pPr>
            <w:r>
              <w:rPr/>
              <w:t>  </w:t>
            </w:r>
          </w:p>
        </w:tc>
        <w:tc>
          <w:tcPr>
            <w:tcW w:w="4124"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200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752" w:type="dxa"/>
            <w:tcBorders/>
            <w:vAlign w:val="center"/>
          </w:tcPr>
          <w:p>
            <w:pPr>
              <w:pStyle w:val="TableContents"/>
              <w:bidi w:val="0"/>
              <w:spacing w:before="0" w:after="283"/>
              <w:jc w:val="left"/>
              <w:rPr>
                <w:sz w:val="4"/>
                <w:szCs w:val="4"/>
              </w:rPr>
            </w:pPr>
            <w:r>
              <w:rPr>
                <w:sz w:val="4"/>
                <w:szCs w:val="4"/>
              </w:rPr>
            </w:r>
          </w:p>
        </w:tc>
        <w:tc>
          <w:tcPr>
            <w:tcW w:w="4244" w:type="dxa"/>
            <w:gridSpan w:val="2"/>
            <w:tcBorders/>
            <w:vAlign w:val="center"/>
          </w:tcPr>
          <w:p>
            <w:pPr>
              <w:pStyle w:val="TableContents"/>
              <w:bidi w:val="0"/>
              <w:spacing w:before="0" w:after="283"/>
              <w:jc w:val="left"/>
              <w:rPr>
                <w:sz w:val="4"/>
                <w:szCs w:val="4"/>
              </w:rPr>
            </w:pPr>
            <w:r>
              <w:rPr>
                <w:sz w:val="4"/>
                <w:szCs w:val="4"/>
              </w:rPr>
            </w:r>
          </w:p>
        </w:tc>
        <w:tc>
          <w:tcPr>
            <w:tcW w:w="2209" w:type="dxa"/>
            <w:gridSpan w:val="2"/>
            <w:tcBorders/>
            <w:vAlign w:val="center"/>
          </w:tcPr>
          <w:p>
            <w:pPr>
              <w:pStyle w:val="TableContents"/>
              <w:bidi w:val="0"/>
              <w:spacing w:before="0" w:after="283"/>
              <w:jc w:val="left"/>
              <w:rPr>
                <w:sz w:val="4"/>
                <w:szCs w:val="4"/>
              </w:rPr>
            </w:pPr>
            <w:r>
              <w:rPr>
                <w:sz w:val="4"/>
                <w:szCs w:val="4"/>
              </w:rPr>
            </w:r>
          </w:p>
        </w:tc>
      </w:tr>
      <w:tr>
        <w:trPr/>
        <w:tc>
          <w:tcPr>
            <w:tcW w:w="3752" w:type="dxa"/>
            <w:tcBorders/>
          </w:tcPr>
          <w:p>
            <w:pPr>
              <w:pStyle w:val="TableContents"/>
              <w:pBdr>
                <w:bottom w:val="single" w:sz="2" w:space="1" w:color="000000"/>
              </w:pBdr>
              <w:bidi w:val="0"/>
              <w:spacing w:before="0" w:after="20"/>
              <w:jc w:val="center"/>
              <w:rPr/>
            </w:pPr>
            <w:r>
              <w:rPr/>
              <w:t> </w:t>
            </w:r>
          </w:p>
        </w:tc>
        <w:tc>
          <w:tcPr>
            <w:tcW w:w="120" w:type="dxa"/>
            <w:tcBorders/>
            <w:vAlign w:val="bottom"/>
          </w:tcPr>
          <w:p>
            <w:pPr>
              <w:pStyle w:val="TableContents"/>
              <w:bidi w:val="0"/>
              <w:spacing w:before="0" w:after="283"/>
              <w:jc w:val="left"/>
              <w:rPr/>
            </w:pPr>
            <w:r>
              <w:rPr/>
              <w:t>  </w:t>
            </w:r>
          </w:p>
        </w:tc>
        <w:tc>
          <w:tcPr>
            <w:tcW w:w="4124" w:type="dxa"/>
            <w:tcBorders/>
            <w:vAlign w:val="bottom"/>
          </w:tcPr>
          <w:p>
            <w:pPr>
              <w:pStyle w:val="TableContents"/>
              <w:bidi w:val="0"/>
              <w:spacing w:before="0" w:after="283"/>
              <w:jc w:val="center"/>
              <w:rPr/>
            </w:pPr>
            <w:r>
              <w:rPr/>
              <w:t>Director</w:t>
            </w:r>
          </w:p>
        </w:tc>
        <w:tc>
          <w:tcPr>
            <w:tcW w:w="206" w:type="dxa"/>
            <w:tcBorders/>
            <w:vAlign w:val="bottom"/>
          </w:tcPr>
          <w:p>
            <w:pPr>
              <w:pStyle w:val="TableContents"/>
              <w:bidi w:val="0"/>
              <w:spacing w:before="0" w:after="283"/>
              <w:jc w:val="left"/>
              <w:rPr/>
            </w:pPr>
            <w:r>
              <w:rPr/>
              <w:t>  </w:t>
            </w:r>
          </w:p>
        </w:tc>
        <w:tc>
          <w:tcPr>
            <w:tcW w:w="2003" w:type="dxa"/>
            <w:tcBorders/>
            <w:vAlign w:val="bottom"/>
          </w:tcPr>
          <w:p>
            <w:pPr>
              <w:pStyle w:val="TableContents"/>
              <w:bidi w:val="0"/>
              <w:spacing w:before="0" w:after="283"/>
              <w:jc w:val="center"/>
              <w:rPr/>
            </w:pPr>
            <w:r>
              <w:rPr/>
              <w:t>                </w:t>
            </w:r>
            <w:r>
              <w:rPr/>
              <w:t>, 2022</w:t>
            </w:r>
          </w:p>
        </w:tc>
      </w:tr>
      <w:tr>
        <w:trPr/>
        <w:tc>
          <w:tcPr>
            <w:tcW w:w="3752" w:type="dxa"/>
            <w:tcBorders/>
          </w:tcPr>
          <w:p>
            <w:pPr>
              <w:pStyle w:val="TableContents"/>
              <w:bidi w:val="0"/>
              <w:spacing w:before="0" w:after="283"/>
              <w:jc w:val="center"/>
              <w:rPr/>
            </w:pPr>
            <w:r>
              <w:rPr/>
              <w:t>Kári Stefánsson, M.D.</w:t>
            </w:r>
          </w:p>
        </w:tc>
        <w:tc>
          <w:tcPr>
            <w:tcW w:w="120" w:type="dxa"/>
            <w:tcBorders/>
            <w:vAlign w:val="bottom"/>
          </w:tcPr>
          <w:p>
            <w:pPr>
              <w:pStyle w:val="TableContents"/>
              <w:bidi w:val="0"/>
              <w:spacing w:before="0" w:after="283"/>
              <w:jc w:val="left"/>
              <w:rPr/>
            </w:pPr>
            <w:r>
              <w:rPr/>
              <w:t>  </w:t>
            </w:r>
          </w:p>
        </w:tc>
        <w:tc>
          <w:tcPr>
            <w:tcW w:w="4124"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200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752" w:type="dxa"/>
            <w:tcBorders/>
            <w:vAlign w:val="center"/>
          </w:tcPr>
          <w:p>
            <w:pPr>
              <w:pStyle w:val="TableContents"/>
              <w:bidi w:val="0"/>
              <w:spacing w:before="0" w:after="283"/>
              <w:jc w:val="left"/>
              <w:rPr>
                <w:sz w:val="4"/>
                <w:szCs w:val="4"/>
              </w:rPr>
            </w:pPr>
            <w:r>
              <w:rPr>
                <w:sz w:val="4"/>
                <w:szCs w:val="4"/>
              </w:rPr>
            </w:r>
          </w:p>
        </w:tc>
        <w:tc>
          <w:tcPr>
            <w:tcW w:w="4244" w:type="dxa"/>
            <w:gridSpan w:val="2"/>
            <w:tcBorders/>
            <w:vAlign w:val="center"/>
          </w:tcPr>
          <w:p>
            <w:pPr>
              <w:pStyle w:val="TableContents"/>
              <w:bidi w:val="0"/>
              <w:spacing w:before="0" w:after="283"/>
              <w:jc w:val="left"/>
              <w:rPr>
                <w:sz w:val="4"/>
                <w:szCs w:val="4"/>
              </w:rPr>
            </w:pPr>
            <w:r>
              <w:rPr>
                <w:sz w:val="4"/>
                <w:szCs w:val="4"/>
              </w:rPr>
            </w:r>
          </w:p>
        </w:tc>
        <w:tc>
          <w:tcPr>
            <w:tcW w:w="2209" w:type="dxa"/>
            <w:gridSpan w:val="2"/>
            <w:tcBorders/>
            <w:vAlign w:val="center"/>
          </w:tcPr>
          <w:p>
            <w:pPr>
              <w:pStyle w:val="TableContents"/>
              <w:bidi w:val="0"/>
              <w:spacing w:before="0" w:after="283"/>
              <w:jc w:val="left"/>
              <w:rPr>
                <w:sz w:val="4"/>
                <w:szCs w:val="4"/>
              </w:rPr>
            </w:pPr>
            <w:r>
              <w:rPr>
                <w:sz w:val="4"/>
                <w:szCs w:val="4"/>
              </w:rPr>
            </w:r>
          </w:p>
        </w:tc>
      </w:tr>
      <w:tr>
        <w:trPr/>
        <w:tc>
          <w:tcPr>
            <w:tcW w:w="3752" w:type="dxa"/>
            <w:tcBorders/>
          </w:tcPr>
          <w:p>
            <w:pPr>
              <w:pStyle w:val="TableContents"/>
              <w:pBdr>
                <w:bottom w:val="single" w:sz="2" w:space="1" w:color="000000"/>
              </w:pBdr>
              <w:bidi w:val="0"/>
              <w:spacing w:before="0" w:after="20"/>
              <w:jc w:val="center"/>
              <w:rPr/>
            </w:pPr>
            <w:r>
              <w:rPr/>
              <w:t> </w:t>
            </w:r>
          </w:p>
        </w:tc>
        <w:tc>
          <w:tcPr>
            <w:tcW w:w="120" w:type="dxa"/>
            <w:tcBorders/>
            <w:vAlign w:val="bottom"/>
          </w:tcPr>
          <w:p>
            <w:pPr>
              <w:pStyle w:val="TableContents"/>
              <w:bidi w:val="0"/>
              <w:spacing w:before="0" w:after="283"/>
              <w:jc w:val="left"/>
              <w:rPr/>
            </w:pPr>
            <w:r>
              <w:rPr/>
              <w:t>  </w:t>
            </w:r>
          </w:p>
        </w:tc>
        <w:tc>
          <w:tcPr>
            <w:tcW w:w="4124" w:type="dxa"/>
            <w:tcBorders/>
            <w:vAlign w:val="bottom"/>
          </w:tcPr>
          <w:p>
            <w:pPr>
              <w:pStyle w:val="TableContents"/>
              <w:bidi w:val="0"/>
              <w:spacing w:before="0" w:after="283"/>
              <w:jc w:val="center"/>
              <w:rPr/>
            </w:pPr>
            <w:r>
              <w:rPr/>
              <w:t>Director</w:t>
            </w:r>
          </w:p>
        </w:tc>
        <w:tc>
          <w:tcPr>
            <w:tcW w:w="206" w:type="dxa"/>
            <w:tcBorders/>
            <w:vAlign w:val="bottom"/>
          </w:tcPr>
          <w:p>
            <w:pPr>
              <w:pStyle w:val="TableContents"/>
              <w:bidi w:val="0"/>
              <w:spacing w:before="0" w:after="283"/>
              <w:jc w:val="left"/>
              <w:rPr/>
            </w:pPr>
            <w:r>
              <w:rPr/>
              <w:t>  </w:t>
            </w:r>
          </w:p>
        </w:tc>
        <w:tc>
          <w:tcPr>
            <w:tcW w:w="2003" w:type="dxa"/>
            <w:tcBorders/>
            <w:vAlign w:val="bottom"/>
          </w:tcPr>
          <w:p>
            <w:pPr>
              <w:pStyle w:val="TableContents"/>
              <w:bidi w:val="0"/>
              <w:spacing w:before="0" w:after="283"/>
              <w:jc w:val="center"/>
              <w:rPr/>
            </w:pPr>
            <w:r>
              <w:rPr/>
              <w:t>                </w:t>
            </w:r>
            <w:r>
              <w:rPr/>
              <w:t>, 2022</w:t>
            </w:r>
          </w:p>
        </w:tc>
      </w:tr>
      <w:tr>
        <w:trPr/>
        <w:tc>
          <w:tcPr>
            <w:tcW w:w="3752" w:type="dxa"/>
            <w:tcBorders/>
          </w:tcPr>
          <w:p>
            <w:pPr>
              <w:pStyle w:val="TableContents"/>
              <w:bidi w:val="0"/>
              <w:spacing w:before="0" w:after="283"/>
              <w:jc w:val="center"/>
              <w:rPr/>
            </w:pPr>
            <w:r>
              <w:rPr/>
              <w:t>Stacie Weninger, Ph.D.</w:t>
            </w:r>
          </w:p>
        </w:tc>
        <w:tc>
          <w:tcPr>
            <w:tcW w:w="120" w:type="dxa"/>
            <w:tcBorders/>
            <w:vAlign w:val="bottom"/>
          </w:tcPr>
          <w:p>
            <w:pPr>
              <w:pStyle w:val="TableContents"/>
              <w:bidi w:val="0"/>
              <w:spacing w:before="0" w:after="283"/>
              <w:jc w:val="left"/>
              <w:rPr/>
            </w:pPr>
            <w:r>
              <w:rPr/>
              <w:t>  </w:t>
            </w:r>
          </w:p>
        </w:tc>
        <w:tc>
          <w:tcPr>
            <w:tcW w:w="4124"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200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image" Target="media/image2.jpeg"/><Relationship Id="rId8" Type="http://schemas.openxmlformats.org/officeDocument/2006/relationships/image" Target="media/image4.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4.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311</Pages>
  <Words>177220</Words>
  <Characters>975759</Characters>
  <CharactersWithSpaces>1163889</CharactersWithSpaces>
  <Paragraphs>17166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DRS/A</dc:title>
</cp:coreProperties>
</file>